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D40F4" w14:textId="0583BE39" w:rsidR="003428E6" w:rsidRPr="00026E0D" w:rsidRDefault="007C0CB0" w:rsidP="00707B38">
      <w:pPr>
        <w:jc w:val="center"/>
      </w:pPr>
      <w:r>
        <w:t xml:space="preserve"> </w:t>
      </w:r>
    </w:p>
    <w:p w14:paraId="76F4B6E8" w14:textId="39D06E07" w:rsidR="003A5883" w:rsidRDefault="006B6DBE" w:rsidP="00BC033A">
      <w:r>
        <w:rPr>
          <w:noProof/>
        </w:rPr>
        <w:drawing>
          <wp:inline distT="0" distB="0" distL="0" distR="0" wp14:anchorId="0C19C3BC" wp14:editId="0DB88A17">
            <wp:extent cx="5961412" cy="2841286"/>
            <wp:effectExtent l="0" t="0" r="1270" b="0"/>
            <wp:docPr id="35" name="Picture 3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2">
                      <a:extLst>
                        <a:ext uri="{28A0092B-C50C-407E-A947-70E740481C1C}">
                          <a14:useLocalDpi xmlns:a14="http://schemas.microsoft.com/office/drawing/2010/main" val="0"/>
                        </a:ext>
                      </a:extLst>
                    </a:blip>
                    <a:stretch>
                      <a:fillRect/>
                    </a:stretch>
                  </pic:blipFill>
                  <pic:spPr>
                    <a:xfrm>
                      <a:off x="0" y="0"/>
                      <a:ext cx="5961412" cy="2841286"/>
                    </a:xfrm>
                    <a:prstGeom prst="rect">
                      <a:avLst/>
                    </a:prstGeom>
                  </pic:spPr>
                </pic:pic>
              </a:graphicData>
            </a:graphic>
          </wp:inline>
        </w:drawing>
      </w:r>
    </w:p>
    <w:p w14:paraId="6C29AB57" w14:textId="77777777" w:rsidR="003A5883" w:rsidRPr="00707B38" w:rsidRDefault="003A5883" w:rsidP="00707B38"/>
    <w:p w14:paraId="0340F142" w14:textId="77777777" w:rsidR="006B1E9B" w:rsidRDefault="006B1E9B" w:rsidP="00707B38"/>
    <w:p w14:paraId="1DA6F0CC" w14:textId="77777777" w:rsidR="006B1E9B" w:rsidRPr="00707B38" w:rsidRDefault="006B1E9B" w:rsidP="00707B38"/>
    <w:p w14:paraId="0877DA1A" w14:textId="4A18C0BE" w:rsidR="00F232C3" w:rsidRPr="006B1E9B" w:rsidRDefault="002238E1" w:rsidP="00F232C3">
      <w:pPr>
        <w:pStyle w:val="Title"/>
        <w:jc w:val="center"/>
        <w:rPr>
          <w:rStyle w:val="normaltextrun"/>
          <w:sz w:val="140"/>
          <w:szCs w:val="140"/>
        </w:rPr>
      </w:pPr>
      <w:r w:rsidRPr="006B1E9B">
        <w:rPr>
          <w:rStyle w:val="normaltextrun"/>
          <w:sz w:val="140"/>
          <w:szCs w:val="140"/>
        </w:rPr>
        <w:t xml:space="preserve">2021 Draft </w:t>
      </w:r>
      <w:r w:rsidR="00CE0649" w:rsidRPr="006B1E9B">
        <w:rPr>
          <w:rStyle w:val="normaltextrun"/>
          <w:sz w:val="140"/>
          <w:szCs w:val="140"/>
        </w:rPr>
        <w:t xml:space="preserve">Advice </w:t>
      </w:r>
      <w:r w:rsidRPr="006B1E9B">
        <w:rPr>
          <w:rStyle w:val="normaltextrun"/>
          <w:sz w:val="140"/>
          <w:szCs w:val="140"/>
        </w:rPr>
        <w:t>for Consultation</w:t>
      </w:r>
      <w:bookmarkStart w:id="0" w:name="_Toc56111414"/>
      <w:bookmarkStart w:id="1" w:name="_Toc56111262"/>
      <w:bookmarkStart w:id="2" w:name="_Toc56103189"/>
      <w:bookmarkStart w:id="3" w:name="_Toc56103121"/>
      <w:bookmarkStart w:id="4" w:name="_Toc56103059"/>
      <w:bookmarkStart w:id="5" w:name="_Toc56111509"/>
    </w:p>
    <w:p w14:paraId="61CEEC80" w14:textId="31CB8F26" w:rsidR="00F3667E" w:rsidRPr="00F3667E" w:rsidRDefault="00F3667E" w:rsidP="00F3667E"/>
    <w:p w14:paraId="5471216F" w14:textId="5B5AAC1E" w:rsidR="59A5B0BD" w:rsidRDefault="59A5B0BD" w:rsidP="59A5B0BD"/>
    <w:p w14:paraId="7CAD307C" w14:textId="77777777" w:rsidR="00B67133" w:rsidRDefault="00B67133" w:rsidP="00F232C3">
      <w:pPr>
        <w:pStyle w:val="Title"/>
        <w:jc w:val="center"/>
        <w:rPr>
          <w:rStyle w:val="normaltextrun"/>
        </w:rPr>
        <w:sectPr w:rsidR="00B67133" w:rsidSect="008B3BC2">
          <w:headerReference w:type="even" r:id="rId13"/>
          <w:headerReference w:type="default" r:id="rId14"/>
          <w:footerReference w:type="even" r:id="rId15"/>
          <w:footerReference w:type="default" r:id="rId16"/>
          <w:headerReference w:type="first" r:id="rId17"/>
          <w:footerReference w:type="first" r:id="rId18"/>
          <w:pgSz w:w="11906" w:h="16838"/>
          <w:pgMar w:top="1361" w:right="1361" w:bottom="1361" w:left="1361" w:header="709" w:footer="709" w:gutter="0"/>
          <w:cols w:space="708"/>
          <w:titlePg/>
          <w:docGrid w:linePitch="360"/>
        </w:sectPr>
      </w:pPr>
    </w:p>
    <w:p w14:paraId="73232EA3" w14:textId="5FB1067A" w:rsidR="00CF04D4" w:rsidRDefault="00B67133" w:rsidP="00B67133">
      <w:pPr>
        <w:pStyle w:val="TOCHeading"/>
        <w:rPr>
          <w:rStyle w:val="normaltextrun"/>
        </w:rPr>
      </w:pPr>
      <w:r w:rsidRPr="00B67133">
        <w:lastRenderedPageBreak/>
        <w:t>Disclosure statement</w:t>
      </w:r>
      <w:r>
        <w:rPr>
          <w:rStyle w:val="normaltextrun"/>
        </w:rPr>
        <w:t xml:space="preserve"> </w:t>
      </w:r>
    </w:p>
    <w:p w14:paraId="1D040415" w14:textId="77777777" w:rsidR="00177A18" w:rsidRDefault="00177A18" w:rsidP="00177A18">
      <w:pPr>
        <w:spacing w:line="257" w:lineRule="auto"/>
        <w:rPr>
          <w:rFonts w:ascii="Calibri" w:eastAsia="Calibri" w:hAnsi="Calibri" w:cs="Calibri"/>
          <w:color w:val="000000" w:themeColor="text1"/>
        </w:rPr>
      </w:pPr>
      <w:r w:rsidRPr="00177A18">
        <w:rPr>
          <w:rFonts w:ascii="Calibri" w:eastAsia="Calibri" w:hAnsi="Calibri" w:cs="Calibri"/>
          <w:color w:val="000000" w:themeColor="text1"/>
        </w:rPr>
        <w:t xml:space="preserve">As anticipated by the appointment criteria, </w:t>
      </w:r>
      <w:r>
        <w:rPr>
          <w:rFonts w:ascii="Calibri" w:eastAsia="Calibri" w:hAnsi="Calibri" w:cs="Calibri"/>
          <w:color w:val="000000" w:themeColor="text1"/>
        </w:rPr>
        <w:t xml:space="preserve">the Climate Change Commissioners </w:t>
      </w:r>
      <w:r w:rsidRPr="00177A18">
        <w:rPr>
          <w:rFonts w:ascii="Calibri" w:eastAsia="Calibri" w:hAnsi="Calibri" w:cs="Calibri"/>
          <w:color w:val="000000" w:themeColor="text1"/>
        </w:rPr>
        <w:t>come from varying fields such as adaptation, agriculture, economics, </w:t>
      </w:r>
      <w:proofErr w:type="spellStart"/>
      <w:r w:rsidRPr="00177A18">
        <w:rPr>
          <w:rFonts w:ascii="Calibri" w:eastAsia="Calibri" w:hAnsi="Calibri" w:cs="Calibri"/>
          <w:color w:val="000000" w:themeColor="text1"/>
        </w:rPr>
        <w:t>mātauranga</w:t>
      </w:r>
      <w:proofErr w:type="spellEnd"/>
      <w:r w:rsidRPr="00177A18">
        <w:rPr>
          <w:rFonts w:ascii="Calibri" w:eastAsia="Calibri" w:hAnsi="Calibri" w:cs="Calibri"/>
          <w:color w:val="000000" w:themeColor="text1"/>
        </w:rPr>
        <w:t xml:space="preserve"> and the Māori-Crown relationship. </w:t>
      </w:r>
    </w:p>
    <w:p w14:paraId="1F2EF697" w14:textId="77777777" w:rsidR="00D043B8" w:rsidRDefault="00177A18" w:rsidP="00177A18">
      <w:pPr>
        <w:spacing w:line="257" w:lineRule="auto"/>
        <w:rPr>
          <w:rFonts w:ascii="Calibri" w:eastAsia="Calibri" w:hAnsi="Calibri" w:cs="Calibri"/>
          <w:color w:val="000000" w:themeColor="text1"/>
        </w:rPr>
      </w:pPr>
      <w:r w:rsidRPr="00177A18">
        <w:rPr>
          <w:rFonts w:ascii="Calibri" w:eastAsia="Calibri" w:hAnsi="Calibri" w:cs="Calibri"/>
          <w:color w:val="000000" w:themeColor="text1"/>
        </w:rPr>
        <w:t>While a number of board members continue to hold roles within these fields, our advice is independent and evidence-based.  </w:t>
      </w:r>
    </w:p>
    <w:p w14:paraId="6018A51C" w14:textId="0BDAA397" w:rsidR="00F232C3" w:rsidRDefault="00177A18" w:rsidP="00177A18">
      <w:pPr>
        <w:spacing w:line="257" w:lineRule="auto"/>
        <w:rPr>
          <w:rStyle w:val="normaltextrun"/>
          <w:rFonts w:asciiTheme="majorHAnsi" w:eastAsiaTheme="majorEastAsia" w:hAnsiTheme="majorHAnsi" w:cstheme="majorBidi"/>
          <w:spacing w:val="-10"/>
          <w:kern w:val="28"/>
          <w:sz w:val="56"/>
          <w:szCs w:val="56"/>
        </w:rPr>
      </w:pPr>
      <w:r w:rsidRPr="00177A18">
        <w:rPr>
          <w:rFonts w:ascii="Calibri" w:eastAsia="Calibri" w:hAnsi="Calibri" w:cs="Calibri"/>
          <w:color w:val="000000" w:themeColor="text1"/>
        </w:rPr>
        <w:t>You can read more about our board members on the Climate Change Commission website. The Commission</w:t>
      </w:r>
      <w:r w:rsidR="00E86887">
        <w:rPr>
          <w:rFonts w:ascii="Calibri" w:eastAsia="Calibri" w:hAnsi="Calibri" w:cs="Calibri"/>
          <w:color w:val="000000" w:themeColor="text1"/>
        </w:rPr>
        <w:t xml:space="preserve"> </w:t>
      </w:r>
      <w:r w:rsidR="00D043B8">
        <w:rPr>
          <w:rFonts w:ascii="Calibri" w:eastAsia="Calibri" w:hAnsi="Calibri" w:cs="Calibri"/>
          <w:color w:val="000000" w:themeColor="text1"/>
        </w:rPr>
        <w:t>regularly updates and publishes</w:t>
      </w:r>
      <w:r w:rsidRPr="00177A18">
        <w:rPr>
          <w:rFonts w:ascii="Calibri" w:eastAsia="Calibri" w:hAnsi="Calibri" w:cs="Calibri"/>
          <w:color w:val="000000" w:themeColor="text1"/>
        </w:rPr>
        <w:t xml:space="preserve"> </w:t>
      </w:r>
      <w:r w:rsidR="00A27C39">
        <w:rPr>
          <w:rFonts w:ascii="Calibri" w:eastAsia="Calibri" w:hAnsi="Calibri" w:cs="Calibri"/>
          <w:color w:val="000000" w:themeColor="text1"/>
        </w:rPr>
        <w:t>on its website</w:t>
      </w:r>
      <w:r w:rsidRPr="00177A18">
        <w:rPr>
          <w:rFonts w:ascii="Calibri" w:eastAsia="Calibri" w:hAnsi="Calibri" w:cs="Calibri"/>
          <w:color w:val="000000" w:themeColor="text1"/>
        </w:rPr>
        <w:t xml:space="preserve"> a register of relevant board and staff member interests.</w:t>
      </w:r>
      <w:r>
        <w:rPr>
          <w:rStyle w:val="normaltextrun"/>
          <w:i/>
          <w:iCs/>
          <w:color w:val="000000"/>
          <w:shd w:val="clear" w:color="auto" w:fill="FFFFFF"/>
        </w:rPr>
        <w:t xml:space="preserve"> </w:t>
      </w:r>
      <w:r w:rsidR="00F232C3">
        <w:rPr>
          <w:rStyle w:val="normaltextrun"/>
        </w:rPr>
        <w:br w:type="page"/>
      </w:r>
    </w:p>
    <w:p w14:paraId="02B55656" w14:textId="77777777" w:rsidR="00116E3B" w:rsidRDefault="00116E3B" w:rsidP="000E49EA">
      <w:pPr>
        <w:pStyle w:val="Heading1"/>
        <w:rPr>
          <w:rStyle w:val="normaltextrun"/>
        </w:rPr>
        <w:sectPr w:rsidR="00116E3B" w:rsidSect="00622805">
          <w:pgSz w:w="11906" w:h="16838"/>
          <w:pgMar w:top="1361" w:right="1361" w:bottom="1361" w:left="1361" w:header="709" w:footer="709" w:gutter="0"/>
          <w:cols w:space="708"/>
          <w:docGrid w:linePitch="360"/>
        </w:sectPr>
      </w:pPr>
      <w:bookmarkStart w:id="6" w:name="_Toc57818171"/>
    </w:p>
    <w:p w14:paraId="5330AE66" w14:textId="1E3E344F" w:rsidR="00116E3B" w:rsidRPr="004B4DA0" w:rsidRDefault="00095A9F" w:rsidP="00E30984">
      <w:pPr>
        <w:pStyle w:val="Heading1"/>
      </w:pPr>
      <w:bookmarkStart w:id="7" w:name="_Toc62650218"/>
      <w:r>
        <w:rPr>
          <w:rStyle w:val="normaltextrun"/>
        </w:rPr>
        <w:lastRenderedPageBreak/>
        <w:t>Letter from the Chair</w:t>
      </w:r>
      <w:bookmarkEnd w:id="7"/>
      <w:r>
        <w:rPr>
          <w:rStyle w:val="normaltextrun"/>
        </w:rPr>
        <w:t xml:space="preserve"> </w:t>
      </w:r>
    </w:p>
    <w:p w14:paraId="6E1E5BF7" w14:textId="74DF1098" w:rsidR="001222A3" w:rsidRDefault="001222A3" w:rsidP="001222A3">
      <w:pPr>
        <w:rPr>
          <w:lang w:val="en-AU"/>
        </w:rPr>
      </w:pPr>
      <w:r>
        <w:rPr>
          <w:lang w:val="en-AU"/>
        </w:rPr>
        <w:t xml:space="preserve">This report stands on the shoulders of many before us who have provided evidence and warnings about the impact of human created greenhouse gas emissions on our climate. </w:t>
      </w:r>
      <w:r>
        <w:t xml:space="preserve">It also recognises the people who have developed the tools we need to change our path. </w:t>
      </w:r>
      <w:r>
        <w:rPr>
          <w:lang w:val="en-AU"/>
        </w:rPr>
        <w:t>I want to acknowledge their work and express appreciation.</w:t>
      </w:r>
    </w:p>
    <w:p w14:paraId="2942F5A5" w14:textId="7E34112B" w:rsidR="001222A3" w:rsidRDefault="001222A3" w:rsidP="001222A3">
      <w:pPr>
        <w:rPr>
          <w:lang w:val="en-AU"/>
        </w:rPr>
      </w:pPr>
      <w:r>
        <w:rPr>
          <w:lang w:val="en-AU"/>
        </w:rPr>
        <w:t xml:space="preserve">Now is the time for Aotearoa to take further steps to align its actions with its targets to reduce emissions. As a country we should use only our fair share of the remaining global carbon budget – the greenhouse gases we can emit and still limit warming. If we act now, we can create a thriving, climate-resilient and low emissions Aotearoa. </w:t>
      </w:r>
    </w:p>
    <w:p w14:paraId="27A9D5C6" w14:textId="224E5980" w:rsidR="001222A3" w:rsidRDefault="001222A3" w:rsidP="001222A3">
      <w:pPr>
        <w:rPr>
          <w:lang w:val="en-AU"/>
        </w:rPr>
      </w:pPr>
      <w:r>
        <w:rPr>
          <w:lang w:val="en-AU"/>
        </w:rPr>
        <w:t xml:space="preserve">After 12 months of considered analysis, the Climate Change Commission’s conclusion is that there are achievable, affordable and socially acceptable pathways for Aotearoa to take. </w:t>
      </w:r>
    </w:p>
    <w:p w14:paraId="3986D5AA" w14:textId="0232FE9E" w:rsidR="001222A3" w:rsidRDefault="001222A3" w:rsidP="001222A3">
      <w:pPr>
        <w:rPr>
          <w:lang w:val="en-AU"/>
        </w:rPr>
      </w:pPr>
      <w:r>
        <w:rPr>
          <w:lang w:val="en-AU"/>
        </w:rPr>
        <w:t xml:space="preserve">Now we must decide where our ambition lies. For my part, I want to be able to say I did as much as I could as soon as I knew about the impact I am having on this world. Increasingly I am sharing this sentiment with my fellow New Zealanders. </w:t>
      </w:r>
    </w:p>
    <w:p w14:paraId="4760DBB2" w14:textId="12F11FE4" w:rsidR="001222A3" w:rsidRDefault="001222A3" w:rsidP="001222A3">
      <w:pPr>
        <w:rPr>
          <w:lang w:val="en-AU"/>
        </w:rPr>
      </w:pPr>
      <w:r>
        <w:rPr>
          <w:lang w:val="en-AU"/>
        </w:rPr>
        <w:t xml:space="preserve">To achieve a cleaner, greener, healthier and more sustainable future, no emission reduction is too small – or too soon. All of us have a part to play and a contribution to make. </w:t>
      </w:r>
    </w:p>
    <w:p w14:paraId="49C71444" w14:textId="18F61E04" w:rsidR="001222A3" w:rsidRDefault="001222A3" w:rsidP="001222A3">
      <w:pPr>
        <w:rPr>
          <w:lang w:val="en-AU"/>
        </w:rPr>
      </w:pPr>
      <w:r>
        <w:rPr>
          <w:lang w:val="en-AU"/>
        </w:rPr>
        <w:t>This means we need to change how we get around, and rethink what we produce and how we produce it. We need to reconsider what we buy, what we do with what we have used, and how we can reuse more of what we have left over.</w:t>
      </w:r>
    </w:p>
    <w:p w14:paraId="30F51D55" w14:textId="296656F1" w:rsidR="001222A3" w:rsidRDefault="001222A3" w:rsidP="001222A3">
      <w:pPr>
        <w:rPr>
          <w:lang w:val="en-AU"/>
        </w:rPr>
      </w:pPr>
      <w:r>
        <w:rPr>
          <w:lang w:val="en-AU"/>
        </w:rPr>
        <w:t xml:space="preserve">The Commission recognises that what each of us can do depends on our circumstances. We will need to offer support to those most adversely impacted and who are also least able to absorb the impact of change. </w:t>
      </w:r>
    </w:p>
    <w:p w14:paraId="49556A5C" w14:textId="3B2E4B46" w:rsidR="001222A3" w:rsidRDefault="001222A3" w:rsidP="001222A3">
      <w:pPr>
        <w:rPr>
          <w:lang w:val="en-AU"/>
        </w:rPr>
      </w:pPr>
      <w:r>
        <w:rPr>
          <w:lang w:val="en-AU"/>
        </w:rPr>
        <w:t>Our draft advice is about the direction of policy necessary to put Aotearoa on a pathway to quickly, significantly and permanently reduce greenhouse gas emissions. Our advice sets out how to achieve the targets we have already agreed to.</w:t>
      </w:r>
    </w:p>
    <w:p w14:paraId="6CDE32BF" w14:textId="77777777" w:rsidR="001222A3" w:rsidRDefault="001222A3" w:rsidP="001222A3">
      <w:pPr>
        <w:rPr>
          <w:lang w:val="en-AU"/>
        </w:rPr>
      </w:pPr>
      <w:r>
        <w:t xml:space="preserve">We have drawn on the He Ara </w:t>
      </w:r>
      <w:proofErr w:type="spellStart"/>
      <w:r>
        <w:t>Waiora</w:t>
      </w:r>
      <w:proofErr w:type="spellEnd"/>
      <w:r>
        <w:t xml:space="preserve"> framework to help us understand wellbeing from a </w:t>
      </w:r>
      <w:proofErr w:type="spellStart"/>
      <w:r>
        <w:t>mātauranga</w:t>
      </w:r>
      <w:proofErr w:type="spellEnd"/>
      <w:r>
        <w:t xml:space="preserve"> Māori perspective. This has formed an anchor for our analysis.</w:t>
      </w:r>
    </w:p>
    <w:p w14:paraId="7741B9F2" w14:textId="77777777" w:rsidR="001222A3" w:rsidRDefault="001222A3" w:rsidP="001222A3">
      <w:pPr>
        <w:rPr>
          <w:lang w:val="en-AU"/>
        </w:rPr>
      </w:pPr>
      <w:r>
        <w:rPr>
          <w:lang w:val="en-AU"/>
        </w:rPr>
        <w:t>We are seeking feedback on our draft advice before it is finalised. There are matters of fact, assumptions and value judgments we invite you to review. We are committed to true consultation. We will consider all evidence we receive through consultation and are prepared to change any part of our work in light of this.</w:t>
      </w:r>
    </w:p>
    <w:p w14:paraId="7A32F1BF" w14:textId="77777777" w:rsidR="001222A3" w:rsidRDefault="001222A3" w:rsidP="001222A3">
      <w:pPr>
        <w:rPr>
          <w:lang w:val="en-AU"/>
        </w:rPr>
      </w:pPr>
      <w:r>
        <w:rPr>
          <w:lang w:val="en-AU"/>
        </w:rPr>
        <w:t>It is reassuring to see central and local government, iwi/M</w:t>
      </w:r>
      <w:r w:rsidRPr="00C94BC7">
        <w:rPr>
          <w:lang w:val="en-AU"/>
        </w:rPr>
        <w:t>ā</w:t>
      </w:r>
      <w:r>
        <w:rPr>
          <w:lang w:val="en-AU"/>
        </w:rPr>
        <w:t>ori</w:t>
      </w:r>
      <w:r w:rsidRPr="67BBA58F">
        <w:rPr>
          <w:lang w:val="en-AU"/>
        </w:rPr>
        <w:t>,</w:t>
      </w:r>
      <w:r>
        <w:rPr>
          <w:lang w:val="en-AU"/>
        </w:rPr>
        <w:t xml:space="preserve"> businesses, farmers and families taking action to understand and reduce emissions now. Every action makes a difference. </w:t>
      </w:r>
    </w:p>
    <w:p w14:paraId="34646366" w14:textId="7FFFBA42" w:rsidR="00116E3B" w:rsidRDefault="00AF6519" w:rsidP="00116E3B">
      <w:pPr>
        <w:rPr>
          <w:rStyle w:val="normaltextrun"/>
          <w:rFonts w:asciiTheme="majorHAnsi" w:eastAsiaTheme="majorEastAsia" w:hAnsiTheme="majorHAnsi" w:cstheme="majorBidi"/>
          <w:color w:val="2F5496" w:themeColor="accent1" w:themeShade="BF"/>
          <w:sz w:val="32"/>
          <w:szCs w:val="32"/>
        </w:rPr>
      </w:pPr>
      <w:r w:rsidRPr="001813FC">
        <w:rPr>
          <w:lang w:val="en-AU"/>
        </w:rPr>
        <w:t>The climate science is clear, the direction of</w:t>
      </w:r>
      <w:r w:rsidR="001222A3">
        <w:rPr>
          <w:lang w:val="en-AU"/>
        </w:rPr>
        <w:t xml:space="preserve"> </w:t>
      </w:r>
      <w:r w:rsidRPr="001813FC">
        <w:rPr>
          <w:lang w:val="en-AU"/>
        </w:rPr>
        <w:t>climate</w:t>
      </w:r>
      <w:r w:rsidR="001222A3">
        <w:rPr>
          <w:lang w:val="en-AU"/>
        </w:rPr>
        <w:t xml:space="preserve"> </w:t>
      </w:r>
      <w:r w:rsidRPr="001813FC">
        <w:rPr>
          <w:lang w:val="en-AU"/>
        </w:rPr>
        <w:t>policy is laid out and the time for</w:t>
      </w:r>
      <w:r w:rsidR="001222A3">
        <w:rPr>
          <w:lang w:val="en-AU"/>
        </w:rPr>
        <w:t xml:space="preserve"> </w:t>
      </w:r>
      <w:r w:rsidRPr="001813FC">
        <w:rPr>
          <w:lang w:val="en-AU"/>
        </w:rPr>
        <w:t>accelerated climate</w:t>
      </w:r>
      <w:r w:rsidR="001222A3">
        <w:rPr>
          <w:lang w:val="en-AU"/>
        </w:rPr>
        <w:t xml:space="preserve"> </w:t>
      </w:r>
      <w:r w:rsidRPr="001813FC">
        <w:rPr>
          <w:lang w:val="en-AU"/>
        </w:rPr>
        <w:t>action</w:t>
      </w:r>
      <w:r w:rsidR="001222A3">
        <w:rPr>
          <w:lang w:val="en-AU"/>
        </w:rPr>
        <w:t xml:space="preserve"> </w:t>
      </w:r>
      <w:r w:rsidRPr="001813FC">
        <w:rPr>
          <w:lang w:val="en-AU"/>
        </w:rPr>
        <w:t>is now.</w:t>
      </w:r>
    </w:p>
    <w:p w14:paraId="74A65064" w14:textId="41899C66" w:rsidR="002F56E1" w:rsidRDefault="00426A9F" w:rsidP="00116E3B">
      <w:r>
        <w:rPr>
          <w:noProof/>
        </w:rPr>
        <mc:AlternateContent>
          <mc:Choice Requires="wpi">
            <w:drawing>
              <wp:anchor distT="0" distB="0" distL="114300" distR="114300" simplePos="0" relativeHeight="251659264" behindDoc="0" locked="0" layoutInCell="1" allowOverlap="1" wp14:anchorId="3D5B07BF" wp14:editId="1A716E2C">
                <wp:simplePos x="0" y="0"/>
                <wp:positionH relativeFrom="column">
                  <wp:posOffset>2489200</wp:posOffset>
                </wp:positionH>
                <wp:positionV relativeFrom="paragraph">
                  <wp:posOffset>-10160</wp:posOffset>
                </wp:positionV>
                <wp:extent cx="1047115" cy="916940"/>
                <wp:effectExtent l="38100" t="38100" r="57785" b="54610"/>
                <wp:wrapNone/>
                <wp:docPr id="36" name="Ink 36"/>
                <wp:cNvGraphicFramePr/>
                <a:graphic xmlns:a="http://schemas.openxmlformats.org/drawingml/2006/main">
                  <a:graphicData uri="http://schemas.microsoft.com/office/word/2010/wordprocessingInk">
                    <w14:contentPart bwMode="auto" r:id="rId19">
                      <w14:nvContentPartPr>
                        <w14:cNvContentPartPr/>
                      </w14:nvContentPartPr>
                      <w14:xfrm>
                        <a:off x="0" y="0"/>
                        <a:ext cx="1047115" cy="916940"/>
                      </w14:xfrm>
                    </w14:contentPart>
                  </a:graphicData>
                </a:graphic>
                <wp14:sizeRelH relativeFrom="margin">
                  <wp14:pctWidth>0</wp14:pctWidth>
                </wp14:sizeRelH>
                <wp14:sizeRelV relativeFrom="margin">
                  <wp14:pctHeight>0</wp14:pctHeight>
                </wp14:sizeRelV>
              </wp:anchor>
            </w:drawing>
          </mc:Choice>
          <mc:Fallback>
            <w:pict>
              <v:shapetype w14:anchorId="3B061C3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6" o:spid="_x0000_s1026" type="#_x0000_t75" style="position:absolute;margin-left:194.8pt;margin-top:-2pt;width:84.85pt;height:7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">
                <v:imagedata r:id="rId20" o:title=""/>
              </v:shape>
            </w:pict>
          </mc:Fallback>
        </mc:AlternateContent>
      </w:r>
    </w:p>
    <w:p w14:paraId="78D11BBB" w14:textId="77777777" w:rsidR="001222A3" w:rsidRDefault="001222A3" w:rsidP="00116E3B">
      <w:pPr>
        <w:sectPr w:rsidR="001222A3" w:rsidSect="00622805">
          <w:pgSz w:w="11906" w:h="16838"/>
          <w:pgMar w:top="1361" w:right="1361" w:bottom="1361" w:left="1361" w:header="709" w:footer="709" w:gutter="0"/>
          <w:cols w:space="708"/>
          <w:docGrid w:linePitch="360"/>
        </w:sectPr>
      </w:pPr>
    </w:p>
    <w:p w14:paraId="1D844300" w14:textId="1E73AF37" w:rsidR="00DC6F75" w:rsidRDefault="00561DCB" w:rsidP="00C623B1">
      <w:pPr>
        <w:pStyle w:val="Heading1"/>
        <w:rPr>
          <w:rStyle w:val="normaltextrun"/>
        </w:rPr>
      </w:pPr>
      <w:bookmarkStart w:id="8" w:name="_Toc62650219"/>
      <w:r w:rsidRPr="00C623B1">
        <w:rPr>
          <w:rStyle w:val="normaltextrun"/>
        </w:rPr>
        <w:lastRenderedPageBreak/>
        <w:t>Introducing the Climate Change Commission</w:t>
      </w:r>
      <w:bookmarkEnd w:id="8"/>
    </w:p>
    <w:p w14:paraId="57158308" w14:textId="77777777" w:rsidR="00AA1C7C" w:rsidRPr="00AA1C7C" w:rsidRDefault="00AA1C7C" w:rsidP="00AA1C7C"/>
    <w:p w14:paraId="6BADEA82" w14:textId="0E669803" w:rsidR="00F026CD" w:rsidRDefault="00F026CD" w:rsidP="00116E3B">
      <w:r>
        <w:rPr>
          <w:noProof/>
        </w:rPr>
        <w:drawing>
          <wp:inline distT="0" distB="0" distL="0" distR="0" wp14:anchorId="08704894" wp14:editId="53A1FFF3">
            <wp:extent cx="5831704" cy="3816000"/>
            <wp:effectExtent l="0" t="0" r="0" b="0"/>
            <wp:docPr id="20" name="Picture 2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CC Staff Portraits - Hi Res-41.jpg"/>
                    <pic:cNvPicPr/>
                  </pic:nvPicPr>
                  <pic:blipFill rotWithShape="1">
                    <a:blip r:embed="rId21" cstate="print">
                      <a:extLst>
                        <a:ext uri="{28A0092B-C50C-407E-A947-70E740481C1C}">
                          <a14:useLocalDpi xmlns:a14="http://schemas.microsoft.com/office/drawing/2010/main" val="0"/>
                        </a:ext>
                      </a:extLst>
                    </a:blip>
                    <a:srcRect b="1836"/>
                    <a:stretch/>
                  </pic:blipFill>
                  <pic:spPr bwMode="auto">
                    <a:xfrm>
                      <a:off x="0" y="0"/>
                      <a:ext cx="5831704" cy="3816000"/>
                    </a:xfrm>
                    <a:prstGeom prst="rect">
                      <a:avLst/>
                    </a:prstGeom>
                    <a:ln>
                      <a:noFill/>
                    </a:ln>
                    <a:extLst>
                      <a:ext uri="{53640926-AAD7-44D8-BBD7-CCE9431645EC}">
                        <a14:shadowObscured xmlns:a14="http://schemas.microsoft.com/office/drawing/2010/main"/>
                      </a:ext>
                    </a:extLst>
                  </pic:spPr>
                </pic:pic>
              </a:graphicData>
            </a:graphic>
          </wp:inline>
        </w:drawing>
      </w:r>
    </w:p>
    <w:p w14:paraId="6A566204" w14:textId="77777777" w:rsidR="00F026CD" w:rsidRPr="00536745" w:rsidRDefault="00F026CD" w:rsidP="00116E3B">
      <w:pPr>
        <w:rPr>
          <w:b/>
          <w:bCs/>
          <w:i/>
          <w:iCs/>
        </w:rPr>
      </w:pPr>
      <w:r w:rsidRPr="00536745">
        <w:rPr>
          <w:b/>
          <w:bCs/>
          <w:i/>
          <w:iCs/>
        </w:rPr>
        <w:t xml:space="preserve">Climate Change Commissioners </w:t>
      </w:r>
    </w:p>
    <w:p w14:paraId="7E7E260B" w14:textId="77777777" w:rsidR="00AA1C7C" w:rsidRDefault="00F74BC7" w:rsidP="00116E3B">
      <w:pPr>
        <w:rPr>
          <w:i/>
          <w:iCs/>
        </w:rPr>
      </w:pPr>
      <w:r>
        <w:rPr>
          <w:i/>
          <w:iCs/>
        </w:rPr>
        <w:t xml:space="preserve">From left to right: </w:t>
      </w:r>
      <w:r w:rsidR="007B223C">
        <w:rPr>
          <w:i/>
          <w:iCs/>
        </w:rPr>
        <w:t xml:space="preserve">Dr </w:t>
      </w:r>
      <w:r>
        <w:rPr>
          <w:i/>
          <w:iCs/>
        </w:rPr>
        <w:t xml:space="preserve">Judy Lawrence, </w:t>
      </w:r>
      <w:r w:rsidR="001414AD">
        <w:rPr>
          <w:i/>
          <w:iCs/>
        </w:rPr>
        <w:t xml:space="preserve">Professor </w:t>
      </w:r>
      <w:r>
        <w:rPr>
          <w:i/>
          <w:iCs/>
        </w:rPr>
        <w:t>Nicola</w:t>
      </w:r>
      <w:r w:rsidR="001414AD">
        <w:rPr>
          <w:i/>
          <w:iCs/>
        </w:rPr>
        <w:t xml:space="preserve"> Shadbolt</w:t>
      </w:r>
      <w:r w:rsidR="00FB1475">
        <w:rPr>
          <w:i/>
          <w:iCs/>
        </w:rPr>
        <w:t>,</w:t>
      </w:r>
      <w:r w:rsidR="001414AD">
        <w:rPr>
          <w:i/>
          <w:iCs/>
        </w:rPr>
        <w:t xml:space="preserve"> </w:t>
      </w:r>
      <w:r w:rsidR="00040807">
        <w:rPr>
          <w:i/>
          <w:iCs/>
        </w:rPr>
        <w:t xml:space="preserve">Professor James Renwick, </w:t>
      </w:r>
      <w:r w:rsidR="00AE1ED4">
        <w:rPr>
          <w:i/>
          <w:iCs/>
        </w:rPr>
        <w:t>Ms Lisa Tumahai</w:t>
      </w:r>
      <w:r w:rsidR="00116B8D">
        <w:rPr>
          <w:i/>
          <w:iCs/>
        </w:rPr>
        <w:t xml:space="preserve"> (Deputy </w:t>
      </w:r>
      <w:r w:rsidR="000005C1">
        <w:rPr>
          <w:i/>
          <w:iCs/>
        </w:rPr>
        <w:t>Chairperson</w:t>
      </w:r>
      <w:r w:rsidR="00116B8D">
        <w:rPr>
          <w:i/>
          <w:iCs/>
        </w:rPr>
        <w:t>)</w:t>
      </w:r>
      <w:r w:rsidR="000005C1">
        <w:rPr>
          <w:i/>
          <w:iCs/>
        </w:rPr>
        <w:t xml:space="preserve">, </w:t>
      </w:r>
      <w:r w:rsidR="00AE358F">
        <w:rPr>
          <w:i/>
          <w:iCs/>
        </w:rPr>
        <w:t xml:space="preserve">Dr Rod Carr (Chairperson), </w:t>
      </w:r>
      <w:r w:rsidR="000A14B9">
        <w:rPr>
          <w:i/>
          <w:iCs/>
        </w:rPr>
        <w:t xml:space="preserve">Ms Catherine Leining, </w:t>
      </w:r>
      <w:r w:rsidR="009E6A4B">
        <w:rPr>
          <w:i/>
          <w:iCs/>
        </w:rPr>
        <w:t xml:space="preserve">Dr Harry Clark. </w:t>
      </w:r>
    </w:p>
    <w:p w14:paraId="059511D2" w14:textId="77777777" w:rsidR="00AA1C7C" w:rsidRDefault="00AA1C7C" w:rsidP="00116E3B"/>
    <w:p w14:paraId="7859099F" w14:textId="0B510E97" w:rsidR="007465E8" w:rsidRDefault="00AA1C7C" w:rsidP="00116E3B">
      <w:pPr>
        <w:rPr>
          <w:i/>
          <w:iCs/>
        </w:rPr>
      </w:pPr>
      <w:r>
        <w:t>Additional biographical information can be found on the Climate Change Commission website.</w:t>
      </w:r>
      <w:r w:rsidR="00073EAF">
        <w:t xml:space="preserve"> </w:t>
      </w:r>
    </w:p>
    <w:p w14:paraId="3750CC48" w14:textId="0116972F" w:rsidR="007465E8" w:rsidRDefault="007465E8" w:rsidP="00AE5853">
      <w:pPr>
        <w:pStyle w:val="TOC3"/>
      </w:pPr>
      <w:r>
        <w:br w:type="page"/>
      </w:r>
    </w:p>
    <w:sdt>
      <w:sdtPr>
        <w:rPr>
          <w:rFonts w:asciiTheme="minorHAnsi" w:eastAsiaTheme="minorHAnsi" w:hAnsiTheme="minorHAnsi" w:cstheme="minorBidi"/>
          <w:color w:val="auto"/>
          <w:sz w:val="22"/>
          <w:szCs w:val="22"/>
          <w:lang w:val="en-NZ"/>
        </w:rPr>
        <w:id w:val="868648362"/>
        <w:docPartObj>
          <w:docPartGallery w:val="Table of Contents"/>
          <w:docPartUnique/>
        </w:docPartObj>
      </w:sdtPr>
      <w:sdtEndPr>
        <w:rPr>
          <w:b/>
          <w:bCs/>
          <w:noProof/>
        </w:rPr>
      </w:sdtEndPr>
      <w:sdtContent>
        <w:p w14:paraId="1F08F2C7" w14:textId="404E60C6" w:rsidR="00DB6BB3" w:rsidRDefault="00DB6BB3">
          <w:pPr>
            <w:pStyle w:val="TOCHeading"/>
          </w:pPr>
          <w:r>
            <w:t>Contents</w:t>
          </w:r>
        </w:p>
        <w:p w14:paraId="5EF8FFCD" w14:textId="54CC99B6" w:rsidR="0021215A" w:rsidRPr="00A13E6C" w:rsidRDefault="0021215A" w:rsidP="00AE5853">
          <w:pPr>
            <w:pStyle w:val="TOC1"/>
            <w:rPr>
              <w:rFonts w:eastAsiaTheme="minorEastAsia" w:cstheme="minorBidi"/>
              <w:sz w:val="22"/>
              <w:szCs w:val="22"/>
              <w:lang w:eastAsia="en-NZ"/>
            </w:rPr>
          </w:pPr>
          <w:r>
            <w:fldChar w:fldCharType="begin"/>
          </w:r>
          <w:r>
            <w:instrText xml:space="preserve"> TOC \o "1-3" \h \z \u </w:instrText>
          </w:r>
          <w:r>
            <w:fldChar w:fldCharType="separate"/>
          </w:r>
          <w:hyperlink w:anchor="_Toc62650218" w:history="1">
            <w:r w:rsidRPr="00A13E6C">
              <w:rPr>
                <w:rStyle w:val="Hyperlink"/>
              </w:rPr>
              <w:t>Letter from the Chair</w:t>
            </w:r>
            <w:r w:rsidRPr="00A13E6C">
              <w:rPr>
                <w:webHidden/>
              </w:rPr>
              <w:tab/>
            </w:r>
            <w:r w:rsidRPr="00A13E6C">
              <w:rPr>
                <w:webHidden/>
              </w:rPr>
              <w:fldChar w:fldCharType="begin"/>
            </w:r>
            <w:r w:rsidRPr="00A13E6C">
              <w:rPr>
                <w:webHidden/>
              </w:rPr>
              <w:instrText xml:space="preserve"> PAGEREF _Toc62650218 \h </w:instrText>
            </w:r>
            <w:r w:rsidRPr="00A13E6C">
              <w:rPr>
                <w:webHidden/>
              </w:rPr>
            </w:r>
            <w:r w:rsidRPr="00A13E6C">
              <w:rPr>
                <w:webHidden/>
              </w:rPr>
              <w:fldChar w:fldCharType="separate"/>
            </w:r>
            <w:r w:rsidR="00A22B54">
              <w:rPr>
                <w:webHidden/>
              </w:rPr>
              <w:t>3</w:t>
            </w:r>
            <w:r w:rsidRPr="00A13E6C">
              <w:rPr>
                <w:webHidden/>
              </w:rPr>
              <w:fldChar w:fldCharType="end"/>
            </w:r>
          </w:hyperlink>
        </w:p>
        <w:p w14:paraId="117A4400" w14:textId="7ECEBE32" w:rsidR="0021215A" w:rsidRPr="00A13E6C" w:rsidRDefault="00982BBB" w:rsidP="00AE5853">
          <w:pPr>
            <w:pStyle w:val="TOC1"/>
            <w:rPr>
              <w:rFonts w:eastAsiaTheme="minorEastAsia" w:cstheme="minorBidi"/>
              <w:sz w:val="22"/>
              <w:szCs w:val="22"/>
              <w:lang w:eastAsia="en-NZ"/>
            </w:rPr>
          </w:pPr>
          <w:hyperlink w:anchor="_Toc62650219" w:history="1">
            <w:r w:rsidR="0021215A" w:rsidRPr="00A13E6C">
              <w:rPr>
                <w:rStyle w:val="Hyperlink"/>
              </w:rPr>
              <w:t>Introducing the Climate Change Commission</w:t>
            </w:r>
            <w:r w:rsidR="0021215A" w:rsidRPr="00A13E6C">
              <w:rPr>
                <w:webHidden/>
              </w:rPr>
              <w:tab/>
            </w:r>
            <w:r w:rsidR="0021215A" w:rsidRPr="00A13E6C">
              <w:rPr>
                <w:webHidden/>
              </w:rPr>
              <w:fldChar w:fldCharType="begin"/>
            </w:r>
            <w:r w:rsidR="0021215A" w:rsidRPr="00A13E6C">
              <w:rPr>
                <w:webHidden/>
              </w:rPr>
              <w:instrText xml:space="preserve"> PAGEREF _Toc62650219 \h </w:instrText>
            </w:r>
            <w:r w:rsidR="0021215A" w:rsidRPr="00A13E6C">
              <w:rPr>
                <w:webHidden/>
              </w:rPr>
            </w:r>
            <w:r w:rsidR="0021215A" w:rsidRPr="00A13E6C">
              <w:rPr>
                <w:webHidden/>
              </w:rPr>
              <w:fldChar w:fldCharType="separate"/>
            </w:r>
            <w:r w:rsidR="00A22B54">
              <w:rPr>
                <w:webHidden/>
              </w:rPr>
              <w:t>4</w:t>
            </w:r>
            <w:r w:rsidR="0021215A" w:rsidRPr="00A13E6C">
              <w:rPr>
                <w:webHidden/>
              </w:rPr>
              <w:fldChar w:fldCharType="end"/>
            </w:r>
          </w:hyperlink>
        </w:p>
        <w:p w14:paraId="1A8F7664" w14:textId="6F0DF096" w:rsidR="0021215A" w:rsidRPr="00A13E6C" w:rsidRDefault="00982BBB" w:rsidP="00AE5853">
          <w:pPr>
            <w:pStyle w:val="TOC1"/>
            <w:rPr>
              <w:rFonts w:eastAsiaTheme="minorEastAsia" w:cstheme="minorBidi"/>
              <w:sz w:val="22"/>
              <w:szCs w:val="22"/>
              <w:lang w:eastAsia="en-NZ"/>
            </w:rPr>
          </w:pPr>
          <w:hyperlink w:anchor="_Toc62650220" w:history="1">
            <w:r w:rsidR="0021215A" w:rsidRPr="00A13E6C">
              <w:rPr>
                <w:rStyle w:val="Hyperlink"/>
              </w:rPr>
              <w:t>Vision</w:t>
            </w:r>
            <w:r w:rsidR="0021215A" w:rsidRPr="00A13E6C">
              <w:rPr>
                <w:webHidden/>
              </w:rPr>
              <w:tab/>
            </w:r>
            <w:r w:rsidR="0021215A" w:rsidRPr="00A13E6C">
              <w:rPr>
                <w:webHidden/>
              </w:rPr>
              <w:fldChar w:fldCharType="begin"/>
            </w:r>
            <w:r w:rsidR="0021215A" w:rsidRPr="00A13E6C">
              <w:rPr>
                <w:webHidden/>
              </w:rPr>
              <w:instrText xml:space="preserve"> PAGEREF _Toc62650220 \h </w:instrText>
            </w:r>
            <w:r w:rsidR="0021215A" w:rsidRPr="00A13E6C">
              <w:rPr>
                <w:webHidden/>
              </w:rPr>
            </w:r>
            <w:r w:rsidR="0021215A" w:rsidRPr="00A13E6C">
              <w:rPr>
                <w:webHidden/>
              </w:rPr>
              <w:fldChar w:fldCharType="separate"/>
            </w:r>
            <w:r w:rsidR="00A22B54">
              <w:rPr>
                <w:webHidden/>
              </w:rPr>
              <w:t>9</w:t>
            </w:r>
            <w:r w:rsidR="0021215A" w:rsidRPr="00A13E6C">
              <w:rPr>
                <w:webHidden/>
              </w:rPr>
              <w:fldChar w:fldCharType="end"/>
            </w:r>
          </w:hyperlink>
        </w:p>
        <w:p w14:paraId="0CBD8B42" w14:textId="43968B09" w:rsidR="0021215A" w:rsidRPr="00A13E6C" w:rsidRDefault="00982BBB" w:rsidP="00AE5853">
          <w:pPr>
            <w:pStyle w:val="TOC1"/>
            <w:rPr>
              <w:rFonts w:eastAsiaTheme="minorEastAsia" w:cstheme="minorBidi"/>
              <w:sz w:val="22"/>
              <w:szCs w:val="22"/>
              <w:lang w:eastAsia="en-NZ"/>
            </w:rPr>
          </w:pPr>
          <w:hyperlink w:anchor="_Toc62650221" w:history="1">
            <w:r w:rsidR="0021215A" w:rsidRPr="00A13E6C">
              <w:rPr>
                <w:rStyle w:val="Hyperlink"/>
              </w:rPr>
              <w:t>Executive Summary: work must start now</w:t>
            </w:r>
            <w:r w:rsidR="0021215A" w:rsidRPr="00A13E6C">
              <w:rPr>
                <w:webHidden/>
              </w:rPr>
              <w:tab/>
            </w:r>
            <w:r w:rsidR="0021215A" w:rsidRPr="00A13E6C">
              <w:rPr>
                <w:webHidden/>
              </w:rPr>
              <w:fldChar w:fldCharType="begin"/>
            </w:r>
            <w:r w:rsidR="0021215A" w:rsidRPr="00A13E6C">
              <w:rPr>
                <w:webHidden/>
              </w:rPr>
              <w:instrText xml:space="preserve"> PAGEREF _Toc62650221 \h </w:instrText>
            </w:r>
            <w:r w:rsidR="0021215A" w:rsidRPr="00A13E6C">
              <w:rPr>
                <w:webHidden/>
              </w:rPr>
            </w:r>
            <w:r w:rsidR="0021215A" w:rsidRPr="00A13E6C">
              <w:rPr>
                <w:webHidden/>
              </w:rPr>
              <w:fldChar w:fldCharType="separate"/>
            </w:r>
            <w:r w:rsidR="00A22B54">
              <w:rPr>
                <w:webHidden/>
              </w:rPr>
              <w:t>10</w:t>
            </w:r>
            <w:r w:rsidR="0021215A" w:rsidRPr="00A13E6C">
              <w:rPr>
                <w:webHidden/>
              </w:rPr>
              <w:fldChar w:fldCharType="end"/>
            </w:r>
          </w:hyperlink>
        </w:p>
        <w:p w14:paraId="041B8080" w14:textId="73DA6225" w:rsidR="0021215A" w:rsidRPr="00A13E6C" w:rsidRDefault="00982BBB" w:rsidP="00AE5853">
          <w:pPr>
            <w:pStyle w:val="TOC1"/>
            <w:rPr>
              <w:rFonts w:eastAsiaTheme="minorEastAsia" w:cstheme="minorBidi"/>
              <w:sz w:val="22"/>
              <w:szCs w:val="22"/>
              <w:lang w:eastAsia="en-NZ"/>
            </w:rPr>
          </w:pPr>
          <w:hyperlink w:anchor="_Toc62650232" w:history="1">
            <w:r w:rsidR="0021215A" w:rsidRPr="00A13E6C">
              <w:rPr>
                <w:rStyle w:val="Hyperlink"/>
              </w:rPr>
              <w:t>Chapter 1: We are seeking your feedback</w:t>
            </w:r>
            <w:r w:rsidR="0021215A" w:rsidRPr="00A13E6C">
              <w:rPr>
                <w:webHidden/>
              </w:rPr>
              <w:tab/>
            </w:r>
            <w:r w:rsidR="0021215A" w:rsidRPr="00A13E6C">
              <w:rPr>
                <w:webHidden/>
              </w:rPr>
              <w:fldChar w:fldCharType="begin"/>
            </w:r>
            <w:r w:rsidR="0021215A" w:rsidRPr="00A13E6C">
              <w:rPr>
                <w:webHidden/>
              </w:rPr>
              <w:instrText xml:space="preserve"> PAGEREF _Toc62650232 \h </w:instrText>
            </w:r>
            <w:r w:rsidR="0021215A" w:rsidRPr="00A13E6C">
              <w:rPr>
                <w:webHidden/>
              </w:rPr>
            </w:r>
            <w:r w:rsidR="0021215A" w:rsidRPr="00A13E6C">
              <w:rPr>
                <w:webHidden/>
              </w:rPr>
              <w:fldChar w:fldCharType="separate"/>
            </w:r>
            <w:r w:rsidR="00A22B54">
              <w:rPr>
                <w:webHidden/>
              </w:rPr>
              <w:t>21</w:t>
            </w:r>
            <w:r w:rsidR="0021215A" w:rsidRPr="00A13E6C">
              <w:rPr>
                <w:webHidden/>
              </w:rPr>
              <w:fldChar w:fldCharType="end"/>
            </w:r>
          </w:hyperlink>
        </w:p>
        <w:p w14:paraId="2E1D72B0" w14:textId="7F7D71D9" w:rsidR="0021215A" w:rsidRPr="00A13E6C" w:rsidRDefault="00982BBB">
          <w:pPr>
            <w:pStyle w:val="TOC2"/>
            <w:rPr>
              <w:rFonts w:eastAsiaTheme="minorEastAsia" w:cstheme="minorBidi"/>
              <w:lang w:eastAsia="en-NZ"/>
            </w:rPr>
          </w:pPr>
          <w:hyperlink w:anchor="_Toc62650233" w:history="1">
            <w:r w:rsidR="0021215A" w:rsidRPr="00A13E6C">
              <w:rPr>
                <w:rStyle w:val="Hyperlink"/>
              </w:rPr>
              <w:t>1.1 Our task</w:t>
            </w:r>
            <w:r w:rsidR="0021215A" w:rsidRPr="00A13E6C">
              <w:rPr>
                <w:webHidden/>
              </w:rPr>
              <w:tab/>
            </w:r>
            <w:r w:rsidR="0021215A" w:rsidRPr="00A13E6C">
              <w:rPr>
                <w:webHidden/>
              </w:rPr>
              <w:fldChar w:fldCharType="begin"/>
            </w:r>
            <w:r w:rsidR="0021215A" w:rsidRPr="00A13E6C">
              <w:rPr>
                <w:webHidden/>
              </w:rPr>
              <w:instrText xml:space="preserve"> PAGEREF _Toc62650233 \h </w:instrText>
            </w:r>
            <w:r w:rsidR="0021215A" w:rsidRPr="00A13E6C">
              <w:rPr>
                <w:webHidden/>
              </w:rPr>
            </w:r>
            <w:r w:rsidR="0021215A" w:rsidRPr="00A13E6C">
              <w:rPr>
                <w:webHidden/>
              </w:rPr>
              <w:fldChar w:fldCharType="separate"/>
            </w:r>
            <w:r w:rsidR="00A22B54">
              <w:rPr>
                <w:webHidden/>
              </w:rPr>
              <w:t>21</w:t>
            </w:r>
            <w:r w:rsidR="0021215A" w:rsidRPr="00A13E6C">
              <w:rPr>
                <w:webHidden/>
              </w:rPr>
              <w:fldChar w:fldCharType="end"/>
            </w:r>
          </w:hyperlink>
        </w:p>
        <w:p w14:paraId="3AC588A7" w14:textId="415A13C7" w:rsidR="0021215A" w:rsidRPr="00A13E6C" w:rsidRDefault="00982BBB">
          <w:pPr>
            <w:pStyle w:val="TOC2"/>
            <w:rPr>
              <w:rFonts w:eastAsiaTheme="minorEastAsia" w:cstheme="minorBidi"/>
              <w:lang w:eastAsia="en-NZ"/>
            </w:rPr>
          </w:pPr>
          <w:hyperlink w:anchor="_Toc62650234" w:history="1">
            <w:r w:rsidR="0021215A" w:rsidRPr="00A13E6C">
              <w:rPr>
                <w:rStyle w:val="Hyperlink"/>
              </w:rPr>
              <w:t>1.2 Taking an inclusive approach</w:t>
            </w:r>
            <w:r w:rsidR="0021215A" w:rsidRPr="00A13E6C">
              <w:rPr>
                <w:webHidden/>
              </w:rPr>
              <w:tab/>
            </w:r>
            <w:r w:rsidR="0021215A" w:rsidRPr="00A13E6C">
              <w:rPr>
                <w:webHidden/>
              </w:rPr>
              <w:fldChar w:fldCharType="begin"/>
            </w:r>
            <w:r w:rsidR="0021215A" w:rsidRPr="00A13E6C">
              <w:rPr>
                <w:webHidden/>
              </w:rPr>
              <w:instrText xml:space="preserve"> PAGEREF _Toc62650234 \h </w:instrText>
            </w:r>
            <w:r w:rsidR="0021215A" w:rsidRPr="00A13E6C">
              <w:rPr>
                <w:webHidden/>
              </w:rPr>
            </w:r>
            <w:r w:rsidR="0021215A" w:rsidRPr="00A13E6C">
              <w:rPr>
                <w:webHidden/>
              </w:rPr>
              <w:fldChar w:fldCharType="separate"/>
            </w:r>
            <w:r w:rsidR="00A22B54">
              <w:rPr>
                <w:webHidden/>
              </w:rPr>
              <w:t>22</w:t>
            </w:r>
            <w:r w:rsidR="0021215A" w:rsidRPr="00A13E6C">
              <w:rPr>
                <w:webHidden/>
              </w:rPr>
              <w:fldChar w:fldCharType="end"/>
            </w:r>
          </w:hyperlink>
        </w:p>
        <w:p w14:paraId="471849C8" w14:textId="4BF9EF9A" w:rsidR="0021215A" w:rsidRPr="00A13E6C" w:rsidRDefault="00982BBB">
          <w:pPr>
            <w:pStyle w:val="TOC2"/>
            <w:rPr>
              <w:rFonts w:eastAsiaTheme="minorEastAsia" w:cstheme="minorBidi"/>
              <w:lang w:eastAsia="en-NZ"/>
            </w:rPr>
          </w:pPr>
          <w:hyperlink w:anchor="_Toc62650235" w:history="1">
            <w:r w:rsidR="0021215A" w:rsidRPr="00A13E6C">
              <w:rPr>
                <w:rStyle w:val="Hyperlink"/>
              </w:rPr>
              <w:t>1.3 Our draft advice and recommendations</w:t>
            </w:r>
            <w:r w:rsidR="0021215A" w:rsidRPr="00A13E6C">
              <w:rPr>
                <w:webHidden/>
              </w:rPr>
              <w:tab/>
            </w:r>
            <w:r w:rsidR="0021215A" w:rsidRPr="00A13E6C">
              <w:rPr>
                <w:webHidden/>
              </w:rPr>
              <w:fldChar w:fldCharType="begin"/>
            </w:r>
            <w:r w:rsidR="0021215A" w:rsidRPr="00A13E6C">
              <w:rPr>
                <w:webHidden/>
              </w:rPr>
              <w:instrText xml:space="preserve"> PAGEREF _Toc62650235 \h </w:instrText>
            </w:r>
            <w:r w:rsidR="0021215A" w:rsidRPr="00A13E6C">
              <w:rPr>
                <w:webHidden/>
              </w:rPr>
            </w:r>
            <w:r w:rsidR="0021215A" w:rsidRPr="00A13E6C">
              <w:rPr>
                <w:webHidden/>
              </w:rPr>
              <w:fldChar w:fldCharType="separate"/>
            </w:r>
            <w:r w:rsidR="00A22B54">
              <w:rPr>
                <w:webHidden/>
              </w:rPr>
              <w:t>23</w:t>
            </w:r>
            <w:r w:rsidR="0021215A" w:rsidRPr="00A13E6C">
              <w:rPr>
                <w:webHidden/>
              </w:rPr>
              <w:fldChar w:fldCharType="end"/>
            </w:r>
          </w:hyperlink>
        </w:p>
        <w:p w14:paraId="09D352B4" w14:textId="48F91D7F" w:rsidR="0021215A" w:rsidRPr="00A13E6C" w:rsidRDefault="00982BBB">
          <w:pPr>
            <w:pStyle w:val="TOC2"/>
            <w:rPr>
              <w:rFonts w:eastAsiaTheme="minorEastAsia" w:cstheme="minorBidi"/>
              <w:lang w:eastAsia="en-NZ"/>
            </w:rPr>
          </w:pPr>
          <w:hyperlink w:anchor="_Toc62650236" w:history="1">
            <w:r w:rsidR="0021215A" w:rsidRPr="00A13E6C">
              <w:rPr>
                <w:rStyle w:val="Hyperlink"/>
              </w:rPr>
              <w:t>1.4 Our analytical approach</w:t>
            </w:r>
            <w:r w:rsidR="0021215A" w:rsidRPr="00A13E6C">
              <w:rPr>
                <w:webHidden/>
              </w:rPr>
              <w:tab/>
            </w:r>
            <w:r w:rsidR="0021215A" w:rsidRPr="00A13E6C">
              <w:rPr>
                <w:webHidden/>
              </w:rPr>
              <w:fldChar w:fldCharType="begin"/>
            </w:r>
            <w:r w:rsidR="0021215A" w:rsidRPr="00A13E6C">
              <w:rPr>
                <w:webHidden/>
              </w:rPr>
              <w:instrText xml:space="preserve"> PAGEREF _Toc62650236 \h </w:instrText>
            </w:r>
            <w:r w:rsidR="0021215A" w:rsidRPr="00A13E6C">
              <w:rPr>
                <w:webHidden/>
              </w:rPr>
            </w:r>
            <w:r w:rsidR="0021215A" w:rsidRPr="00A13E6C">
              <w:rPr>
                <w:webHidden/>
              </w:rPr>
              <w:fldChar w:fldCharType="separate"/>
            </w:r>
            <w:r w:rsidR="00A22B54">
              <w:rPr>
                <w:webHidden/>
              </w:rPr>
              <w:t>23</w:t>
            </w:r>
            <w:r w:rsidR="0021215A" w:rsidRPr="00A13E6C">
              <w:rPr>
                <w:webHidden/>
              </w:rPr>
              <w:fldChar w:fldCharType="end"/>
            </w:r>
          </w:hyperlink>
        </w:p>
        <w:p w14:paraId="0B187D17" w14:textId="08030375" w:rsidR="0021215A" w:rsidRPr="00A13E6C" w:rsidRDefault="00982BBB">
          <w:pPr>
            <w:pStyle w:val="TOC2"/>
            <w:rPr>
              <w:rFonts w:eastAsiaTheme="minorEastAsia" w:cstheme="minorBidi"/>
              <w:lang w:eastAsia="en-NZ"/>
            </w:rPr>
          </w:pPr>
          <w:hyperlink w:anchor="_Toc62650237" w:history="1">
            <w:r w:rsidR="0021215A" w:rsidRPr="00A13E6C">
              <w:rPr>
                <w:rStyle w:val="Hyperlink"/>
              </w:rPr>
              <w:t>1.5 What is different about our analytical approach?</w:t>
            </w:r>
            <w:r w:rsidR="0021215A" w:rsidRPr="00A13E6C">
              <w:rPr>
                <w:webHidden/>
              </w:rPr>
              <w:tab/>
            </w:r>
            <w:r w:rsidR="0021215A" w:rsidRPr="00A13E6C">
              <w:rPr>
                <w:webHidden/>
              </w:rPr>
              <w:fldChar w:fldCharType="begin"/>
            </w:r>
            <w:r w:rsidR="0021215A" w:rsidRPr="00A13E6C">
              <w:rPr>
                <w:webHidden/>
              </w:rPr>
              <w:instrText xml:space="preserve"> PAGEREF _Toc62650237 \h </w:instrText>
            </w:r>
            <w:r w:rsidR="0021215A" w:rsidRPr="00A13E6C">
              <w:rPr>
                <w:webHidden/>
              </w:rPr>
            </w:r>
            <w:r w:rsidR="0021215A" w:rsidRPr="00A13E6C">
              <w:rPr>
                <w:webHidden/>
              </w:rPr>
              <w:fldChar w:fldCharType="separate"/>
            </w:r>
            <w:r w:rsidR="00A22B54">
              <w:rPr>
                <w:webHidden/>
              </w:rPr>
              <w:t>25</w:t>
            </w:r>
            <w:r w:rsidR="0021215A" w:rsidRPr="00A13E6C">
              <w:rPr>
                <w:webHidden/>
              </w:rPr>
              <w:fldChar w:fldCharType="end"/>
            </w:r>
          </w:hyperlink>
        </w:p>
        <w:p w14:paraId="45838996" w14:textId="30E92B5A" w:rsidR="0021215A" w:rsidRPr="00A13E6C" w:rsidRDefault="00982BBB">
          <w:pPr>
            <w:pStyle w:val="TOC2"/>
            <w:rPr>
              <w:rFonts w:eastAsiaTheme="minorEastAsia" w:cstheme="minorBidi"/>
              <w:lang w:eastAsia="en-NZ"/>
            </w:rPr>
          </w:pPr>
          <w:hyperlink w:anchor="_Toc62650238" w:history="1">
            <w:r w:rsidR="0021215A" w:rsidRPr="00A13E6C">
              <w:rPr>
                <w:rStyle w:val="Hyperlink"/>
              </w:rPr>
              <w:t>1.6 Our engagement so far</w:t>
            </w:r>
            <w:r w:rsidR="0021215A" w:rsidRPr="00A13E6C">
              <w:rPr>
                <w:webHidden/>
              </w:rPr>
              <w:tab/>
            </w:r>
            <w:r w:rsidR="0021215A" w:rsidRPr="00A13E6C">
              <w:rPr>
                <w:webHidden/>
              </w:rPr>
              <w:fldChar w:fldCharType="begin"/>
            </w:r>
            <w:r w:rsidR="0021215A" w:rsidRPr="00A13E6C">
              <w:rPr>
                <w:webHidden/>
              </w:rPr>
              <w:instrText xml:space="preserve"> PAGEREF _Toc62650238 \h </w:instrText>
            </w:r>
            <w:r w:rsidR="0021215A" w:rsidRPr="00A13E6C">
              <w:rPr>
                <w:webHidden/>
              </w:rPr>
            </w:r>
            <w:r w:rsidR="0021215A" w:rsidRPr="00A13E6C">
              <w:rPr>
                <w:webHidden/>
              </w:rPr>
              <w:fldChar w:fldCharType="separate"/>
            </w:r>
            <w:r w:rsidR="00A22B54">
              <w:rPr>
                <w:webHidden/>
              </w:rPr>
              <w:t>25</w:t>
            </w:r>
            <w:r w:rsidR="0021215A" w:rsidRPr="00A13E6C">
              <w:rPr>
                <w:webHidden/>
              </w:rPr>
              <w:fldChar w:fldCharType="end"/>
            </w:r>
          </w:hyperlink>
        </w:p>
        <w:p w14:paraId="62421C1A" w14:textId="798E0560" w:rsidR="0021215A" w:rsidRPr="00A13E6C" w:rsidRDefault="00982BBB">
          <w:pPr>
            <w:pStyle w:val="TOC2"/>
            <w:rPr>
              <w:rFonts w:eastAsiaTheme="minorEastAsia" w:cstheme="minorBidi"/>
              <w:lang w:eastAsia="en-NZ"/>
            </w:rPr>
          </w:pPr>
          <w:hyperlink w:anchor="_Toc62650239" w:history="1">
            <w:r w:rsidR="0021215A" w:rsidRPr="00A13E6C">
              <w:rPr>
                <w:rStyle w:val="Hyperlink"/>
              </w:rPr>
              <w:t>1.7 Our consultation questions</w:t>
            </w:r>
            <w:r w:rsidR="0021215A" w:rsidRPr="00A13E6C">
              <w:rPr>
                <w:webHidden/>
              </w:rPr>
              <w:tab/>
            </w:r>
            <w:r w:rsidR="0021215A" w:rsidRPr="00A13E6C">
              <w:rPr>
                <w:webHidden/>
              </w:rPr>
              <w:fldChar w:fldCharType="begin"/>
            </w:r>
            <w:r w:rsidR="0021215A" w:rsidRPr="00A13E6C">
              <w:rPr>
                <w:webHidden/>
              </w:rPr>
              <w:instrText xml:space="preserve"> PAGEREF _Toc62650239 \h </w:instrText>
            </w:r>
            <w:r w:rsidR="0021215A" w:rsidRPr="00A13E6C">
              <w:rPr>
                <w:webHidden/>
              </w:rPr>
            </w:r>
            <w:r w:rsidR="0021215A" w:rsidRPr="00A13E6C">
              <w:rPr>
                <w:webHidden/>
              </w:rPr>
              <w:fldChar w:fldCharType="separate"/>
            </w:r>
            <w:r w:rsidR="00A22B54">
              <w:rPr>
                <w:webHidden/>
              </w:rPr>
              <w:t>26</w:t>
            </w:r>
            <w:r w:rsidR="0021215A" w:rsidRPr="00A13E6C">
              <w:rPr>
                <w:webHidden/>
              </w:rPr>
              <w:fldChar w:fldCharType="end"/>
            </w:r>
          </w:hyperlink>
        </w:p>
        <w:p w14:paraId="1D3CFEC5" w14:textId="07EDCBC7" w:rsidR="0021215A" w:rsidRPr="00A13E6C" w:rsidRDefault="00982BBB">
          <w:pPr>
            <w:pStyle w:val="TOC2"/>
            <w:rPr>
              <w:rFonts w:eastAsiaTheme="minorEastAsia" w:cstheme="minorBidi"/>
              <w:lang w:eastAsia="en-NZ"/>
            </w:rPr>
          </w:pPr>
          <w:hyperlink w:anchor="_Toc62650240" w:history="1">
            <w:r w:rsidR="0021215A" w:rsidRPr="00A13E6C">
              <w:rPr>
                <w:rStyle w:val="Hyperlink"/>
              </w:rPr>
              <w:t>1.8 Biogenic methane and NDC advice</w:t>
            </w:r>
            <w:r w:rsidR="0021215A" w:rsidRPr="00A13E6C">
              <w:rPr>
                <w:webHidden/>
              </w:rPr>
              <w:tab/>
            </w:r>
            <w:r w:rsidR="0021215A" w:rsidRPr="00A13E6C">
              <w:rPr>
                <w:webHidden/>
              </w:rPr>
              <w:fldChar w:fldCharType="begin"/>
            </w:r>
            <w:r w:rsidR="0021215A" w:rsidRPr="00A13E6C">
              <w:rPr>
                <w:webHidden/>
              </w:rPr>
              <w:instrText xml:space="preserve"> PAGEREF _Toc62650240 \h </w:instrText>
            </w:r>
            <w:r w:rsidR="0021215A" w:rsidRPr="00A13E6C">
              <w:rPr>
                <w:webHidden/>
              </w:rPr>
            </w:r>
            <w:r w:rsidR="0021215A" w:rsidRPr="00A13E6C">
              <w:rPr>
                <w:webHidden/>
              </w:rPr>
              <w:fldChar w:fldCharType="separate"/>
            </w:r>
            <w:r w:rsidR="00A22B54">
              <w:rPr>
                <w:webHidden/>
              </w:rPr>
              <w:t>26</w:t>
            </w:r>
            <w:r w:rsidR="0021215A" w:rsidRPr="00A13E6C">
              <w:rPr>
                <w:webHidden/>
              </w:rPr>
              <w:fldChar w:fldCharType="end"/>
            </w:r>
          </w:hyperlink>
        </w:p>
        <w:p w14:paraId="48067F91" w14:textId="075E2633" w:rsidR="0021215A" w:rsidRPr="00A13E6C" w:rsidRDefault="00982BBB" w:rsidP="00AE5853">
          <w:pPr>
            <w:pStyle w:val="TOC1"/>
            <w:rPr>
              <w:rFonts w:eastAsiaTheme="minorEastAsia" w:cstheme="minorBidi"/>
              <w:sz w:val="22"/>
              <w:szCs w:val="22"/>
              <w:lang w:eastAsia="en-NZ"/>
            </w:rPr>
          </w:pPr>
          <w:hyperlink w:anchor="_Toc62650241" w:history="1">
            <w:r w:rsidR="0021215A" w:rsidRPr="00A13E6C">
              <w:rPr>
                <w:rStyle w:val="Hyperlink"/>
              </w:rPr>
              <w:t>Chapter 2: Our proposed emissions budgets advice</w:t>
            </w:r>
            <w:r w:rsidR="0021215A" w:rsidRPr="00A13E6C">
              <w:rPr>
                <w:webHidden/>
              </w:rPr>
              <w:tab/>
            </w:r>
            <w:r w:rsidR="0021215A" w:rsidRPr="00A13E6C">
              <w:rPr>
                <w:webHidden/>
              </w:rPr>
              <w:fldChar w:fldCharType="begin"/>
            </w:r>
            <w:r w:rsidR="0021215A" w:rsidRPr="00A13E6C">
              <w:rPr>
                <w:webHidden/>
              </w:rPr>
              <w:instrText xml:space="preserve"> PAGEREF _Toc62650241 \h </w:instrText>
            </w:r>
            <w:r w:rsidR="0021215A" w:rsidRPr="00A13E6C">
              <w:rPr>
                <w:webHidden/>
              </w:rPr>
            </w:r>
            <w:r w:rsidR="0021215A" w:rsidRPr="00A13E6C">
              <w:rPr>
                <w:webHidden/>
              </w:rPr>
              <w:fldChar w:fldCharType="separate"/>
            </w:r>
            <w:r w:rsidR="00A22B54">
              <w:rPr>
                <w:webHidden/>
              </w:rPr>
              <w:t>27</w:t>
            </w:r>
            <w:r w:rsidR="0021215A" w:rsidRPr="00A13E6C">
              <w:rPr>
                <w:webHidden/>
              </w:rPr>
              <w:fldChar w:fldCharType="end"/>
            </w:r>
          </w:hyperlink>
        </w:p>
        <w:p w14:paraId="3C58B9C3" w14:textId="1A52B35C" w:rsidR="0021215A" w:rsidRPr="00A13E6C" w:rsidRDefault="00982BBB">
          <w:pPr>
            <w:pStyle w:val="TOC2"/>
            <w:rPr>
              <w:rFonts w:eastAsiaTheme="minorEastAsia" w:cstheme="minorBidi"/>
              <w:lang w:eastAsia="en-NZ"/>
            </w:rPr>
          </w:pPr>
          <w:hyperlink w:anchor="_Toc62650242" w:history="1">
            <w:r w:rsidR="0021215A" w:rsidRPr="00A13E6C">
              <w:rPr>
                <w:rStyle w:val="Hyperlink"/>
              </w:rPr>
              <w:t>2.1 Emissions in Aotearoa</w:t>
            </w:r>
            <w:r w:rsidR="0021215A" w:rsidRPr="00A13E6C">
              <w:rPr>
                <w:webHidden/>
              </w:rPr>
              <w:tab/>
            </w:r>
            <w:r w:rsidR="0021215A" w:rsidRPr="00A13E6C">
              <w:rPr>
                <w:webHidden/>
              </w:rPr>
              <w:fldChar w:fldCharType="begin"/>
            </w:r>
            <w:r w:rsidR="0021215A" w:rsidRPr="00A13E6C">
              <w:rPr>
                <w:webHidden/>
              </w:rPr>
              <w:instrText xml:space="preserve"> PAGEREF _Toc62650242 \h </w:instrText>
            </w:r>
            <w:r w:rsidR="0021215A" w:rsidRPr="00A13E6C">
              <w:rPr>
                <w:webHidden/>
              </w:rPr>
            </w:r>
            <w:r w:rsidR="0021215A" w:rsidRPr="00A13E6C">
              <w:rPr>
                <w:webHidden/>
              </w:rPr>
              <w:fldChar w:fldCharType="separate"/>
            </w:r>
            <w:r w:rsidR="00A22B54">
              <w:rPr>
                <w:webHidden/>
              </w:rPr>
              <w:t>27</w:t>
            </w:r>
            <w:r w:rsidR="0021215A" w:rsidRPr="00A13E6C">
              <w:rPr>
                <w:webHidden/>
              </w:rPr>
              <w:fldChar w:fldCharType="end"/>
            </w:r>
          </w:hyperlink>
        </w:p>
        <w:p w14:paraId="32DB50BF" w14:textId="28997CBD" w:rsidR="0021215A" w:rsidRPr="00A13E6C" w:rsidRDefault="00982BBB">
          <w:pPr>
            <w:pStyle w:val="TOC2"/>
            <w:rPr>
              <w:rFonts w:eastAsiaTheme="minorEastAsia" w:cstheme="minorBidi"/>
              <w:lang w:eastAsia="en-NZ"/>
            </w:rPr>
          </w:pPr>
          <w:hyperlink w:anchor="_Toc62650243" w:history="1">
            <w:r w:rsidR="0021215A" w:rsidRPr="00A13E6C">
              <w:rPr>
                <w:rStyle w:val="Hyperlink"/>
                <w:rFonts w:eastAsia="Times New Roman"/>
                <w:lang w:eastAsia="en-NZ"/>
              </w:rPr>
              <w:t>2.2 Accelerating action to reduce emissions</w:t>
            </w:r>
            <w:r w:rsidR="0021215A" w:rsidRPr="00A13E6C">
              <w:rPr>
                <w:webHidden/>
              </w:rPr>
              <w:tab/>
            </w:r>
            <w:r w:rsidR="0021215A" w:rsidRPr="00A13E6C">
              <w:rPr>
                <w:webHidden/>
              </w:rPr>
              <w:fldChar w:fldCharType="begin"/>
            </w:r>
            <w:r w:rsidR="0021215A" w:rsidRPr="00A13E6C">
              <w:rPr>
                <w:webHidden/>
              </w:rPr>
              <w:instrText xml:space="preserve"> PAGEREF _Toc62650243 \h </w:instrText>
            </w:r>
            <w:r w:rsidR="0021215A" w:rsidRPr="00A13E6C">
              <w:rPr>
                <w:webHidden/>
              </w:rPr>
            </w:r>
            <w:r w:rsidR="0021215A" w:rsidRPr="00A13E6C">
              <w:rPr>
                <w:webHidden/>
              </w:rPr>
              <w:fldChar w:fldCharType="separate"/>
            </w:r>
            <w:r w:rsidR="00A22B54">
              <w:rPr>
                <w:webHidden/>
              </w:rPr>
              <w:t>29</w:t>
            </w:r>
            <w:r w:rsidR="0021215A" w:rsidRPr="00A13E6C">
              <w:rPr>
                <w:webHidden/>
              </w:rPr>
              <w:fldChar w:fldCharType="end"/>
            </w:r>
          </w:hyperlink>
        </w:p>
        <w:p w14:paraId="22B5803D" w14:textId="456FD470" w:rsidR="0021215A" w:rsidRPr="00A13E6C" w:rsidRDefault="00982BBB">
          <w:pPr>
            <w:pStyle w:val="TOC2"/>
            <w:rPr>
              <w:rFonts w:eastAsiaTheme="minorEastAsia" w:cstheme="minorBidi"/>
              <w:lang w:eastAsia="en-NZ"/>
            </w:rPr>
          </w:pPr>
          <w:hyperlink w:anchor="_Toc62650244" w:history="1">
            <w:r w:rsidR="0021215A" w:rsidRPr="00A13E6C">
              <w:rPr>
                <w:rStyle w:val="Hyperlink"/>
              </w:rPr>
              <w:t>2.3 Emissions budgets – stepping down emissions in Aotearoa</w:t>
            </w:r>
            <w:r w:rsidR="0021215A" w:rsidRPr="00A13E6C">
              <w:rPr>
                <w:webHidden/>
              </w:rPr>
              <w:tab/>
            </w:r>
            <w:r w:rsidR="0021215A" w:rsidRPr="00A13E6C">
              <w:rPr>
                <w:webHidden/>
              </w:rPr>
              <w:fldChar w:fldCharType="begin"/>
            </w:r>
            <w:r w:rsidR="0021215A" w:rsidRPr="00A13E6C">
              <w:rPr>
                <w:webHidden/>
              </w:rPr>
              <w:instrText xml:space="preserve"> PAGEREF _Toc62650244 \h </w:instrText>
            </w:r>
            <w:r w:rsidR="0021215A" w:rsidRPr="00A13E6C">
              <w:rPr>
                <w:webHidden/>
              </w:rPr>
            </w:r>
            <w:r w:rsidR="0021215A" w:rsidRPr="00A13E6C">
              <w:rPr>
                <w:webHidden/>
              </w:rPr>
              <w:fldChar w:fldCharType="separate"/>
            </w:r>
            <w:r w:rsidR="00A22B54">
              <w:rPr>
                <w:webHidden/>
              </w:rPr>
              <w:t>30</w:t>
            </w:r>
            <w:r w:rsidR="0021215A" w:rsidRPr="00A13E6C">
              <w:rPr>
                <w:webHidden/>
              </w:rPr>
              <w:fldChar w:fldCharType="end"/>
            </w:r>
          </w:hyperlink>
        </w:p>
        <w:p w14:paraId="28055743" w14:textId="1B87579D" w:rsidR="0021215A" w:rsidRPr="00A13E6C" w:rsidRDefault="00982BBB">
          <w:pPr>
            <w:pStyle w:val="TOC2"/>
            <w:rPr>
              <w:rFonts w:eastAsiaTheme="minorEastAsia" w:cstheme="minorBidi"/>
              <w:lang w:eastAsia="en-NZ"/>
            </w:rPr>
          </w:pPr>
          <w:hyperlink w:anchor="_Toc62650245" w:history="1">
            <w:r w:rsidR="0021215A" w:rsidRPr="00A13E6C">
              <w:rPr>
                <w:rStyle w:val="Hyperlink"/>
              </w:rPr>
              <w:t>2.4 Contribution of different gases, and domestic emissions reductions and domestic removals</w:t>
            </w:r>
            <w:r w:rsidR="0021215A" w:rsidRPr="00A13E6C">
              <w:rPr>
                <w:webHidden/>
              </w:rPr>
              <w:tab/>
            </w:r>
            <w:r w:rsidR="0021215A" w:rsidRPr="00A13E6C">
              <w:rPr>
                <w:webHidden/>
              </w:rPr>
              <w:fldChar w:fldCharType="begin"/>
            </w:r>
            <w:r w:rsidR="0021215A" w:rsidRPr="00A13E6C">
              <w:rPr>
                <w:webHidden/>
              </w:rPr>
              <w:instrText xml:space="preserve"> PAGEREF _Toc62650245 \h </w:instrText>
            </w:r>
            <w:r w:rsidR="0021215A" w:rsidRPr="00A13E6C">
              <w:rPr>
                <w:webHidden/>
              </w:rPr>
            </w:r>
            <w:r w:rsidR="0021215A" w:rsidRPr="00A13E6C">
              <w:rPr>
                <w:webHidden/>
              </w:rPr>
              <w:fldChar w:fldCharType="separate"/>
            </w:r>
            <w:r w:rsidR="00A22B54">
              <w:rPr>
                <w:webHidden/>
              </w:rPr>
              <w:t>31</w:t>
            </w:r>
            <w:r w:rsidR="0021215A" w:rsidRPr="00A13E6C">
              <w:rPr>
                <w:webHidden/>
              </w:rPr>
              <w:fldChar w:fldCharType="end"/>
            </w:r>
          </w:hyperlink>
        </w:p>
        <w:p w14:paraId="6FF17A88" w14:textId="4BC538D8" w:rsidR="0021215A" w:rsidRPr="00A13E6C" w:rsidRDefault="00982BBB">
          <w:pPr>
            <w:pStyle w:val="TOC2"/>
            <w:rPr>
              <w:rFonts w:eastAsiaTheme="minorEastAsia" w:cstheme="minorBidi"/>
              <w:lang w:eastAsia="en-NZ"/>
            </w:rPr>
          </w:pPr>
          <w:hyperlink w:anchor="_Toc62650246" w:history="1">
            <w:r w:rsidR="0021215A" w:rsidRPr="00A13E6C">
              <w:rPr>
                <w:rStyle w:val="Hyperlink"/>
              </w:rPr>
              <w:t>2.5 Limit on offshore mitigation and when it should be used to meet emissions budgets</w:t>
            </w:r>
            <w:r w:rsidR="0021215A" w:rsidRPr="00A13E6C">
              <w:rPr>
                <w:webHidden/>
              </w:rPr>
              <w:tab/>
            </w:r>
            <w:r w:rsidR="0021215A" w:rsidRPr="00A13E6C">
              <w:rPr>
                <w:webHidden/>
              </w:rPr>
              <w:fldChar w:fldCharType="begin"/>
            </w:r>
            <w:r w:rsidR="0021215A" w:rsidRPr="00A13E6C">
              <w:rPr>
                <w:webHidden/>
              </w:rPr>
              <w:instrText xml:space="preserve"> PAGEREF _Toc62650246 \h </w:instrText>
            </w:r>
            <w:r w:rsidR="0021215A" w:rsidRPr="00A13E6C">
              <w:rPr>
                <w:webHidden/>
              </w:rPr>
            </w:r>
            <w:r w:rsidR="0021215A" w:rsidRPr="00A13E6C">
              <w:rPr>
                <w:webHidden/>
              </w:rPr>
              <w:fldChar w:fldCharType="separate"/>
            </w:r>
            <w:r w:rsidR="00A22B54">
              <w:rPr>
                <w:webHidden/>
              </w:rPr>
              <w:t>36</w:t>
            </w:r>
            <w:r w:rsidR="0021215A" w:rsidRPr="00A13E6C">
              <w:rPr>
                <w:webHidden/>
              </w:rPr>
              <w:fldChar w:fldCharType="end"/>
            </w:r>
          </w:hyperlink>
        </w:p>
        <w:p w14:paraId="1DF6A167" w14:textId="12432A26" w:rsidR="0021215A" w:rsidRPr="00A13E6C" w:rsidRDefault="00982BBB" w:rsidP="00AE5853">
          <w:pPr>
            <w:pStyle w:val="TOC3"/>
            <w:rPr>
              <w:rFonts w:eastAsiaTheme="minorEastAsia"/>
              <w:noProof/>
              <w:lang w:eastAsia="en-NZ"/>
            </w:rPr>
          </w:pPr>
          <w:hyperlink w:anchor="_Toc62650247" w:history="1">
            <w:r w:rsidR="0021215A" w:rsidRPr="00A13E6C">
              <w:rPr>
                <w:rStyle w:val="Hyperlink"/>
                <w:noProof/>
              </w:rPr>
              <w:t>2.5.1 Borrowing</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_Toc62650247 \h </w:instrText>
            </w:r>
            <w:r w:rsidR="0021215A" w:rsidRPr="00A13E6C">
              <w:rPr>
                <w:noProof/>
                <w:webHidden/>
              </w:rPr>
            </w:r>
            <w:r w:rsidR="0021215A" w:rsidRPr="00A13E6C">
              <w:rPr>
                <w:noProof/>
                <w:webHidden/>
              </w:rPr>
              <w:fldChar w:fldCharType="separate"/>
            </w:r>
            <w:r w:rsidR="00A22B54">
              <w:rPr>
                <w:noProof/>
                <w:webHidden/>
              </w:rPr>
              <w:t>36</w:t>
            </w:r>
            <w:r w:rsidR="0021215A" w:rsidRPr="00A13E6C">
              <w:rPr>
                <w:noProof/>
                <w:webHidden/>
              </w:rPr>
              <w:fldChar w:fldCharType="end"/>
            </w:r>
          </w:hyperlink>
        </w:p>
        <w:p w14:paraId="199AB8C6" w14:textId="6F7F3B72" w:rsidR="0021215A" w:rsidRPr="00A13E6C" w:rsidRDefault="00982BBB" w:rsidP="00AE5853">
          <w:pPr>
            <w:pStyle w:val="TOC3"/>
            <w:rPr>
              <w:rFonts w:eastAsiaTheme="minorEastAsia"/>
              <w:noProof/>
              <w:lang w:eastAsia="en-NZ"/>
            </w:rPr>
          </w:pPr>
          <w:hyperlink w:anchor="_Toc62650248" w:history="1">
            <w:r w:rsidR="0021215A" w:rsidRPr="00A13E6C">
              <w:rPr>
                <w:rStyle w:val="Hyperlink"/>
                <w:noProof/>
              </w:rPr>
              <w:t>2.5.2 Offshore mitigation</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_Toc62650248 \h </w:instrText>
            </w:r>
            <w:r w:rsidR="0021215A" w:rsidRPr="00A13E6C">
              <w:rPr>
                <w:noProof/>
                <w:webHidden/>
              </w:rPr>
            </w:r>
            <w:r w:rsidR="0021215A" w:rsidRPr="00A13E6C">
              <w:rPr>
                <w:noProof/>
                <w:webHidden/>
              </w:rPr>
              <w:fldChar w:fldCharType="separate"/>
            </w:r>
            <w:r w:rsidR="00A22B54">
              <w:rPr>
                <w:noProof/>
                <w:webHidden/>
              </w:rPr>
              <w:t>37</w:t>
            </w:r>
            <w:r w:rsidR="0021215A" w:rsidRPr="00A13E6C">
              <w:rPr>
                <w:noProof/>
                <w:webHidden/>
              </w:rPr>
              <w:fldChar w:fldCharType="end"/>
            </w:r>
          </w:hyperlink>
        </w:p>
        <w:p w14:paraId="5FAF3AED" w14:textId="67F851EC" w:rsidR="0021215A" w:rsidRPr="00A13E6C" w:rsidRDefault="00982BBB">
          <w:pPr>
            <w:pStyle w:val="TOC2"/>
            <w:rPr>
              <w:rFonts w:eastAsiaTheme="minorEastAsia" w:cstheme="minorBidi"/>
              <w:lang w:eastAsia="en-NZ"/>
            </w:rPr>
          </w:pPr>
          <w:hyperlink w:anchor="_Toc62650249" w:history="1">
            <w:r w:rsidR="0021215A" w:rsidRPr="00A13E6C">
              <w:rPr>
                <w:rStyle w:val="Hyperlink"/>
              </w:rPr>
              <w:t>2.6 Enabling an enduring climate transition</w:t>
            </w:r>
            <w:r w:rsidR="0021215A" w:rsidRPr="00A13E6C">
              <w:rPr>
                <w:webHidden/>
              </w:rPr>
              <w:tab/>
            </w:r>
            <w:r w:rsidR="0021215A" w:rsidRPr="00A13E6C">
              <w:rPr>
                <w:webHidden/>
              </w:rPr>
              <w:fldChar w:fldCharType="begin"/>
            </w:r>
            <w:r w:rsidR="0021215A" w:rsidRPr="00A13E6C">
              <w:rPr>
                <w:webHidden/>
              </w:rPr>
              <w:instrText xml:space="preserve"> PAGEREF _Toc62650249 \h </w:instrText>
            </w:r>
            <w:r w:rsidR="0021215A" w:rsidRPr="00A13E6C">
              <w:rPr>
                <w:webHidden/>
              </w:rPr>
            </w:r>
            <w:r w:rsidR="0021215A" w:rsidRPr="00A13E6C">
              <w:rPr>
                <w:webHidden/>
              </w:rPr>
              <w:fldChar w:fldCharType="separate"/>
            </w:r>
            <w:r w:rsidR="00A22B54">
              <w:rPr>
                <w:webHidden/>
              </w:rPr>
              <w:t>38</w:t>
            </w:r>
            <w:r w:rsidR="0021215A" w:rsidRPr="00A13E6C">
              <w:rPr>
                <w:webHidden/>
              </w:rPr>
              <w:fldChar w:fldCharType="end"/>
            </w:r>
          </w:hyperlink>
        </w:p>
        <w:p w14:paraId="60747C60" w14:textId="0CD3FC31" w:rsidR="0021215A" w:rsidRPr="00A13E6C" w:rsidRDefault="00982BBB" w:rsidP="00AE5853">
          <w:pPr>
            <w:pStyle w:val="TOC3"/>
            <w:rPr>
              <w:rFonts w:eastAsiaTheme="minorEastAsia"/>
              <w:noProof/>
              <w:lang w:eastAsia="en-NZ"/>
            </w:rPr>
          </w:pPr>
          <w:hyperlink w:anchor="_Toc62650250" w:history="1">
            <w:r w:rsidR="0021215A" w:rsidRPr="00A13E6C">
              <w:rPr>
                <w:rStyle w:val="Hyperlink"/>
                <w:noProof/>
              </w:rPr>
              <w:t>2.6.1 Cross-party support for emissions budgets</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_Toc62650250 \h </w:instrText>
            </w:r>
            <w:r w:rsidR="0021215A" w:rsidRPr="00A13E6C">
              <w:rPr>
                <w:noProof/>
                <w:webHidden/>
              </w:rPr>
            </w:r>
            <w:r w:rsidR="0021215A" w:rsidRPr="00A13E6C">
              <w:rPr>
                <w:noProof/>
                <w:webHidden/>
              </w:rPr>
              <w:fldChar w:fldCharType="separate"/>
            </w:r>
            <w:r w:rsidR="00A22B54">
              <w:rPr>
                <w:noProof/>
                <w:webHidden/>
              </w:rPr>
              <w:t>38</w:t>
            </w:r>
            <w:r w:rsidR="0021215A" w:rsidRPr="00A13E6C">
              <w:rPr>
                <w:noProof/>
                <w:webHidden/>
              </w:rPr>
              <w:fldChar w:fldCharType="end"/>
            </w:r>
          </w:hyperlink>
        </w:p>
        <w:p w14:paraId="6FD44663" w14:textId="04B1B71F" w:rsidR="0021215A" w:rsidRPr="00A13E6C" w:rsidRDefault="00982BBB" w:rsidP="00AE5853">
          <w:pPr>
            <w:pStyle w:val="TOC3"/>
            <w:rPr>
              <w:rFonts w:eastAsiaTheme="minorEastAsia"/>
              <w:noProof/>
              <w:lang w:eastAsia="en-NZ"/>
            </w:rPr>
          </w:pPr>
          <w:hyperlink w:anchor="_Toc62650251" w:history="1">
            <w:r w:rsidR="0021215A" w:rsidRPr="00A13E6C">
              <w:rPr>
                <w:rStyle w:val="Hyperlink"/>
                <w:noProof/>
              </w:rPr>
              <w:t>2.6.2 Coordinate efforts to address climate change across government</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_Toc62650251 \h </w:instrText>
            </w:r>
            <w:r w:rsidR="0021215A" w:rsidRPr="00A13E6C">
              <w:rPr>
                <w:noProof/>
                <w:webHidden/>
              </w:rPr>
            </w:r>
            <w:r w:rsidR="0021215A" w:rsidRPr="00A13E6C">
              <w:rPr>
                <w:noProof/>
                <w:webHidden/>
              </w:rPr>
              <w:fldChar w:fldCharType="separate"/>
            </w:r>
            <w:r w:rsidR="00A22B54">
              <w:rPr>
                <w:noProof/>
                <w:webHidden/>
              </w:rPr>
              <w:t>39</w:t>
            </w:r>
            <w:r w:rsidR="0021215A" w:rsidRPr="00A13E6C">
              <w:rPr>
                <w:noProof/>
                <w:webHidden/>
              </w:rPr>
              <w:fldChar w:fldCharType="end"/>
            </w:r>
          </w:hyperlink>
        </w:p>
        <w:p w14:paraId="3D9D4A29" w14:textId="6FC80FBA" w:rsidR="0021215A" w:rsidRPr="00A13E6C" w:rsidRDefault="00982BBB" w:rsidP="00AE5853">
          <w:pPr>
            <w:pStyle w:val="TOC3"/>
            <w:rPr>
              <w:rFonts w:eastAsiaTheme="minorEastAsia"/>
              <w:noProof/>
              <w:lang w:eastAsia="en-NZ"/>
            </w:rPr>
          </w:pPr>
          <w:hyperlink w:anchor="_Toc62650252" w:history="1">
            <w:r w:rsidR="0021215A" w:rsidRPr="00A13E6C">
              <w:rPr>
                <w:rStyle w:val="Hyperlink"/>
                <w:noProof/>
              </w:rPr>
              <w:t>2.6.3 Genuine, active and enduring partnership with iwi/Māori</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_Toc62650252 \h </w:instrText>
            </w:r>
            <w:r w:rsidR="0021215A" w:rsidRPr="00A13E6C">
              <w:rPr>
                <w:noProof/>
                <w:webHidden/>
              </w:rPr>
            </w:r>
            <w:r w:rsidR="0021215A" w:rsidRPr="00A13E6C">
              <w:rPr>
                <w:noProof/>
                <w:webHidden/>
              </w:rPr>
              <w:fldChar w:fldCharType="separate"/>
            </w:r>
            <w:r w:rsidR="00A22B54">
              <w:rPr>
                <w:noProof/>
                <w:webHidden/>
              </w:rPr>
              <w:t>40</w:t>
            </w:r>
            <w:r w:rsidR="0021215A" w:rsidRPr="00A13E6C">
              <w:rPr>
                <w:noProof/>
                <w:webHidden/>
              </w:rPr>
              <w:fldChar w:fldCharType="end"/>
            </w:r>
          </w:hyperlink>
        </w:p>
        <w:p w14:paraId="5632ED05" w14:textId="30335F79" w:rsidR="0021215A" w:rsidRPr="00A13E6C" w:rsidRDefault="00982BBB" w:rsidP="00AE5853">
          <w:pPr>
            <w:pStyle w:val="TOC3"/>
            <w:rPr>
              <w:rFonts w:eastAsiaTheme="minorEastAsia"/>
              <w:noProof/>
              <w:lang w:eastAsia="en-NZ"/>
            </w:rPr>
          </w:pPr>
          <w:hyperlink w:anchor="_Toc62650253" w:history="1">
            <w:r w:rsidR="0021215A" w:rsidRPr="00A13E6C">
              <w:rPr>
                <w:rStyle w:val="Hyperlink"/>
                <w:noProof/>
              </w:rPr>
              <w:t>2.6.4 Central and local government working in partnership</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_Toc62650253 \h </w:instrText>
            </w:r>
            <w:r w:rsidR="0021215A" w:rsidRPr="00A13E6C">
              <w:rPr>
                <w:noProof/>
                <w:webHidden/>
              </w:rPr>
            </w:r>
            <w:r w:rsidR="0021215A" w:rsidRPr="00A13E6C">
              <w:rPr>
                <w:noProof/>
                <w:webHidden/>
              </w:rPr>
              <w:fldChar w:fldCharType="separate"/>
            </w:r>
            <w:r w:rsidR="00A22B54">
              <w:rPr>
                <w:noProof/>
                <w:webHidden/>
              </w:rPr>
              <w:t>42</w:t>
            </w:r>
            <w:r w:rsidR="0021215A" w:rsidRPr="00A13E6C">
              <w:rPr>
                <w:noProof/>
                <w:webHidden/>
              </w:rPr>
              <w:fldChar w:fldCharType="end"/>
            </w:r>
          </w:hyperlink>
        </w:p>
        <w:p w14:paraId="7ABBC8C2" w14:textId="34C84E0D" w:rsidR="0021215A" w:rsidRPr="00A13E6C" w:rsidRDefault="00982BBB" w:rsidP="00AE5853">
          <w:pPr>
            <w:pStyle w:val="TOC3"/>
            <w:rPr>
              <w:rFonts w:eastAsiaTheme="minorEastAsia"/>
              <w:noProof/>
              <w:lang w:eastAsia="en-NZ"/>
            </w:rPr>
          </w:pPr>
          <w:hyperlink w:anchor="_Toc62650254" w:history="1">
            <w:r w:rsidR="0021215A" w:rsidRPr="00A13E6C">
              <w:rPr>
                <w:rStyle w:val="Hyperlink"/>
                <w:noProof/>
              </w:rPr>
              <w:t>2.6.5 Ensuring inclusive and effective consultation, engagement and public participation</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_Toc62650254 \h </w:instrText>
            </w:r>
            <w:r w:rsidR="0021215A" w:rsidRPr="00A13E6C">
              <w:rPr>
                <w:noProof/>
                <w:webHidden/>
              </w:rPr>
            </w:r>
            <w:r w:rsidR="0021215A" w:rsidRPr="00A13E6C">
              <w:rPr>
                <w:noProof/>
                <w:webHidden/>
              </w:rPr>
              <w:fldChar w:fldCharType="separate"/>
            </w:r>
            <w:r w:rsidR="00A22B54">
              <w:rPr>
                <w:noProof/>
                <w:webHidden/>
              </w:rPr>
              <w:t>43</w:t>
            </w:r>
            <w:r w:rsidR="0021215A" w:rsidRPr="00A13E6C">
              <w:rPr>
                <w:noProof/>
                <w:webHidden/>
              </w:rPr>
              <w:fldChar w:fldCharType="end"/>
            </w:r>
          </w:hyperlink>
        </w:p>
        <w:p w14:paraId="1111A28E" w14:textId="23F6BEE5" w:rsidR="0021215A" w:rsidRPr="00A13E6C" w:rsidRDefault="00982BBB" w:rsidP="00AE5853">
          <w:pPr>
            <w:pStyle w:val="TOC1"/>
            <w:rPr>
              <w:rFonts w:eastAsiaTheme="minorEastAsia" w:cstheme="minorBidi"/>
              <w:sz w:val="22"/>
              <w:szCs w:val="22"/>
              <w:lang w:eastAsia="en-NZ"/>
            </w:rPr>
          </w:pPr>
          <w:hyperlink w:anchor="_Toc62650255" w:history="1">
            <w:r w:rsidR="0021215A" w:rsidRPr="00A13E6C">
              <w:rPr>
                <w:rStyle w:val="Hyperlink"/>
              </w:rPr>
              <w:t>Chapter 3: The path to 2035</w:t>
            </w:r>
            <w:r w:rsidR="0021215A" w:rsidRPr="00A13E6C">
              <w:rPr>
                <w:webHidden/>
              </w:rPr>
              <w:tab/>
            </w:r>
            <w:r w:rsidR="0021215A" w:rsidRPr="00A13E6C">
              <w:rPr>
                <w:webHidden/>
              </w:rPr>
              <w:fldChar w:fldCharType="begin"/>
            </w:r>
            <w:r w:rsidR="0021215A" w:rsidRPr="00A13E6C">
              <w:rPr>
                <w:webHidden/>
              </w:rPr>
              <w:instrText xml:space="preserve"> PAGEREF _Toc62650255 \h </w:instrText>
            </w:r>
            <w:r w:rsidR="0021215A" w:rsidRPr="00A13E6C">
              <w:rPr>
                <w:webHidden/>
              </w:rPr>
            </w:r>
            <w:r w:rsidR="0021215A" w:rsidRPr="00A13E6C">
              <w:rPr>
                <w:webHidden/>
              </w:rPr>
              <w:fldChar w:fldCharType="separate"/>
            </w:r>
            <w:r w:rsidR="00A22B54">
              <w:rPr>
                <w:webHidden/>
              </w:rPr>
              <w:t>45</w:t>
            </w:r>
            <w:r w:rsidR="0021215A" w:rsidRPr="00A13E6C">
              <w:rPr>
                <w:webHidden/>
              </w:rPr>
              <w:fldChar w:fldCharType="end"/>
            </w:r>
          </w:hyperlink>
        </w:p>
        <w:p w14:paraId="6C95E099" w14:textId="22A287F4" w:rsidR="0021215A" w:rsidRPr="00A13E6C" w:rsidRDefault="00982BBB">
          <w:pPr>
            <w:pStyle w:val="TOC2"/>
            <w:rPr>
              <w:rFonts w:eastAsiaTheme="minorEastAsia" w:cstheme="minorBidi"/>
              <w:lang w:eastAsia="en-NZ"/>
            </w:rPr>
          </w:pPr>
          <w:hyperlink w:anchor="_Toc62650256" w:history="1">
            <w:r w:rsidR="0021215A" w:rsidRPr="00A13E6C">
              <w:rPr>
                <w:rStyle w:val="Hyperlink"/>
              </w:rPr>
              <w:t>3.1 Current policies do not put Aotearoa on the right track</w:t>
            </w:r>
            <w:r w:rsidR="0021215A" w:rsidRPr="00A13E6C">
              <w:rPr>
                <w:webHidden/>
              </w:rPr>
              <w:tab/>
            </w:r>
            <w:r w:rsidR="0021215A" w:rsidRPr="00A13E6C">
              <w:rPr>
                <w:webHidden/>
              </w:rPr>
              <w:fldChar w:fldCharType="begin"/>
            </w:r>
            <w:r w:rsidR="0021215A" w:rsidRPr="00A13E6C">
              <w:rPr>
                <w:webHidden/>
              </w:rPr>
              <w:instrText xml:space="preserve"> PAGEREF _Toc62650256 \h </w:instrText>
            </w:r>
            <w:r w:rsidR="0021215A" w:rsidRPr="00A13E6C">
              <w:rPr>
                <w:webHidden/>
              </w:rPr>
            </w:r>
            <w:r w:rsidR="0021215A" w:rsidRPr="00A13E6C">
              <w:rPr>
                <w:webHidden/>
              </w:rPr>
              <w:fldChar w:fldCharType="separate"/>
            </w:r>
            <w:r w:rsidR="00A22B54">
              <w:rPr>
                <w:webHidden/>
              </w:rPr>
              <w:t>45</w:t>
            </w:r>
            <w:r w:rsidR="0021215A" w:rsidRPr="00A13E6C">
              <w:rPr>
                <w:webHidden/>
              </w:rPr>
              <w:fldChar w:fldCharType="end"/>
            </w:r>
          </w:hyperlink>
        </w:p>
        <w:p w14:paraId="4CD64491" w14:textId="37A03DAE" w:rsidR="0021215A" w:rsidRPr="00A13E6C" w:rsidRDefault="00982BBB">
          <w:pPr>
            <w:pStyle w:val="TOC2"/>
            <w:rPr>
              <w:rFonts w:eastAsiaTheme="minorEastAsia" w:cstheme="minorBidi"/>
              <w:lang w:eastAsia="en-NZ"/>
            </w:rPr>
          </w:pPr>
          <w:hyperlink w:anchor="_Toc62650257" w:history="1">
            <w:r w:rsidR="0021215A" w:rsidRPr="00A13E6C">
              <w:rPr>
                <w:rStyle w:val="Hyperlink"/>
              </w:rPr>
              <w:t>3.2 Our approach suggests a different, but important role for forestry</w:t>
            </w:r>
            <w:r w:rsidR="0021215A" w:rsidRPr="00A13E6C">
              <w:rPr>
                <w:webHidden/>
              </w:rPr>
              <w:tab/>
            </w:r>
            <w:r w:rsidR="0021215A" w:rsidRPr="00A13E6C">
              <w:rPr>
                <w:webHidden/>
              </w:rPr>
              <w:fldChar w:fldCharType="begin"/>
            </w:r>
            <w:r w:rsidR="0021215A" w:rsidRPr="00A13E6C">
              <w:rPr>
                <w:webHidden/>
              </w:rPr>
              <w:instrText xml:space="preserve"> PAGEREF _Toc62650257 \h </w:instrText>
            </w:r>
            <w:r w:rsidR="0021215A" w:rsidRPr="00A13E6C">
              <w:rPr>
                <w:webHidden/>
              </w:rPr>
            </w:r>
            <w:r w:rsidR="0021215A" w:rsidRPr="00A13E6C">
              <w:rPr>
                <w:webHidden/>
              </w:rPr>
              <w:fldChar w:fldCharType="separate"/>
            </w:r>
            <w:r w:rsidR="00A22B54">
              <w:rPr>
                <w:webHidden/>
              </w:rPr>
              <w:t>48</w:t>
            </w:r>
            <w:r w:rsidR="0021215A" w:rsidRPr="00A13E6C">
              <w:rPr>
                <w:webHidden/>
              </w:rPr>
              <w:fldChar w:fldCharType="end"/>
            </w:r>
          </w:hyperlink>
        </w:p>
        <w:p w14:paraId="53115999" w14:textId="396E0299" w:rsidR="0021215A" w:rsidRPr="00A13E6C" w:rsidRDefault="00982BBB">
          <w:pPr>
            <w:pStyle w:val="TOC2"/>
            <w:rPr>
              <w:rFonts w:eastAsiaTheme="minorEastAsia" w:cstheme="minorBidi"/>
              <w:lang w:eastAsia="en-NZ"/>
            </w:rPr>
          </w:pPr>
          <w:hyperlink w:anchor="_Toc62650258" w:history="1">
            <w:r w:rsidR="0021215A" w:rsidRPr="00A13E6C">
              <w:rPr>
                <w:rStyle w:val="Hyperlink"/>
              </w:rPr>
              <w:t>3.3 We need to avoid pushing the burden to future generations</w:t>
            </w:r>
            <w:r w:rsidR="0021215A" w:rsidRPr="00A13E6C">
              <w:rPr>
                <w:webHidden/>
              </w:rPr>
              <w:tab/>
            </w:r>
            <w:r w:rsidR="0021215A" w:rsidRPr="00A13E6C">
              <w:rPr>
                <w:webHidden/>
              </w:rPr>
              <w:fldChar w:fldCharType="begin"/>
            </w:r>
            <w:r w:rsidR="0021215A" w:rsidRPr="00A13E6C">
              <w:rPr>
                <w:webHidden/>
              </w:rPr>
              <w:instrText xml:space="preserve"> PAGEREF _Toc62650258 \h </w:instrText>
            </w:r>
            <w:r w:rsidR="0021215A" w:rsidRPr="00A13E6C">
              <w:rPr>
                <w:webHidden/>
              </w:rPr>
            </w:r>
            <w:r w:rsidR="0021215A" w:rsidRPr="00A13E6C">
              <w:rPr>
                <w:webHidden/>
              </w:rPr>
              <w:fldChar w:fldCharType="separate"/>
            </w:r>
            <w:r w:rsidR="00A22B54">
              <w:rPr>
                <w:webHidden/>
              </w:rPr>
              <w:t>48</w:t>
            </w:r>
            <w:r w:rsidR="0021215A" w:rsidRPr="00A13E6C">
              <w:rPr>
                <w:webHidden/>
              </w:rPr>
              <w:fldChar w:fldCharType="end"/>
            </w:r>
          </w:hyperlink>
        </w:p>
        <w:p w14:paraId="5BA72423" w14:textId="11FBCF5E" w:rsidR="0021215A" w:rsidRPr="00A13E6C" w:rsidRDefault="00982BBB">
          <w:pPr>
            <w:pStyle w:val="TOC2"/>
            <w:rPr>
              <w:rFonts w:eastAsiaTheme="minorEastAsia" w:cstheme="minorBidi"/>
              <w:lang w:eastAsia="en-NZ"/>
            </w:rPr>
          </w:pPr>
          <w:hyperlink w:anchor="_Toc62650259" w:history="1">
            <w:r w:rsidR="0021215A" w:rsidRPr="00A13E6C">
              <w:rPr>
                <w:rStyle w:val="Hyperlink"/>
              </w:rPr>
              <w:t>3.4 International aviation and shipping</w:t>
            </w:r>
            <w:r w:rsidR="0021215A" w:rsidRPr="00A13E6C">
              <w:rPr>
                <w:webHidden/>
              </w:rPr>
              <w:tab/>
            </w:r>
            <w:r w:rsidR="0021215A" w:rsidRPr="00A13E6C">
              <w:rPr>
                <w:webHidden/>
              </w:rPr>
              <w:fldChar w:fldCharType="begin"/>
            </w:r>
            <w:r w:rsidR="0021215A" w:rsidRPr="00A13E6C">
              <w:rPr>
                <w:webHidden/>
              </w:rPr>
              <w:instrText xml:space="preserve"> PAGEREF _Toc62650259 \h </w:instrText>
            </w:r>
            <w:r w:rsidR="0021215A" w:rsidRPr="00A13E6C">
              <w:rPr>
                <w:webHidden/>
              </w:rPr>
            </w:r>
            <w:r w:rsidR="0021215A" w:rsidRPr="00A13E6C">
              <w:rPr>
                <w:webHidden/>
              </w:rPr>
              <w:fldChar w:fldCharType="separate"/>
            </w:r>
            <w:r w:rsidR="00A22B54">
              <w:rPr>
                <w:webHidden/>
              </w:rPr>
              <w:t>49</w:t>
            </w:r>
            <w:r w:rsidR="0021215A" w:rsidRPr="00A13E6C">
              <w:rPr>
                <w:webHidden/>
              </w:rPr>
              <w:fldChar w:fldCharType="end"/>
            </w:r>
          </w:hyperlink>
        </w:p>
        <w:p w14:paraId="36223F96" w14:textId="680FD755" w:rsidR="0021215A" w:rsidRPr="00A13E6C" w:rsidRDefault="00982BBB">
          <w:pPr>
            <w:pStyle w:val="TOC2"/>
            <w:rPr>
              <w:rFonts w:eastAsiaTheme="minorEastAsia" w:cstheme="minorBidi"/>
              <w:lang w:eastAsia="en-NZ"/>
            </w:rPr>
          </w:pPr>
          <w:hyperlink w:anchor="_Toc62650260" w:history="1">
            <w:r w:rsidR="0021215A" w:rsidRPr="00A13E6C">
              <w:rPr>
                <w:rStyle w:val="Hyperlink"/>
              </w:rPr>
              <w:t>3.5 Scenarios to reach 2050 targets – understanding the changes required</w:t>
            </w:r>
            <w:r w:rsidR="0021215A" w:rsidRPr="00A13E6C">
              <w:rPr>
                <w:webHidden/>
              </w:rPr>
              <w:tab/>
            </w:r>
            <w:r w:rsidR="0021215A" w:rsidRPr="00A13E6C">
              <w:rPr>
                <w:webHidden/>
              </w:rPr>
              <w:fldChar w:fldCharType="begin"/>
            </w:r>
            <w:r w:rsidR="0021215A" w:rsidRPr="00A13E6C">
              <w:rPr>
                <w:webHidden/>
              </w:rPr>
              <w:instrText xml:space="preserve"> PAGEREF _Toc62650260 \h </w:instrText>
            </w:r>
            <w:r w:rsidR="0021215A" w:rsidRPr="00A13E6C">
              <w:rPr>
                <w:webHidden/>
              </w:rPr>
            </w:r>
            <w:r w:rsidR="0021215A" w:rsidRPr="00A13E6C">
              <w:rPr>
                <w:webHidden/>
              </w:rPr>
              <w:fldChar w:fldCharType="separate"/>
            </w:r>
            <w:r w:rsidR="00A22B54">
              <w:rPr>
                <w:webHidden/>
              </w:rPr>
              <w:t>49</w:t>
            </w:r>
            <w:r w:rsidR="0021215A" w:rsidRPr="00A13E6C">
              <w:rPr>
                <w:webHidden/>
              </w:rPr>
              <w:fldChar w:fldCharType="end"/>
            </w:r>
          </w:hyperlink>
        </w:p>
        <w:p w14:paraId="5AEE3468" w14:textId="14C7CD9F" w:rsidR="0021215A" w:rsidRPr="00A13E6C" w:rsidRDefault="00982BBB" w:rsidP="00AE5853">
          <w:pPr>
            <w:pStyle w:val="TOC3"/>
            <w:rPr>
              <w:rFonts w:eastAsiaTheme="minorEastAsia"/>
              <w:noProof/>
              <w:lang w:eastAsia="en-NZ"/>
            </w:rPr>
          </w:pPr>
          <w:hyperlink w:anchor="_Toc62650261" w:history="1">
            <w:r w:rsidR="0021215A" w:rsidRPr="00A13E6C">
              <w:rPr>
                <w:rStyle w:val="Hyperlink"/>
                <w:noProof/>
              </w:rPr>
              <w:t>3.5.1 Key insights from our scenarios for long-lived gases</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_Toc62650261 \h </w:instrText>
            </w:r>
            <w:r w:rsidR="0021215A" w:rsidRPr="00A13E6C">
              <w:rPr>
                <w:noProof/>
                <w:webHidden/>
              </w:rPr>
            </w:r>
            <w:r w:rsidR="0021215A" w:rsidRPr="00A13E6C">
              <w:rPr>
                <w:noProof/>
                <w:webHidden/>
              </w:rPr>
              <w:fldChar w:fldCharType="separate"/>
            </w:r>
            <w:r w:rsidR="00A22B54">
              <w:rPr>
                <w:noProof/>
                <w:webHidden/>
              </w:rPr>
              <w:t>49</w:t>
            </w:r>
            <w:r w:rsidR="0021215A" w:rsidRPr="00A13E6C">
              <w:rPr>
                <w:noProof/>
                <w:webHidden/>
              </w:rPr>
              <w:fldChar w:fldCharType="end"/>
            </w:r>
          </w:hyperlink>
        </w:p>
        <w:p w14:paraId="7F5D6E97" w14:textId="2D04EEA6" w:rsidR="0021215A" w:rsidRPr="00A13E6C" w:rsidRDefault="00982BBB" w:rsidP="00AE5853">
          <w:pPr>
            <w:pStyle w:val="TOC3"/>
            <w:rPr>
              <w:rFonts w:eastAsiaTheme="minorEastAsia"/>
              <w:noProof/>
              <w:lang w:eastAsia="en-NZ"/>
            </w:rPr>
          </w:pPr>
          <w:hyperlink w:anchor="_Toc62650262" w:history="1">
            <w:r w:rsidR="0021215A" w:rsidRPr="00A13E6C">
              <w:rPr>
                <w:rStyle w:val="Hyperlink"/>
                <w:noProof/>
              </w:rPr>
              <w:t>3.5.2 Key insights from our scenarios for biogenic methane</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_Toc62650262 \h </w:instrText>
            </w:r>
            <w:r w:rsidR="0021215A" w:rsidRPr="00A13E6C">
              <w:rPr>
                <w:noProof/>
                <w:webHidden/>
              </w:rPr>
            </w:r>
            <w:r w:rsidR="0021215A" w:rsidRPr="00A13E6C">
              <w:rPr>
                <w:noProof/>
                <w:webHidden/>
              </w:rPr>
              <w:fldChar w:fldCharType="separate"/>
            </w:r>
            <w:r w:rsidR="00A22B54">
              <w:rPr>
                <w:noProof/>
                <w:webHidden/>
              </w:rPr>
              <w:t>52</w:t>
            </w:r>
            <w:r w:rsidR="0021215A" w:rsidRPr="00A13E6C">
              <w:rPr>
                <w:noProof/>
                <w:webHidden/>
              </w:rPr>
              <w:fldChar w:fldCharType="end"/>
            </w:r>
          </w:hyperlink>
        </w:p>
        <w:p w14:paraId="3E689DE0" w14:textId="1CBED23B" w:rsidR="0021215A" w:rsidRPr="00A13E6C" w:rsidRDefault="00982BBB">
          <w:pPr>
            <w:pStyle w:val="TOC2"/>
            <w:rPr>
              <w:rFonts w:eastAsiaTheme="minorEastAsia" w:cstheme="minorBidi"/>
              <w:lang w:eastAsia="en-NZ"/>
            </w:rPr>
          </w:pPr>
          <w:hyperlink w:anchor="_Toc62650263" w:history="1">
            <w:r w:rsidR="0021215A" w:rsidRPr="00A13E6C">
              <w:rPr>
                <w:rStyle w:val="Hyperlink"/>
              </w:rPr>
              <w:t>3.6 Creating a path to 2035</w:t>
            </w:r>
            <w:r w:rsidR="0021215A" w:rsidRPr="00A13E6C">
              <w:rPr>
                <w:webHidden/>
              </w:rPr>
              <w:tab/>
            </w:r>
            <w:r w:rsidR="0021215A" w:rsidRPr="00A13E6C">
              <w:rPr>
                <w:webHidden/>
              </w:rPr>
              <w:fldChar w:fldCharType="begin"/>
            </w:r>
            <w:r w:rsidR="0021215A" w:rsidRPr="00A13E6C">
              <w:rPr>
                <w:webHidden/>
              </w:rPr>
              <w:instrText xml:space="preserve"> PAGEREF _Toc62650263 \h </w:instrText>
            </w:r>
            <w:r w:rsidR="0021215A" w:rsidRPr="00A13E6C">
              <w:rPr>
                <w:webHidden/>
              </w:rPr>
            </w:r>
            <w:r w:rsidR="0021215A" w:rsidRPr="00A13E6C">
              <w:rPr>
                <w:webHidden/>
              </w:rPr>
              <w:fldChar w:fldCharType="separate"/>
            </w:r>
            <w:r w:rsidR="00A22B54">
              <w:rPr>
                <w:webHidden/>
              </w:rPr>
              <w:t>54</w:t>
            </w:r>
            <w:r w:rsidR="0021215A" w:rsidRPr="00A13E6C">
              <w:rPr>
                <w:webHidden/>
              </w:rPr>
              <w:fldChar w:fldCharType="end"/>
            </w:r>
          </w:hyperlink>
        </w:p>
        <w:p w14:paraId="4E7D8080" w14:textId="4A102A21" w:rsidR="0021215A" w:rsidRPr="00A13E6C" w:rsidRDefault="00982BBB">
          <w:pPr>
            <w:pStyle w:val="TOC2"/>
            <w:rPr>
              <w:rFonts w:eastAsiaTheme="minorEastAsia" w:cstheme="minorBidi"/>
              <w:lang w:eastAsia="en-NZ"/>
            </w:rPr>
          </w:pPr>
          <w:hyperlink w:anchor="_Toc62650264" w:history="1">
            <w:r w:rsidR="0021215A" w:rsidRPr="00A13E6C">
              <w:rPr>
                <w:rStyle w:val="Hyperlink"/>
              </w:rPr>
              <w:t>3.7 Summary of our path</w:t>
            </w:r>
            <w:r w:rsidR="0021215A" w:rsidRPr="00A13E6C">
              <w:rPr>
                <w:webHidden/>
              </w:rPr>
              <w:tab/>
            </w:r>
            <w:r w:rsidR="0021215A" w:rsidRPr="00A13E6C">
              <w:rPr>
                <w:webHidden/>
              </w:rPr>
              <w:fldChar w:fldCharType="begin"/>
            </w:r>
            <w:r w:rsidR="0021215A" w:rsidRPr="00A13E6C">
              <w:rPr>
                <w:webHidden/>
              </w:rPr>
              <w:instrText xml:space="preserve"> PAGEREF _Toc62650264 \h </w:instrText>
            </w:r>
            <w:r w:rsidR="0021215A" w:rsidRPr="00A13E6C">
              <w:rPr>
                <w:webHidden/>
              </w:rPr>
            </w:r>
            <w:r w:rsidR="0021215A" w:rsidRPr="00A13E6C">
              <w:rPr>
                <w:webHidden/>
              </w:rPr>
              <w:fldChar w:fldCharType="separate"/>
            </w:r>
            <w:r w:rsidR="00A22B54">
              <w:rPr>
                <w:webHidden/>
              </w:rPr>
              <w:t>54</w:t>
            </w:r>
            <w:r w:rsidR="0021215A" w:rsidRPr="00A13E6C">
              <w:rPr>
                <w:webHidden/>
              </w:rPr>
              <w:fldChar w:fldCharType="end"/>
            </w:r>
          </w:hyperlink>
        </w:p>
        <w:p w14:paraId="3FB79E71" w14:textId="0058B11D" w:rsidR="0021215A" w:rsidRPr="00A13E6C" w:rsidRDefault="00982BBB">
          <w:pPr>
            <w:pStyle w:val="TOC2"/>
            <w:rPr>
              <w:rFonts w:eastAsiaTheme="minorEastAsia" w:cstheme="minorBidi"/>
              <w:lang w:eastAsia="en-NZ"/>
            </w:rPr>
          </w:pPr>
          <w:hyperlink w:anchor="_Toc62650265" w:history="1">
            <w:r w:rsidR="0021215A" w:rsidRPr="00A13E6C">
              <w:rPr>
                <w:rStyle w:val="Hyperlink"/>
              </w:rPr>
              <w:t>3.8 What a path to 2035 looks like in each sector</w:t>
            </w:r>
            <w:r w:rsidR="0021215A" w:rsidRPr="00A13E6C">
              <w:rPr>
                <w:webHidden/>
              </w:rPr>
              <w:tab/>
            </w:r>
            <w:r w:rsidR="0021215A" w:rsidRPr="00A13E6C">
              <w:rPr>
                <w:webHidden/>
              </w:rPr>
              <w:fldChar w:fldCharType="begin"/>
            </w:r>
            <w:r w:rsidR="0021215A" w:rsidRPr="00A13E6C">
              <w:rPr>
                <w:webHidden/>
              </w:rPr>
              <w:instrText xml:space="preserve"> PAGEREF _Toc62650265 \h </w:instrText>
            </w:r>
            <w:r w:rsidR="0021215A" w:rsidRPr="00A13E6C">
              <w:rPr>
                <w:webHidden/>
              </w:rPr>
            </w:r>
            <w:r w:rsidR="0021215A" w:rsidRPr="00A13E6C">
              <w:rPr>
                <w:webHidden/>
              </w:rPr>
              <w:fldChar w:fldCharType="separate"/>
            </w:r>
            <w:r w:rsidR="00A22B54">
              <w:rPr>
                <w:webHidden/>
              </w:rPr>
              <w:t>57</w:t>
            </w:r>
            <w:r w:rsidR="0021215A" w:rsidRPr="00A13E6C">
              <w:rPr>
                <w:webHidden/>
              </w:rPr>
              <w:fldChar w:fldCharType="end"/>
            </w:r>
          </w:hyperlink>
        </w:p>
        <w:p w14:paraId="02463D21" w14:textId="4850AE83" w:rsidR="0021215A" w:rsidRPr="00A13E6C" w:rsidRDefault="00982BBB" w:rsidP="00AE5853">
          <w:pPr>
            <w:pStyle w:val="TOC3"/>
            <w:rPr>
              <w:rFonts w:eastAsiaTheme="minorEastAsia"/>
              <w:noProof/>
              <w:lang w:eastAsia="en-NZ"/>
            </w:rPr>
          </w:pPr>
          <w:hyperlink w:anchor="_Toc62650266" w:history="1">
            <w:r w:rsidR="0021215A" w:rsidRPr="00A13E6C">
              <w:rPr>
                <w:rStyle w:val="Hyperlink"/>
                <w:noProof/>
              </w:rPr>
              <w:t>3.8.1 Transport</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_Toc62650266 \h </w:instrText>
            </w:r>
            <w:r w:rsidR="0021215A" w:rsidRPr="00A13E6C">
              <w:rPr>
                <w:noProof/>
                <w:webHidden/>
              </w:rPr>
            </w:r>
            <w:r w:rsidR="0021215A" w:rsidRPr="00A13E6C">
              <w:rPr>
                <w:noProof/>
                <w:webHidden/>
              </w:rPr>
              <w:fldChar w:fldCharType="separate"/>
            </w:r>
            <w:r w:rsidR="00A22B54">
              <w:rPr>
                <w:noProof/>
                <w:webHidden/>
              </w:rPr>
              <w:t>57</w:t>
            </w:r>
            <w:r w:rsidR="0021215A" w:rsidRPr="00A13E6C">
              <w:rPr>
                <w:noProof/>
                <w:webHidden/>
              </w:rPr>
              <w:fldChar w:fldCharType="end"/>
            </w:r>
          </w:hyperlink>
        </w:p>
        <w:p w14:paraId="5BA3D9ED" w14:textId="72147977" w:rsidR="0021215A" w:rsidRPr="00A13E6C" w:rsidRDefault="00982BBB" w:rsidP="00AE5853">
          <w:pPr>
            <w:pStyle w:val="TOC3"/>
            <w:rPr>
              <w:rFonts w:eastAsiaTheme="minorEastAsia"/>
              <w:noProof/>
              <w:lang w:eastAsia="en-NZ"/>
            </w:rPr>
          </w:pPr>
          <w:hyperlink w:anchor="_Toc62650267" w:history="1">
            <w:r w:rsidR="0021215A" w:rsidRPr="00A13E6C">
              <w:rPr>
                <w:rStyle w:val="Hyperlink"/>
                <w:noProof/>
              </w:rPr>
              <w:t>3.8.2 Buildings</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_Toc62650267 \h </w:instrText>
            </w:r>
            <w:r w:rsidR="0021215A" w:rsidRPr="00A13E6C">
              <w:rPr>
                <w:noProof/>
                <w:webHidden/>
              </w:rPr>
            </w:r>
            <w:r w:rsidR="0021215A" w:rsidRPr="00A13E6C">
              <w:rPr>
                <w:noProof/>
                <w:webHidden/>
              </w:rPr>
              <w:fldChar w:fldCharType="separate"/>
            </w:r>
            <w:r w:rsidR="00A22B54">
              <w:rPr>
                <w:noProof/>
                <w:webHidden/>
              </w:rPr>
              <w:t>59</w:t>
            </w:r>
            <w:r w:rsidR="0021215A" w:rsidRPr="00A13E6C">
              <w:rPr>
                <w:noProof/>
                <w:webHidden/>
              </w:rPr>
              <w:fldChar w:fldCharType="end"/>
            </w:r>
          </w:hyperlink>
        </w:p>
        <w:p w14:paraId="37EC491E" w14:textId="7F7674B8" w:rsidR="0021215A" w:rsidRPr="00A13E6C" w:rsidRDefault="00982BBB" w:rsidP="00AE5853">
          <w:pPr>
            <w:pStyle w:val="TOC3"/>
            <w:rPr>
              <w:rFonts w:eastAsiaTheme="minorEastAsia"/>
              <w:noProof/>
              <w:lang w:eastAsia="en-NZ"/>
            </w:rPr>
          </w:pPr>
          <w:hyperlink w:anchor="_Toc62650268" w:history="1">
            <w:r w:rsidR="0021215A" w:rsidRPr="00A13E6C">
              <w:rPr>
                <w:rStyle w:val="Hyperlink"/>
                <w:noProof/>
              </w:rPr>
              <w:t>3.8.3 Electricity</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_Toc62650268 \h </w:instrText>
            </w:r>
            <w:r w:rsidR="0021215A" w:rsidRPr="00A13E6C">
              <w:rPr>
                <w:noProof/>
                <w:webHidden/>
              </w:rPr>
            </w:r>
            <w:r w:rsidR="0021215A" w:rsidRPr="00A13E6C">
              <w:rPr>
                <w:noProof/>
                <w:webHidden/>
              </w:rPr>
              <w:fldChar w:fldCharType="separate"/>
            </w:r>
            <w:r w:rsidR="00A22B54">
              <w:rPr>
                <w:noProof/>
                <w:webHidden/>
              </w:rPr>
              <w:t>61</w:t>
            </w:r>
            <w:r w:rsidR="0021215A" w:rsidRPr="00A13E6C">
              <w:rPr>
                <w:noProof/>
                <w:webHidden/>
              </w:rPr>
              <w:fldChar w:fldCharType="end"/>
            </w:r>
          </w:hyperlink>
        </w:p>
        <w:p w14:paraId="7EBDE394" w14:textId="133D2DEF" w:rsidR="0021215A" w:rsidRPr="00A13E6C" w:rsidRDefault="00982BBB" w:rsidP="00AE5853">
          <w:pPr>
            <w:pStyle w:val="TOC3"/>
            <w:rPr>
              <w:rFonts w:eastAsiaTheme="minorEastAsia"/>
              <w:noProof/>
              <w:lang w:eastAsia="en-NZ"/>
            </w:rPr>
          </w:pPr>
          <w:hyperlink w:anchor="_Toc62650269" w:history="1">
            <w:r w:rsidR="0021215A" w:rsidRPr="00A13E6C">
              <w:rPr>
                <w:rStyle w:val="Hyperlink"/>
                <w:noProof/>
              </w:rPr>
              <w:t>3.8.4 Natural gas use</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_Toc62650269 \h </w:instrText>
            </w:r>
            <w:r w:rsidR="0021215A" w:rsidRPr="00A13E6C">
              <w:rPr>
                <w:noProof/>
                <w:webHidden/>
              </w:rPr>
            </w:r>
            <w:r w:rsidR="0021215A" w:rsidRPr="00A13E6C">
              <w:rPr>
                <w:noProof/>
                <w:webHidden/>
              </w:rPr>
              <w:fldChar w:fldCharType="separate"/>
            </w:r>
            <w:r w:rsidR="00A22B54">
              <w:rPr>
                <w:noProof/>
                <w:webHidden/>
              </w:rPr>
              <w:t>63</w:t>
            </w:r>
            <w:r w:rsidR="0021215A" w:rsidRPr="00A13E6C">
              <w:rPr>
                <w:noProof/>
                <w:webHidden/>
              </w:rPr>
              <w:fldChar w:fldCharType="end"/>
            </w:r>
          </w:hyperlink>
        </w:p>
        <w:p w14:paraId="55D0A33E" w14:textId="079D2422" w:rsidR="0021215A" w:rsidRPr="00A13E6C" w:rsidRDefault="00982BBB" w:rsidP="00AE5853">
          <w:pPr>
            <w:pStyle w:val="TOC3"/>
            <w:rPr>
              <w:rFonts w:eastAsiaTheme="minorEastAsia"/>
              <w:noProof/>
              <w:lang w:eastAsia="en-NZ"/>
            </w:rPr>
          </w:pPr>
          <w:hyperlink w:anchor="_Toc62650270" w:history="1">
            <w:r w:rsidR="0021215A" w:rsidRPr="00A13E6C">
              <w:rPr>
                <w:rStyle w:val="Hyperlink"/>
                <w:noProof/>
              </w:rPr>
              <w:t>3.8.5 Industry and heat</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_Toc62650270 \h </w:instrText>
            </w:r>
            <w:r w:rsidR="0021215A" w:rsidRPr="00A13E6C">
              <w:rPr>
                <w:noProof/>
                <w:webHidden/>
              </w:rPr>
            </w:r>
            <w:r w:rsidR="0021215A" w:rsidRPr="00A13E6C">
              <w:rPr>
                <w:noProof/>
                <w:webHidden/>
              </w:rPr>
              <w:fldChar w:fldCharType="separate"/>
            </w:r>
            <w:r w:rsidR="00A22B54">
              <w:rPr>
                <w:noProof/>
                <w:webHidden/>
              </w:rPr>
              <w:t>64</w:t>
            </w:r>
            <w:r w:rsidR="0021215A" w:rsidRPr="00A13E6C">
              <w:rPr>
                <w:noProof/>
                <w:webHidden/>
              </w:rPr>
              <w:fldChar w:fldCharType="end"/>
            </w:r>
          </w:hyperlink>
        </w:p>
        <w:p w14:paraId="401372BE" w14:textId="6C30F6EA" w:rsidR="0021215A" w:rsidRPr="00A13E6C" w:rsidRDefault="00982BBB" w:rsidP="00AE5853">
          <w:pPr>
            <w:pStyle w:val="TOC3"/>
            <w:rPr>
              <w:rFonts w:eastAsiaTheme="minorEastAsia"/>
              <w:noProof/>
              <w:lang w:eastAsia="en-NZ"/>
            </w:rPr>
          </w:pPr>
          <w:hyperlink w:anchor="_Toc62650271" w:history="1">
            <w:r w:rsidR="0021215A" w:rsidRPr="00A13E6C">
              <w:rPr>
                <w:rStyle w:val="Hyperlink"/>
                <w:noProof/>
              </w:rPr>
              <w:t>3.8.6 Agriculture</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_Toc62650271 \h </w:instrText>
            </w:r>
            <w:r w:rsidR="0021215A" w:rsidRPr="00A13E6C">
              <w:rPr>
                <w:noProof/>
                <w:webHidden/>
              </w:rPr>
            </w:r>
            <w:r w:rsidR="0021215A" w:rsidRPr="00A13E6C">
              <w:rPr>
                <w:noProof/>
                <w:webHidden/>
              </w:rPr>
              <w:fldChar w:fldCharType="separate"/>
            </w:r>
            <w:r w:rsidR="00A22B54">
              <w:rPr>
                <w:noProof/>
                <w:webHidden/>
              </w:rPr>
              <w:t>65</w:t>
            </w:r>
            <w:r w:rsidR="0021215A" w:rsidRPr="00A13E6C">
              <w:rPr>
                <w:noProof/>
                <w:webHidden/>
              </w:rPr>
              <w:fldChar w:fldCharType="end"/>
            </w:r>
          </w:hyperlink>
        </w:p>
        <w:p w14:paraId="4525A81B" w14:textId="3BE76CFE" w:rsidR="0021215A" w:rsidRPr="00A13E6C" w:rsidRDefault="00982BBB" w:rsidP="00AE5853">
          <w:pPr>
            <w:pStyle w:val="TOC3"/>
            <w:rPr>
              <w:rFonts w:eastAsiaTheme="minorEastAsia"/>
              <w:noProof/>
              <w:lang w:eastAsia="en-NZ"/>
            </w:rPr>
          </w:pPr>
          <w:hyperlink w:anchor="_Toc62650272" w:history="1">
            <w:r w:rsidR="0021215A" w:rsidRPr="00A13E6C">
              <w:rPr>
                <w:rStyle w:val="Hyperlink"/>
                <w:noProof/>
              </w:rPr>
              <w:t>3.8.7 Forestry</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_Toc62650272 \h </w:instrText>
            </w:r>
            <w:r w:rsidR="0021215A" w:rsidRPr="00A13E6C">
              <w:rPr>
                <w:noProof/>
                <w:webHidden/>
              </w:rPr>
            </w:r>
            <w:r w:rsidR="0021215A" w:rsidRPr="00A13E6C">
              <w:rPr>
                <w:noProof/>
                <w:webHidden/>
              </w:rPr>
              <w:fldChar w:fldCharType="separate"/>
            </w:r>
            <w:r w:rsidR="00A22B54">
              <w:rPr>
                <w:noProof/>
                <w:webHidden/>
              </w:rPr>
              <w:t>67</w:t>
            </w:r>
            <w:r w:rsidR="0021215A" w:rsidRPr="00A13E6C">
              <w:rPr>
                <w:noProof/>
                <w:webHidden/>
              </w:rPr>
              <w:fldChar w:fldCharType="end"/>
            </w:r>
          </w:hyperlink>
        </w:p>
        <w:p w14:paraId="50AEFFC8" w14:textId="0035354F" w:rsidR="0021215A" w:rsidRPr="00A13E6C" w:rsidRDefault="00982BBB" w:rsidP="00AE5853">
          <w:pPr>
            <w:pStyle w:val="TOC3"/>
            <w:rPr>
              <w:rFonts w:eastAsiaTheme="minorEastAsia"/>
              <w:noProof/>
              <w:lang w:eastAsia="en-NZ"/>
            </w:rPr>
          </w:pPr>
          <w:hyperlink w:anchor="_Toc62650273" w:history="1">
            <w:r w:rsidR="0021215A" w:rsidRPr="00A13E6C">
              <w:rPr>
                <w:rStyle w:val="Hyperlink"/>
                <w:noProof/>
              </w:rPr>
              <w:t>3.8.8 Waste</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_Toc62650273 \h </w:instrText>
            </w:r>
            <w:r w:rsidR="0021215A" w:rsidRPr="00A13E6C">
              <w:rPr>
                <w:noProof/>
                <w:webHidden/>
              </w:rPr>
            </w:r>
            <w:r w:rsidR="0021215A" w:rsidRPr="00A13E6C">
              <w:rPr>
                <w:noProof/>
                <w:webHidden/>
              </w:rPr>
              <w:fldChar w:fldCharType="separate"/>
            </w:r>
            <w:r w:rsidR="00A22B54">
              <w:rPr>
                <w:noProof/>
                <w:webHidden/>
              </w:rPr>
              <w:t>68</w:t>
            </w:r>
            <w:r w:rsidR="0021215A" w:rsidRPr="00A13E6C">
              <w:rPr>
                <w:noProof/>
                <w:webHidden/>
              </w:rPr>
              <w:fldChar w:fldCharType="end"/>
            </w:r>
          </w:hyperlink>
        </w:p>
        <w:p w14:paraId="64976BAE" w14:textId="154A248C" w:rsidR="0021215A" w:rsidRPr="00A13E6C" w:rsidRDefault="00982BBB" w:rsidP="00AE5853">
          <w:pPr>
            <w:pStyle w:val="TOC3"/>
            <w:rPr>
              <w:rFonts w:eastAsiaTheme="minorEastAsia"/>
              <w:noProof/>
              <w:lang w:eastAsia="en-NZ"/>
            </w:rPr>
          </w:pPr>
          <w:hyperlink w:anchor="_Toc62650274" w:history="1">
            <w:r w:rsidR="0021215A" w:rsidRPr="00A13E6C">
              <w:rPr>
                <w:rStyle w:val="Hyperlink"/>
                <w:noProof/>
              </w:rPr>
              <w:t>3.8.9 F-gases</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_Toc62650274 \h </w:instrText>
            </w:r>
            <w:r w:rsidR="0021215A" w:rsidRPr="00A13E6C">
              <w:rPr>
                <w:noProof/>
                <w:webHidden/>
              </w:rPr>
            </w:r>
            <w:r w:rsidR="0021215A" w:rsidRPr="00A13E6C">
              <w:rPr>
                <w:noProof/>
                <w:webHidden/>
              </w:rPr>
              <w:fldChar w:fldCharType="separate"/>
            </w:r>
            <w:r w:rsidR="00A22B54">
              <w:rPr>
                <w:noProof/>
                <w:webHidden/>
              </w:rPr>
              <w:t>69</w:t>
            </w:r>
            <w:r w:rsidR="0021215A" w:rsidRPr="00A13E6C">
              <w:rPr>
                <w:noProof/>
                <w:webHidden/>
              </w:rPr>
              <w:fldChar w:fldCharType="end"/>
            </w:r>
          </w:hyperlink>
        </w:p>
        <w:p w14:paraId="200ACBC1" w14:textId="49C1EB1B" w:rsidR="0021215A" w:rsidRPr="00A13E6C" w:rsidRDefault="00982BBB" w:rsidP="00AE5853">
          <w:pPr>
            <w:pStyle w:val="TOC1"/>
            <w:rPr>
              <w:rFonts w:eastAsiaTheme="minorEastAsia" w:cstheme="minorBidi"/>
              <w:sz w:val="22"/>
              <w:szCs w:val="22"/>
              <w:lang w:eastAsia="en-NZ"/>
            </w:rPr>
          </w:pPr>
          <w:hyperlink w:anchor="_Toc62650275" w:history="1">
            <w:r w:rsidR="0021215A" w:rsidRPr="00A13E6C">
              <w:rPr>
                <w:rStyle w:val="Hyperlink"/>
                <w:rFonts w:eastAsia="Calibri Light" w:cstheme="majorBidi"/>
              </w:rPr>
              <w:t>Chapter 4: Contributing to the global 1.5°C goal</w:t>
            </w:r>
            <w:r w:rsidR="0021215A" w:rsidRPr="00A13E6C">
              <w:rPr>
                <w:webHidden/>
              </w:rPr>
              <w:tab/>
            </w:r>
            <w:r w:rsidR="0021215A" w:rsidRPr="00A13E6C">
              <w:rPr>
                <w:webHidden/>
              </w:rPr>
              <w:fldChar w:fldCharType="begin"/>
            </w:r>
            <w:r w:rsidR="0021215A" w:rsidRPr="00A13E6C">
              <w:rPr>
                <w:webHidden/>
              </w:rPr>
              <w:instrText xml:space="preserve"> PAGEREF _Toc62650275 \h </w:instrText>
            </w:r>
            <w:r w:rsidR="0021215A" w:rsidRPr="00A13E6C">
              <w:rPr>
                <w:webHidden/>
              </w:rPr>
            </w:r>
            <w:r w:rsidR="0021215A" w:rsidRPr="00A13E6C">
              <w:rPr>
                <w:webHidden/>
              </w:rPr>
              <w:fldChar w:fldCharType="separate"/>
            </w:r>
            <w:r w:rsidR="00A22B54">
              <w:rPr>
                <w:webHidden/>
              </w:rPr>
              <w:t>71</w:t>
            </w:r>
            <w:r w:rsidR="0021215A" w:rsidRPr="00A13E6C">
              <w:rPr>
                <w:webHidden/>
              </w:rPr>
              <w:fldChar w:fldCharType="end"/>
            </w:r>
          </w:hyperlink>
        </w:p>
        <w:p w14:paraId="593760E9" w14:textId="5A2A0FEF" w:rsidR="0021215A" w:rsidRPr="00A13E6C" w:rsidRDefault="00982BBB">
          <w:pPr>
            <w:pStyle w:val="TOC2"/>
            <w:rPr>
              <w:rFonts w:eastAsiaTheme="minorEastAsia" w:cstheme="minorBidi"/>
              <w:lang w:eastAsia="en-NZ"/>
            </w:rPr>
          </w:pPr>
          <w:hyperlink w:anchor="_Toc62650276" w:history="1">
            <w:r w:rsidR="0021215A" w:rsidRPr="00A13E6C">
              <w:rPr>
                <w:rStyle w:val="Hyperlink"/>
                <w:rFonts w:cstheme="majorBidi"/>
              </w:rPr>
              <w:t>4.1 The science of the different greenhouse gases</w:t>
            </w:r>
            <w:r w:rsidR="0021215A" w:rsidRPr="00A13E6C">
              <w:rPr>
                <w:webHidden/>
              </w:rPr>
              <w:tab/>
            </w:r>
            <w:r w:rsidR="0021215A" w:rsidRPr="00A13E6C">
              <w:rPr>
                <w:webHidden/>
              </w:rPr>
              <w:fldChar w:fldCharType="begin"/>
            </w:r>
            <w:r w:rsidR="0021215A" w:rsidRPr="00A13E6C">
              <w:rPr>
                <w:webHidden/>
              </w:rPr>
              <w:instrText xml:space="preserve"> PAGEREF _Toc62650276 \h </w:instrText>
            </w:r>
            <w:r w:rsidR="0021215A" w:rsidRPr="00A13E6C">
              <w:rPr>
                <w:webHidden/>
              </w:rPr>
            </w:r>
            <w:r w:rsidR="0021215A" w:rsidRPr="00A13E6C">
              <w:rPr>
                <w:webHidden/>
              </w:rPr>
              <w:fldChar w:fldCharType="separate"/>
            </w:r>
            <w:r w:rsidR="00A22B54">
              <w:rPr>
                <w:webHidden/>
              </w:rPr>
              <w:t>71</w:t>
            </w:r>
            <w:r w:rsidR="0021215A" w:rsidRPr="00A13E6C">
              <w:rPr>
                <w:webHidden/>
              </w:rPr>
              <w:fldChar w:fldCharType="end"/>
            </w:r>
          </w:hyperlink>
        </w:p>
        <w:p w14:paraId="3C8DB485" w14:textId="3FA7233B" w:rsidR="0021215A" w:rsidRPr="00A13E6C" w:rsidRDefault="00982BBB">
          <w:pPr>
            <w:pStyle w:val="TOC2"/>
            <w:rPr>
              <w:rFonts w:eastAsiaTheme="minorEastAsia" w:cstheme="minorBidi"/>
              <w:lang w:eastAsia="en-NZ"/>
            </w:rPr>
          </w:pPr>
          <w:hyperlink w:anchor="_Toc62650277" w:history="1">
            <w:r w:rsidR="0021215A" w:rsidRPr="00A13E6C">
              <w:rPr>
                <w:rStyle w:val="Hyperlink"/>
                <w:rFonts w:cstheme="majorBidi"/>
              </w:rPr>
              <w:t>4.2 The global 1.5</w:t>
            </w:r>
            <w:r w:rsidR="0021215A" w:rsidRPr="00A13E6C">
              <w:rPr>
                <w:rStyle w:val="Hyperlink"/>
              </w:rPr>
              <w:t>°C</w:t>
            </w:r>
            <w:r w:rsidR="0021215A" w:rsidRPr="00A13E6C">
              <w:rPr>
                <w:rStyle w:val="Hyperlink"/>
                <w:rFonts w:cstheme="majorBidi"/>
              </w:rPr>
              <w:t xml:space="preserve"> goal</w:t>
            </w:r>
            <w:r w:rsidR="0021215A" w:rsidRPr="00A13E6C">
              <w:rPr>
                <w:webHidden/>
              </w:rPr>
              <w:tab/>
            </w:r>
            <w:r w:rsidR="0021215A" w:rsidRPr="00A13E6C">
              <w:rPr>
                <w:webHidden/>
              </w:rPr>
              <w:fldChar w:fldCharType="begin"/>
            </w:r>
            <w:r w:rsidR="0021215A" w:rsidRPr="00A13E6C">
              <w:rPr>
                <w:webHidden/>
              </w:rPr>
              <w:instrText xml:space="preserve"> PAGEREF _Toc62650277 \h </w:instrText>
            </w:r>
            <w:r w:rsidR="0021215A" w:rsidRPr="00A13E6C">
              <w:rPr>
                <w:webHidden/>
              </w:rPr>
            </w:r>
            <w:r w:rsidR="0021215A" w:rsidRPr="00A13E6C">
              <w:rPr>
                <w:webHidden/>
              </w:rPr>
              <w:fldChar w:fldCharType="separate"/>
            </w:r>
            <w:r w:rsidR="00A22B54">
              <w:rPr>
                <w:webHidden/>
              </w:rPr>
              <w:t>73</w:t>
            </w:r>
            <w:r w:rsidR="0021215A" w:rsidRPr="00A13E6C">
              <w:rPr>
                <w:webHidden/>
              </w:rPr>
              <w:fldChar w:fldCharType="end"/>
            </w:r>
          </w:hyperlink>
        </w:p>
        <w:p w14:paraId="23531F0C" w14:textId="24984AE4" w:rsidR="0021215A" w:rsidRPr="00A13E6C" w:rsidRDefault="00982BBB">
          <w:pPr>
            <w:pStyle w:val="TOC2"/>
            <w:rPr>
              <w:rFonts w:eastAsiaTheme="minorEastAsia" w:cstheme="minorBidi"/>
              <w:lang w:eastAsia="en-NZ"/>
            </w:rPr>
          </w:pPr>
          <w:hyperlink w:anchor="_Toc62650278" w:history="1">
            <w:r w:rsidR="0021215A" w:rsidRPr="00A13E6C">
              <w:rPr>
                <w:rStyle w:val="Hyperlink"/>
                <w:rFonts w:cstheme="majorBidi"/>
              </w:rPr>
              <w:t>4.3 Global 1.5</w:t>
            </w:r>
            <w:r w:rsidR="0021215A" w:rsidRPr="00A13E6C">
              <w:rPr>
                <w:rStyle w:val="Hyperlink"/>
                <w:rFonts w:cstheme="majorHAnsi"/>
              </w:rPr>
              <w:t>°</w:t>
            </w:r>
            <w:r w:rsidR="0021215A" w:rsidRPr="00A13E6C">
              <w:rPr>
                <w:rStyle w:val="Hyperlink"/>
                <w:rFonts w:cstheme="majorBidi"/>
              </w:rPr>
              <w:t>C pathways</w:t>
            </w:r>
            <w:r w:rsidR="0021215A" w:rsidRPr="00A13E6C">
              <w:rPr>
                <w:webHidden/>
              </w:rPr>
              <w:tab/>
            </w:r>
            <w:r w:rsidR="0021215A" w:rsidRPr="00A13E6C">
              <w:rPr>
                <w:webHidden/>
              </w:rPr>
              <w:fldChar w:fldCharType="begin"/>
            </w:r>
            <w:r w:rsidR="0021215A" w:rsidRPr="00A13E6C">
              <w:rPr>
                <w:webHidden/>
              </w:rPr>
              <w:instrText xml:space="preserve"> PAGEREF _Toc62650278 \h </w:instrText>
            </w:r>
            <w:r w:rsidR="0021215A" w:rsidRPr="00A13E6C">
              <w:rPr>
                <w:webHidden/>
              </w:rPr>
            </w:r>
            <w:r w:rsidR="0021215A" w:rsidRPr="00A13E6C">
              <w:rPr>
                <w:webHidden/>
              </w:rPr>
              <w:fldChar w:fldCharType="separate"/>
            </w:r>
            <w:r w:rsidR="00A22B54">
              <w:rPr>
                <w:webHidden/>
              </w:rPr>
              <w:t>74</w:t>
            </w:r>
            <w:r w:rsidR="0021215A" w:rsidRPr="00A13E6C">
              <w:rPr>
                <w:webHidden/>
              </w:rPr>
              <w:fldChar w:fldCharType="end"/>
            </w:r>
          </w:hyperlink>
        </w:p>
        <w:p w14:paraId="46DAC2D6" w14:textId="52B705F1" w:rsidR="0021215A" w:rsidRPr="00A13E6C" w:rsidRDefault="00982BBB">
          <w:pPr>
            <w:pStyle w:val="TOC2"/>
            <w:rPr>
              <w:rFonts w:eastAsiaTheme="minorEastAsia" w:cstheme="minorBidi"/>
              <w:lang w:eastAsia="en-NZ"/>
            </w:rPr>
          </w:pPr>
          <w:hyperlink w:anchor="_Toc62650279" w:history="1">
            <w:r w:rsidR="0021215A" w:rsidRPr="00A13E6C">
              <w:rPr>
                <w:rStyle w:val="Hyperlink"/>
                <w:rFonts w:cstheme="majorBidi"/>
              </w:rPr>
              <w:t>4.4 Common but differentiated responsibilities and respective capabilities</w:t>
            </w:r>
            <w:r w:rsidR="0021215A" w:rsidRPr="00A13E6C">
              <w:rPr>
                <w:webHidden/>
              </w:rPr>
              <w:tab/>
            </w:r>
            <w:r w:rsidR="0021215A" w:rsidRPr="00A13E6C">
              <w:rPr>
                <w:webHidden/>
              </w:rPr>
              <w:fldChar w:fldCharType="begin"/>
            </w:r>
            <w:r w:rsidR="0021215A" w:rsidRPr="00A13E6C">
              <w:rPr>
                <w:webHidden/>
              </w:rPr>
              <w:instrText xml:space="preserve"> PAGEREF _Toc62650279 \h </w:instrText>
            </w:r>
            <w:r w:rsidR="0021215A" w:rsidRPr="00A13E6C">
              <w:rPr>
                <w:webHidden/>
              </w:rPr>
            </w:r>
            <w:r w:rsidR="0021215A" w:rsidRPr="00A13E6C">
              <w:rPr>
                <w:webHidden/>
              </w:rPr>
              <w:fldChar w:fldCharType="separate"/>
            </w:r>
            <w:r w:rsidR="00A22B54">
              <w:rPr>
                <w:webHidden/>
              </w:rPr>
              <w:t>75</w:t>
            </w:r>
            <w:r w:rsidR="0021215A" w:rsidRPr="00A13E6C">
              <w:rPr>
                <w:webHidden/>
              </w:rPr>
              <w:fldChar w:fldCharType="end"/>
            </w:r>
          </w:hyperlink>
        </w:p>
        <w:p w14:paraId="51715D6A" w14:textId="0FD8F497" w:rsidR="0021215A" w:rsidRPr="00A13E6C" w:rsidRDefault="00982BBB">
          <w:pPr>
            <w:pStyle w:val="TOC2"/>
            <w:rPr>
              <w:rFonts w:eastAsiaTheme="minorEastAsia" w:cstheme="minorBidi"/>
              <w:lang w:eastAsia="en-NZ"/>
            </w:rPr>
          </w:pPr>
          <w:hyperlink w:anchor="_Toc62650280" w:history="1">
            <w:r w:rsidR="0021215A" w:rsidRPr="00A13E6C">
              <w:rPr>
                <w:rStyle w:val="Hyperlink"/>
                <w:rFonts w:eastAsia="Calibri Light" w:cstheme="majorBidi"/>
              </w:rPr>
              <w:t xml:space="preserve">4.5 Assessing </w:t>
            </w:r>
            <w:r w:rsidR="0021215A" w:rsidRPr="00A13E6C">
              <w:rPr>
                <w:rStyle w:val="Hyperlink"/>
                <w:rFonts w:cstheme="majorBidi"/>
              </w:rPr>
              <w:t>how our proposed emissions budgets</w:t>
            </w:r>
            <w:r w:rsidR="0021215A" w:rsidRPr="00A13E6C">
              <w:rPr>
                <w:rStyle w:val="Hyperlink"/>
                <w:rFonts w:eastAsia="Calibri Light" w:cstheme="majorBidi"/>
              </w:rPr>
              <w:t xml:space="preserve"> </w:t>
            </w:r>
            <w:r w:rsidR="0021215A" w:rsidRPr="00A13E6C">
              <w:rPr>
                <w:rStyle w:val="Hyperlink"/>
                <w:rFonts w:cstheme="majorBidi"/>
              </w:rPr>
              <w:t>contribute to the 1.5</w:t>
            </w:r>
            <w:r w:rsidR="0021215A" w:rsidRPr="00A13E6C">
              <w:rPr>
                <w:rStyle w:val="Hyperlink"/>
                <w:rFonts w:cstheme="majorHAnsi"/>
              </w:rPr>
              <w:t>°</w:t>
            </w:r>
            <w:r w:rsidR="0021215A" w:rsidRPr="00A13E6C">
              <w:rPr>
                <w:rStyle w:val="Hyperlink"/>
                <w:rFonts w:cstheme="majorBidi"/>
              </w:rPr>
              <w:t>C global goal</w:t>
            </w:r>
            <w:r w:rsidR="0021215A" w:rsidRPr="00A13E6C">
              <w:rPr>
                <w:webHidden/>
              </w:rPr>
              <w:tab/>
            </w:r>
            <w:r w:rsidR="0021215A" w:rsidRPr="00A13E6C">
              <w:rPr>
                <w:webHidden/>
              </w:rPr>
              <w:fldChar w:fldCharType="begin"/>
            </w:r>
            <w:r w:rsidR="0021215A" w:rsidRPr="00A13E6C">
              <w:rPr>
                <w:webHidden/>
              </w:rPr>
              <w:instrText xml:space="preserve"> PAGEREF _Toc62650280 \h </w:instrText>
            </w:r>
            <w:r w:rsidR="0021215A" w:rsidRPr="00A13E6C">
              <w:rPr>
                <w:webHidden/>
              </w:rPr>
            </w:r>
            <w:r w:rsidR="0021215A" w:rsidRPr="00A13E6C">
              <w:rPr>
                <w:webHidden/>
              </w:rPr>
              <w:fldChar w:fldCharType="separate"/>
            </w:r>
            <w:r w:rsidR="00A22B54">
              <w:rPr>
                <w:webHidden/>
              </w:rPr>
              <w:t>76</w:t>
            </w:r>
            <w:r w:rsidR="0021215A" w:rsidRPr="00A13E6C">
              <w:rPr>
                <w:webHidden/>
              </w:rPr>
              <w:fldChar w:fldCharType="end"/>
            </w:r>
          </w:hyperlink>
        </w:p>
        <w:p w14:paraId="051984E7" w14:textId="61C8452F" w:rsidR="0021215A" w:rsidRPr="00A13E6C" w:rsidRDefault="00982BBB" w:rsidP="00AE5853">
          <w:pPr>
            <w:pStyle w:val="TOC1"/>
            <w:rPr>
              <w:rFonts w:eastAsiaTheme="minorEastAsia" w:cstheme="minorBidi"/>
              <w:sz w:val="22"/>
              <w:szCs w:val="22"/>
              <w:lang w:eastAsia="en-NZ"/>
            </w:rPr>
          </w:pPr>
          <w:hyperlink w:anchor="_Toc62650281" w:history="1">
            <w:r w:rsidR="0021215A" w:rsidRPr="00A13E6C">
              <w:rPr>
                <w:rStyle w:val="Hyperlink"/>
                <w:rFonts w:cstheme="majorBidi"/>
              </w:rPr>
              <w:t>Chapter 5: The impacts of emissions budgets on New Zealanders</w:t>
            </w:r>
            <w:r w:rsidR="0021215A" w:rsidRPr="00A13E6C">
              <w:rPr>
                <w:webHidden/>
              </w:rPr>
              <w:tab/>
            </w:r>
            <w:r w:rsidR="0021215A" w:rsidRPr="00A13E6C">
              <w:rPr>
                <w:webHidden/>
              </w:rPr>
              <w:fldChar w:fldCharType="begin"/>
            </w:r>
            <w:r w:rsidR="0021215A" w:rsidRPr="00A13E6C">
              <w:rPr>
                <w:webHidden/>
              </w:rPr>
              <w:instrText xml:space="preserve"> PAGEREF _Toc62650281 \h </w:instrText>
            </w:r>
            <w:r w:rsidR="0021215A" w:rsidRPr="00A13E6C">
              <w:rPr>
                <w:webHidden/>
              </w:rPr>
            </w:r>
            <w:r w:rsidR="0021215A" w:rsidRPr="00A13E6C">
              <w:rPr>
                <w:webHidden/>
              </w:rPr>
              <w:fldChar w:fldCharType="separate"/>
            </w:r>
            <w:r w:rsidR="00A22B54">
              <w:rPr>
                <w:webHidden/>
              </w:rPr>
              <w:t>79</w:t>
            </w:r>
            <w:r w:rsidR="0021215A" w:rsidRPr="00A13E6C">
              <w:rPr>
                <w:webHidden/>
              </w:rPr>
              <w:fldChar w:fldCharType="end"/>
            </w:r>
          </w:hyperlink>
        </w:p>
        <w:p w14:paraId="3F0C39C8" w14:textId="03035194" w:rsidR="0021215A" w:rsidRPr="00A13E6C" w:rsidRDefault="00982BBB">
          <w:pPr>
            <w:pStyle w:val="TOC2"/>
            <w:rPr>
              <w:rFonts w:eastAsiaTheme="minorEastAsia" w:cstheme="minorBidi"/>
              <w:lang w:eastAsia="en-NZ"/>
            </w:rPr>
          </w:pPr>
          <w:hyperlink w:anchor="_Toc62650282" w:history="1">
            <w:r w:rsidR="0021215A" w:rsidRPr="00A13E6C">
              <w:rPr>
                <w:rStyle w:val="Hyperlink"/>
              </w:rPr>
              <w:t>5.1 Looking at the opportunities – and the challenges</w:t>
            </w:r>
            <w:r w:rsidR="0021215A" w:rsidRPr="00A13E6C">
              <w:rPr>
                <w:webHidden/>
              </w:rPr>
              <w:tab/>
            </w:r>
            <w:r w:rsidR="0021215A" w:rsidRPr="00A13E6C">
              <w:rPr>
                <w:webHidden/>
              </w:rPr>
              <w:fldChar w:fldCharType="begin"/>
            </w:r>
            <w:r w:rsidR="0021215A" w:rsidRPr="00A13E6C">
              <w:rPr>
                <w:webHidden/>
              </w:rPr>
              <w:instrText xml:space="preserve"> PAGEREF _Toc62650282 \h </w:instrText>
            </w:r>
            <w:r w:rsidR="0021215A" w:rsidRPr="00A13E6C">
              <w:rPr>
                <w:webHidden/>
              </w:rPr>
            </w:r>
            <w:r w:rsidR="0021215A" w:rsidRPr="00A13E6C">
              <w:rPr>
                <w:webHidden/>
              </w:rPr>
              <w:fldChar w:fldCharType="separate"/>
            </w:r>
            <w:r w:rsidR="00A22B54">
              <w:rPr>
                <w:webHidden/>
              </w:rPr>
              <w:t>79</w:t>
            </w:r>
            <w:r w:rsidR="0021215A" w:rsidRPr="00A13E6C">
              <w:rPr>
                <w:webHidden/>
              </w:rPr>
              <w:fldChar w:fldCharType="end"/>
            </w:r>
          </w:hyperlink>
        </w:p>
        <w:p w14:paraId="53117968" w14:textId="6344B58F" w:rsidR="0021215A" w:rsidRPr="00A13E6C" w:rsidRDefault="00982BBB">
          <w:pPr>
            <w:pStyle w:val="TOC2"/>
            <w:rPr>
              <w:rFonts w:eastAsiaTheme="minorEastAsia" w:cstheme="minorBidi"/>
              <w:lang w:eastAsia="en-NZ"/>
            </w:rPr>
          </w:pPr>
          <w:hyperlink w:anchor="_Toc62650283" w:history="1">
            <w:r w:rsidR="0021215A" w:rsidRPr="00A13E6C">
              <w:rPr>
                <w:rStyle w:val="Hyperlink"/>
              </w:rPr>
              <w:t>5.2 How Aotearoa creates a fair, equitable transition for people</w:t>
            </w:r>
            <w:r w:rsidR="0021215A" w:rsidRPr="00A13E6C">
              <w:rPr>
                <w:webHidden/>
              </w:rPr>
              <w:tab/>
            </w:r>
            <w:r w:rsidR="0021215A" w:rsidRPr="00A13E6C">
              <w:rPr>
                <w:webHidden/>
              </w:rPr>
              <w:fldChar w:fldCharType="begin"/>
            </w:r>
            <w:r w:rsidR="0021215A" w:rsidRPr="00A13E6C">
              <w:rPr>
                <w:webHidden/>
              </w:rPr>
              <w:instrText xml:space="preserve"> PAGEREF _Toc62650283 \h </w:instrText>
            </w:r>
            <w:r w:rsidR="0021215A" w:rsidRPr="00A13E6C">
              <w:rPr>
                <w:webHidden/>
              </w:rPr>
            </w:r>
            <w:r w:rsidR="0021215A" w:rsidRPr="00A13E6C">
              <w:rPr>
                <w:webHidden/>
              </w:rPr>
              <w:fldChar w:fldCharType="separate"/>
            </w:r>
            <w:r w:rsidR="00A22B54">
              <w:rPr>
                <w:webHidden/>
              </w:rPr>
              <w:t>80</w:t>
            </w:r>
            <w:r w:rsidR="0021215A" w:rsidRPr="00A13E6C">
              <w:rPr>
                <w:webHidden/>
              </w:rPr>
              <w:fldChar w:fldCharType="end"/>
            </w:r>
          </w:hyperlink>
        </w:p>
        <w:p w14:paraId="606B7D1F" w14:textId="44EC85D6" w:rsidR="0021215A" w:rsidRPr="00A13E6C" w:rsidRDefault="00982BBB">
          <w:pPr>
            <w:pStyle w:val="TOC2"/>
            <w:rPr>
              <w:rFonts w:eastAsiaTheme="minorEastAsia" w:cstheme="minorBidi"/>
              <w:lang w:eastAsia="en-NZ"/>
            </w:rPr>
          </w:pPr>
          <w:hyperlink w:anchor="_Toc62650284" w:history="1">
            <w:r w:rsidR="0021215A" w:rsidRPr="00A13E6C">
              <w:rPr>
                <w:rStyle w:val="Hyperlink"/>
              </w:rPr>
              <w:t>5.3 How the transition could impact the cost of living and access to transport</w:t>
            </w:r>
            <w:r w:rsidR="0021215A" w:rsidRPr="00A13E6C">
              <w:rPr>
                <w:webHidden/>
              </w:rPr>
              <w:tab/>
            </w:r>
            <w:r w:rsidR="0021215A" w:rsidRPr="00A13E6C">
              <w:rPr>
                <w:webHidden/>
              </w:rPr>
              <w:fldChar w:fldCharType="begin"/>
            </w:r>
            <w:r w:rsidR="0021215A" w:rsidRPr="00A13E6C">
              <w:rPr>
                <w:webHidden/>
              </w:rPr>
              <w:instrText xml:space="preserve"> PAGEREF _Toc62650284 \h </w:instrText>
            </w:r>
            <w:r w:rsidR="0021215A" w:rsidRPr="00A13E6C">
              <w:rPr>
                <w:webHidden/>
              </w:rPr>
            </w:r>
            <w:r w:rsidR="0021215A" w:rsidRPr="00A13E6C">
              <w:rPr>
                <w:webHidden/>
              </w:rPr>
              <w:fldChar w:fldCharType="separate"/>
            </w:r>
            <w:r w:rsidR="00A22B54">
              <w:rPr>
                <w:webHidden/>
              </w:rPr>
              <w:t>81</w:t>
            </w:r>
            <w:r w:rsidR="0021215A" w:rsidRPr="00A13E6C">
              <w:rPr>
                <w:webHidden/>
              </w:rPr>
              <w:fldChar w:fldCharType="end"/>
            </w:r>
          </w:hyperlink>
        </w:p>
        <w:p w14:paraId="16ABEF26" w14:textId="1C784F16" w:rsidR="0021215A" w:rsidRPr="00A13E6C" w:rsidRDefault="00982BBB" w:rsidP="00AE5853">
          <w:pPr>
            <w:pStyle w:val="TOC3"/>
            <w:rPr>
              <w:rFonts w:eastAsiaTheme="minorEastAsia"/>
              <w:noProof/>
              <w:lang w:eastAsia="en-NZ"/>
            </w:rPr>
          </w:pPr>
          <w:hyperlink w:anchor="_Toc62650285" w:history="1">
            <w:r w:rsidR="0021215A" w:rsidRPr="00A13E6C">
              <w:rPr>
                <w:rStyle w:val="Hyperlink"/>
                <w:rFonts w:eastAsiaTheme="majorEastAsia" w:cstheme="majorBidi"/>
                <w:noProof/>
              </w:rPr>
              <w:t>5.3.1 Electricity bills</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_Toc62650285 \h </w:instrText>
            </w:r>
            <w:r w:rsidR="0021215A" w:rsidRPr="00A13E6C">
              <w:rPr>
                <w:noProof/>
                <w:webHidden/>
              </w:rPr>
            </w:r>
            <w:r w:rsidR="0021215A" w:rsidRPr="00A13E6C">
              <w:rPr>
                <w:noProof/>
                <w:webHidden/>
              </w:rPr>
              <w:fldChar w:fldCharType="separate"/>
            </w:r>
            <w:r w:rsidR="00A22B54">
              <w:rPr>
                <w:noProof/>
                <w:webHidden/>
              </w:rPr>
              <w:t>81</w:t>
            </w:r>
            <w:r w:rsidR="0021215A" w:rsidRPr="00A13E6C">
              <w:rPr>
                <w:noProof/>
                <w:webHidden/>
              </w:rPr>
              <w:fldChar w:fldCharType="end"/>
            </w:r>
          </w:hyperlink>
        </w:p>
        <w:p w14:paraId="5D0232F6" w14:textId="71C766C4" w:rsidR="0021215A" w:rsidRPr="00A13E6C" w:rsidRDefault="00982BBB" w:rsidP="00AE5853">
          <w:pPr>
            <w:pStyle w:val="TOC3"/>
            <w:rPr>
              <w:rFonts w:eastAsiaTheme="minorEastAsia"/>
              <w:noProof/>
              <w:lang w:eastAsia="en-NZ"/>
            </w:rPr>
          </w:pPr>
          <w:hyperlink w:anchor="_Toc62650286" w:history="1">
            <w:r w:rsidR="0021215A" w:rsidRPr="00A13E6C">
              <w:rPr>
                <w:rStyle w:val="Hyperlink"/>
                <w:rFonts w:eastAsiaTheme="majorEastAsia" w:cstheme="majorBidi"/>
                <w:noProof/>
              </w:rPr>
              <w:t>5.3.2 Natural gas</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_Toc62650286 \h </w:instrText>
            </w:r>
            <w:r w:rsidR="0021215A" w:rsidRPr="00A13E6C">
              <w:rPr>
                <w:noProof/>
                <w:webHidden/>
              </w:rPr>
            </w:r>
            <w:r w:rsidR="0021215A" w:rsidRPr="00A13E6C">
              <w:rPr>
                <w:noProof/>
                <w:webHidden/>
              </w:rPr>
              <w:fldChar w:fldCharType="separate"/>
            </w:r>
            <w:r w:rsidR="00A22B54">
              <w:rPr>
                <w:noProof/>
                <w:webHidden/>
              </w:rPr>
              <w:t>84</w:t>
            </w:r>
            <w:r w:rsidR="0021215A" w:rsidRPr="00A13E6C">
              <w:rPr>
                <w:noProof/>
                <w:webHidden/>
              </w:rPr>
              <w:fldChar w:fldCharType="end"/>
            </w:r>
          </w:hyperlink>
        </w:p>
        <w:p w14:paraId="3869DD03" w14:textId="67C5F3FB" w:rsidR="0021215A" w:rsidRPr="00A13E6C" w:rsidRDefault="00982BBB" w:rsidP="00AE5853">
          <w:pPr>
            <w:pStyle w:val="TOC3"/>
            <w:rPr>
              <w:rFonts w:eastAsiaTheme="minorEastAsia"/>
              <w:noProof/>
              <w:lang w:eastAsia="en-NZ"/>
            </w:rPr>
          </w:pPr>
          <w:hyperlink w:anchor="_Toc62650287" w:history="1">
            <w:r w:rsidR="0021215A" w:rsidRPr="00A13E6C">
              <w:rPr>
                <w:rStyle w:val="Hyperlink"/>
                <w:rFonts w:eastAsiaTheme="majorEastAsia" w:cstheme="majorBidi"/>
                <w:noProof/>
              </w:rPr>
              <w:t>5.3.3 Fuel costs and access to transport</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_Toc62650287 \h </w:instrText>
            </w:r>
            <w:r w:rsidR="0021215A" w:rsidRPr="00A13E6C">
              <w:rPr>
                <w:noProof/>
                <w:webHidden/>
              </w:rPr>
            </w:r>
            <w:r w:rsidR="0021215A" w:rsidRPr="00A13E6C">
              <w:rPr>
                <w:noProof/>
                <w:webHidden/>
              </w:rPr>
              <w:fldChar w:fldCharType="separate"/>
            </w:r>
            <w:r w:rsidR="00A22B54">
              <w:rPr>
                <w:noProof/>
                <w:webHidden/>
              </w:rPr>
              <w:t>84</w:t>
            </w:r>
            <w:r w:rsidR="0021215A" w:rsidRPr="00A13E6C">
              <w:rPr>
                <w:noProof/>
                <w:webHidden/>
              </w:rPr>
              <w:fldChar w:fldCharType="end"/>
            </w:r>
          </w:hyperlink>
        </w:p>
        <w:p w14:paraId="5050872B" w14:textId="67135003" w:rsidR="0021215A" w:rsidRPr="00A13E6C" w:rsidRDefault="00982BBB">
          <w:pPr>
            <w:pStyle w:val="TOC2"/>
            <w:rPr>
              <w:rFonts w:eastAsiaTheme="minorEastAsia" w:cstheme="minorBidi"/>
              <w:lang w:eastAsia="en-NZ"/>
            </w:rPr>
          </w:pPr>
          <w:hyperlink w:anchor="_Toc62650288" w:history="1">
            <w:r w:rsidR="0021215A" w:rsidRPr="00A13E6C">
              <w:rPr>
                <w:rStyle w:val="Hyperlink"/>
              </w:rPr>
              <w:t>5.4 How Aotearoa earns its way in the world</w:t>
            </w:r>
            <w:r w:rsidR="0021215A" w:rsidRPr="00A13E6C">
              <w:rPr>
                <w:webHidden/>
              </w:rPr>
              <w:tab/>
            </w:r>
            <w:r w:rsidR="0021215A" w:rsidRPr="00A13E6C">
              <w:rPr>
                <w:webHidden/>
              </w:rPr>
              <w:fldChar w:fldCharType="begin"/>
            </w:r>
            <w:r w:rsidR="0021215A" w:rsidRPr="00A13E6C">
              <w:rPr>
                <w:webHidden/>
              </w:rPr>
              <w:instrText xml:space="preserve"> PAGEREF _Toc62650288 \h </w:instrText>
            </w:r>
            <w:r w:rsidR="0021215A" w:rsidRPr="00A13E6C">
              <w:rPr>
                <w:webHidden/>
              </w:rPr>
            </w:r>
            <w:r w:rsidR="0021215A" w:rsidRPr="00A13E6C">
              <w:rPr>
                <w:webHidden/>
              </w:rPr>
              <w:fldChar w:fldCharType="separate"/>
            </w:r>
            <w:r w:rsidR="00A22B54">
              <w:rPr>
                <w:webHidden/>
              </w:rPr>
              <w:t>86</w:t>
            </w:r>
            <w:r w:rsidR="0021215A" w:rsidRPr="00A13E6C">
              <w:rPr>
                <w:webHidden/>
              </w:rPr>
              <w:fldChar w:fldCharType="end"/>
            </w:r>
          </w:hyperlink>
        </w:p>
        <w:p w14:paraId="3C5E569C" w14:textId="4B5E276A" w:rsidR="0021215A" w:rsidRPr="00A13E6C" w:rsidRDefault="00982BBB">
          <w:pPr>
            <w:pStyle w:val="TOC2"/>
            <w:rPr>
              <w:rFonts w:eastAsiaTheme="minorEastAsia" w:cstheme="minorBidi"/>
              <w:lang w:eastAsia="en-NZ"/>
            </w:rPr>
          </w:pPr>
          <w:hyperlink w:anchor="_Toc62650289" w:history="1">
            <w:r w:rsidR="0021215A" w:rsidRPr="00A13E6C">
              <w:rPr>
                <w:rStyle w:val="Hyperlink"/>
              </w:rPr>
              <w:t>5.5 Business, industry and workers</w:t>
            </w:r>
            <w:r w:rsidR="0021215A" w:rsidRPr="00A13E6C">
              <w:rPr>
                <w:webHidden/>
              </w:rPr>
              <w:tab/>
            </w:r>
            <w:r w:rsidR="0021215A" w:rsidRPr="00A13E6C">
              <w:rPr>
                <w:webHidden/>
              </w:rPr>
              <w:fldChar w:fldCharType="begin"/>
            </w:r>
            <w:r w:rsidR="0021215A" w:rsidRPr="00A13E6C">
              <w:rPr>
                <w:webHidden/>
              </w:rPr>
              <w:instrText xml:space="preserve"> PAGEREF _Toc62650289 \h </w:instrText>
            </w:r>
            <w:r w:rsidR="0021215A" w:rsidRPr="00A13E6C">
              <w:rPr>
                <w:webHidden/>
              </w:rPr>
            </w:r>
            <w:r w:rsidR="0021215A" w:rsidRPr="00A13E6C">
              <w:rPr>
                <w:webHidden/>
              </w:rPr>
              <w:fldChar w:fldCharType="separate"/>
            </w:r>
            <w:r w:rsidR="00A22B54">
              <w:rPr>
                <w:webHidden/>
              </w:rPr>
              <w:t>87</w:t>
            </w:r>
            <w:r w:rsidR="0021215A" w:rsidRPr="00A13E6C">
              <w:rPr>
                <w:webHidden/>
              </w:rPr>
              <w:fldChar w:fldCharType="end"/>
            </w:r>
          </w:hyperlink>
        </w:p>
        <w:p w14:paraId="0A2D7E49" w14:textId="00161F6C" w:rsidR="0021215A" w:rsidRPr="00A13E6C" w:rsidRDefault="00982BBB" w:rsidP="00AE5853">
          <w:pPr>
            <w:pStyle w:val="TOC3"/>
            <w:rPr>
              <w:rFonts w:eastAsiaTheme="minorEastAsia"/>
              <w:noProof/>
              <w:lang w:eastAsia="en-NZ"/>
            </w:rPr>
          </w:pPr>
          <w:hyperlink w:anchor="_Toc62650290" w:history="1">
            <w:r w:rsidR="0021215A" w:rsidRPr="00A13E6C">
              <w:rPr>
                <w:rStyle w:val="Hyperlink"/>
                <w:noProof/>
              </w:rPr>
              <w:t>5.5.1 Food and fibre production</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_Toc62650290 \h </w:instrText>
            </w:r>
            <w:r w:rsidR="0021215A" w:rsidRPr="00A13E6C">
              <w:rPr>
                <w:noProof/>
                <w:webHidden/>
              </w:rPr>
            </w:r>
            <w:r w:rsidR="0021215A" w:rsidRPr="00A13E6C">
              <w:rPr>
                <w:noProof/>
                <w:webHidden/>
              </w:rPr>
              <w:fldChar w:fldCharType="separate"/>
            </w:r>
            <w:r w:rsidR="00A22B54">
              <w:rPr>
                <w:noProof/>
                <w:webHidden/>
              </w:rPr>
              <w:t>88</w:t>
            </w:r>
            <w:r w:rsidR="0021215A" w:rsidRPr="00A13E6C">
              <w:rPr>
                <w:noProof/>
                <w:webHidden/>
              </w:rPr>
              <w:fldChar w:fldCharType="end"/>
            </w:r>
          </w:hyperlink>
        </w:p>
        <w:p w14:paraId="0E52614F" w14:textId="4733F49E" w:rsidR="0021215A" w:rsidRPr="00A13E6C" w:rsidRDefault="00982BBB" w:rsidP="00AE5853">
          <w:pPr>
            <w:pStyle w:val="TOC3"/>
            <w:rPr>
              <w:rFonts w:eastAsiaTheme="minorEastAsia"/>
              <w:noProof/>
              <w:lang w:eastAsia="en-NZ"/>
            </w:rPr>
          </w:pPr>
          <w:hyperlink w:anchor="_Toc62650291" w:history="1">
            <w:r w:rsidR="0021215A" w:rsidRPr="00A13E6C">
              <w:rPr>
                <w:rStyle w:val="Hyperlink"/>
                <w:noProof/>
              </w:rPr>
              <w:t>5.5.2 Energy sector</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_Toc62650291 \h </w:instrText>
            </w:r>
            <w:r w:rsidR="0021215A" w:rsidRPr="00A13E6C">
              <w:rPr>
                <w:noProof/>
                <w:webHidden/>
              </w:rPr>
            </w:r>
            <w:r w:rsidR="0021215A" w:rsidRPr="00A13E6C">
              <w:rPr>
                <w:noProof/>
                <w:webHidden/>
              </w:rPr>
              <w:fldChar w:fldCharType="separate"/>
            </w:r>
            <w:r w:rsidR="00A22B54">
              <w:rPr>
                <w:noProof/>
                <w:webHidden/>
              </w:rPr>
              <w:t>90</w:t>
            </w:r>
            <w:r w:rsidR="0021215A" w:rsidRPr="00A13E6C">
              <w:rPr>
                <w:noProof/>
                <w:webHidden/>
              </w:rPr>
              <w:fldChar w:fldCharType="end"/>
            </w:r>
          </w:hyperlink>
        </w:p>
        <w:p w14:paraId="096BBC50" w14:textId="2FF7EFFE" w:rsidR="0021215A" w:rsidRPr="00A13E6C" w:rsidRDefault="00982BBB" w:rsidP="00AE5853">
          <w:pPr>
            <w:pStyle w:val="TOC3"/>
            <w:rPr>
              <w:rFonts w:eastAsiaTheme="minorEastAsia"/>
              <w:noProof/>
              <w:lang w:eastAsia="en-NZ"/>
            </w:rPr>
          </w:pPr>
          <w:hyperlink w:anchor="_Toc62650292" w:history="1">
            <w:r w:rsidR="0021215A" w:rsidRPr="00A13E6C">
              <w:rPr>
                <w:rStyle w:val="Hyperlink"/>
                <w:noProof/>
              </w:rPr>
              <w:t>5.5.3 Small business</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_Toc62650292 \h </w:instrText>
            </w:r>
            <w:r w:rsidR="0021215A" w:rsidRPr="00A13E6C">
              <w:rPr>
                <w:noProof/>
                <w:webHidden/>
              </w:rPr>
            </w:r>
            <w:r w:rsidR="0021215A" w:rsidRPr="00A13E6C">
              <w:rPr>
                <w:noProof/>
                <w:webHidden/>
              </w:rPr>
              <w:fldChar w:fldCharType="separate"/>
            </w:r>
            <w:r w:rsidR="00A22B54">
              <w:rPr>
                <w:noProof/>
                <w:webHidden/>
              </w:rPr>
              <w:t>92</w:t>
            </w:r>
            <w:r w:rsidR="0021215A" w:rsidRPr="00A13E6C">
              <w:rPr>
                <w:noProof/>
                <w:webHidden/>
              </w:rPr>
              <w:fldChar w:fldCharType="end"/>
            </w:r>
          </w:hyperlink>
        </w:p>
        <w:p w14:paraId="05240DC7" w14:textId="0ECEF137" w:rsidR="0021215A" w:rsidRPr="00A13E6C" w:rsidRDefault="00982BBB" w:rsidP="00AE5853">
          <w:pPr>
            <w:pStyle w:val="TOC3"/>
            <w:rPr>
              <w:rFonts w:eastAsiaTheme="minorEastAsia"/>
              <w:noProof/>
              <w:lang w:eastAsia="en-NZ"/>
            </w:rPr>
          </w:pPr>
          <w:hyperlink w:anchor="_Toc62650293" w:history="1">
            <w:r w:rsidR="0021215A" w:rsidRPr="00A13E6C">
              <w:rPr>
                <w:rStyle w:val="Hyperlink"/>
                <w:noProof/>
              </w:rPr>
              <w:t>5.5.4 Emissions leakage</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_Toc62650293 \h </w:instrText>
            </w:r>
            <w:r w:rsidR="0021215A" w:rsidRPr="00A13E6C">
              <w:rPr>
                <w:noProof/>
                <w:webHidden/>
              </w:rPr>
            </w:r>
            <w:r w:rsidR="0021215A" w:rsidRPr="00A13E6C">
              <w:rPr>
                <w:noProof/>
                <w:webHidden/>
              </w:rPr>
              <w:fldChar w:fldCharType="separate"/>
            </w:r>
            <w:r w:rsidR="00A22B54">
              <w:rPr>
                <w:noProof/>
                <w:webHidden/>
              </w:rPr>
              <w:t>92</w:t>
            </w:r>
            <w:r w:rsidR="0021215A" w:rsidRPr="00A13E6C">
              <w:rPr>
                <w:noProof/>
                <w:webHidden/>
              </w:rPr>
              <w:fldChar w:fldCharType="end"/>
            </w:r>
          </w:hyperlink>
        </w:p>
        <w:p w14:paraId="53312E0F" w14:textId="4463E620" w:rsidR="0021215A" w:rsidRPr="00A13E6C" w:rsidRDefault="00982BBB" w:rsidP="00AE5853">
          <w:pPr>
            <w:pStyle w:val="TOC3"/>
            <w:rPr>
              <w:rFonts w:eastAsiaTheme="minorEastAsia"/>
              <w:noProof/>
              <w:lang w:eastAsia="en-NZ"/>
            </w:rPr>
          </w:pPr>
          <w:hyperlink w:anchor="_Toc62650294" w:history="1">
            <w:r w:rsidR="0021215A" w:rsidRPr="00A13E6C">
              <w:rPr>
                <w:rStyle w:val="Hyperlink"/>
                <w:noProof/>
              </w:rPr>
              <w:t>5.5.5 Making sure workers have opportunities</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_Toc62650294 \h </w:instrText>
            </w:r>
            <w:r w:rsidR="0021215A" w:rsidRPr="00A13E6C">
              <w:rPr>
                <w:noProof/>
                <w:webHidden/>
              </w:rPr>
            </w:r>
            <w:r w:rsidR="0021215A" w:rsidRPr="00A13E6C">
              <w:rPr>
                <w:noProof/>
                <w:webHidden/>
              </w:rPr>
              <w:fldChar w:fldCharType="separate"/>
            </w:r>
            <w:r w:rsidR="00A22B54">
              <w:rPr>
                <w:noProof/>
                <w:webHidden/>
              </w:rPr>
              <w:t>93</w:t>
            </w:r>
            <w:r w:rsidR="0021215A" w:rsidRPr="00A13E6C">
              <w:rPr>
                <w:noProof/>
                <w:webHidden/>
              </w:rPr>
              <w:fldChar w:fldCharType="end"/>
            </w:r>
          </w:hyperlink>
        </w:p>
        <w:p w14:paraId="20C0DA15" w14:textId="1BDBB290" w:rsidR="0021215A" w:rsidRPr="00A13E6C" w:rsidRDefault="00982BBB">
          <w:pPr>
            <w:pStyle w:val="TOC2"/>
            <w:rPr>
              <w:rFonts w:eastAsiaTheme="minorEastAsia" w:cstheme="minorBidi"/>
              <w:lang w:eastAsia="en-NZ"/>
            </w:rPr>
          </w:pPr>
          <w:hyperlink w:anchor="_Toc62650295" w:history="1">
            <w:r w:rsidR="0021215A" w:rsidRPr="00A13E6C">
              <w:rPr>
                <w:rStyle w:val="Hyperlink"/>
              </w:rPr>
              <w:t>5.6 Specific challenges to address for Māori-collectives and M</w:t>
            </w:r>
            <w:r w:rsidR="0021215A" w:rsidRPr="00A13E6C">
              <w:rPr>
                <w:rStyle w:val="Hyperlink"/>
                <w:rFonts w:cstheme="majorHAnsi"/>
              </w:rPr>
              <w:t>ā</w:t>
            </w:r>
            <w:r w:rsidR="0021215A" w:rsidRPr="00A13E6C">
              <w:rPr>
                <w:rStyle w:val="Hyperlink"/>
              </w:rPr>
              <w:t>ori in the workforce</w:t>
            </w:r>
            <w:r w:rsidR="0021215A" w:rsidRPr="00A13E6C">
              <w:rPr>
                <w:webHidden/>
              </w:rPr>
              <w:tab/>
            </w:r>
            <w:r w:rsidR="0021215A" w:rsidRPr="00A13E6C">
              <w:rPr>
                <w:webHidden/>
              </w:rPr>
              <w:fldChar w:fldCharType="begin"/>
            </w:r>
            <w:r w:rsidR="0021215A" w:rsidRPr="00A13E6C">
              <w:rPr>
                <w:webHidden/>
              </w:rPr>
              <w:instrText xml:space="preserve"> PAGEREF _Toc62650295 \h </w:instrText>
            </w:r>
            <w:r w:rsidR="0021215A" w:rsidRPr="00A13E6C">
              <w:rPr>
                <w:webHidden/>
              </w:rPr>
            </w:r>
            <w:r w:rsidR="0021215A" w:rsidRPr="00A13E6C">
              <w:rPr>
                <w:webHidden/>
              </w:rPr>
              <w:fldChar w:fldCharType="separate"/>
            </w:r>
            <w:r w:rsidR="00A22B54">
              <w:rPr>
                <w:webHidden/>
              </w:rPr>
              <w:t>97</w:t>
            </w:r>
            <w:r w:rsidR="0021215A" w:rsidRPr="00A13E6C">
              <w:rPr>
                <w:webHidden/>
              </w:rPr>
              <w:fldChar w:fldCharType="end"/>
            </w:r>
          </w:hyperlink>
        </w:p>
        <w:p w14:paraId="217B08EF" w14:textId="6C3CED9F" w:rsidR="0021215A" w:rsidRPr="00A13E6C" w:rsidRDefault="00982BBB" w:rsidP="00AE5853">
          <w:pPr>
            <w:pStyle w:val="TOC3"/>
            <w:rPr>
              <w:rFonts w:eastAsiaTheme="minorEastAsia"/>
              <w:noProof/>
              <w:lang w:eastAsia="en-NZ"/>
            </w:rPr>
          </w:pPr>
          <w:hyperlink w:anchor="_Toc62650296" w:history="1">
            <w:r w:rsidR="0021215A" w:rsidRPr="00A13E6C">
              <w:rPr>
                <w:rStyle w:val="Hyperlink"/>
                <w:noProof/>
                <w:lang w:eastAsia="en-NZ"/>
              </w:rPr>
              <w:t>5.6.1 M</w:t>
            </w:r>
            <w:r w:rsidR="0021215A" w:rsidRPr="00A13E6C">
              <w:rPr>
                <w:rStyle w:val="Hyperlink"/>
                <w:rFonts w:cstheme="minorHAnsi"/>
                <w:noProof/>
                <w:lang w:eastAsia="en-NZ"/>
              </w:rPr>
              <w:t>ā</w:t>
            </w:r>
            <w:r w:rsidR="0021215A" w:rsidRPr="00A13E6C">
              <w:rPr>
                <w:rStyle w:val="Hyperlink"/>
                <w:noProof/>
                <w:lang w:eastAsia="en-NZ"/>
              </w:rPr>
              <w:t>ori-collectives</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_Toc62650296 \h </w:instrText>
            </w:r>
            <w:r w:rsidR="0021215A" w:rsidRPr="00A13E6C">
              <w:rPr>
                <w:noProof/>
                <w:webHidden/>
              </w:rPr>
            </w:r>
            <w:r w:rsidR="0021215A" w:rsidRPr="00A13E6C">
              <w:rPr>
                <w:noProof/>
                <w:webHidden/>
              </w:rPr>
              <w:fldChar w:fldCharType="separate"/>
            </w:r>
            <w:r w:rsidR="00A22B54">
              <w:rPr>
                <w:noProof/>
                <w:webHidden/>
              </w:rPr>
              <w:t>97</w:t>
            </w:r>
            <w:r w:rsidR="0021215A" w:rsidRPr="00A13E6C">
              <w:rPr>
                <w:noProof/>
                <w:webHidden/>
              </w:rPr>
              <w:fldChar w:fldCharType="end"/>
            </w:r>
          </w:hyperlink>
        </w:p>
        <w:p w14:paraId="0812803C" w14:textId="3857959E" w:rsidR="0021215A" w:rsidRPr="00A13E6C" w:rsidRDefault="00982BBB" w:rsidP="00AE5853">
          <w:pPr>
            <w:pStyle w:val="TOC3"/>
            <w:rPr>
              <w:rFonts w:eastAsiaTheme="minorEastAsia"/>
              <w:noProof/>
              <w:lang w:eastAsia="en-NZ"/>
            </w:rPr>
          </w:pPr>
          <w:hyperlink w:anchor="_Toc62650297" w:history="1">
            <w:r w:rsidR="0021215A" w:rsidRPr="00A13E6C">
              <w:rPr>
                <w:rStyle w:val="Hyperlink"/>
                <w:noProof/>
                <w:lang w:val="en-US"/>
              </w:rPr>
              <w:t>5.6.2 M</w:t>
            </w:r>
            <w:r w:rsidR="0021215A" w:rsidRPr="00A13E6C">
              <w:rPr>
                <w:rStyle w:val="Hyperlink"/>
                <w:rFonts w:cstheme="minorHAnsi"/>
                <w:noProof/>
                <w:lang w:val="en-US"/>
              </w:rPr>
              <w:t>ā</w:t>
            </w:r>
            <w:r w:rsidR="0021215A" w:rsidRPr="00A13E6C">
              <w:rPr>
                <w:rStyle w:val="Hyperlink"/>
                <w:noProof/>
                <w:lang w:val="en-US"/>
              </w:rPr>
              <w:t>ori in the workforce</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_Toc62650297 \h </w:instrText>
            </w:r>
            <w:r w:rsidR="0021215A" w:rsidRPr="00A13E6C">
              <w:rPr>
                <w:noProof/>
                <w:webHidden/>
              </w:rPr>
            </w:r>
            <w:r w:rsidR="0021215A" w:rsidRPr="00A13E6C">
              <w:rPr>
                <w:noProof/>
                <w:webHidden/>
              </w:rPr>
              <w:fldChar w:fldCharType="separate"/>
            </w:r>
            <w:r w:rsidR="00A22B54">
              <w:rPr>
                <w:noProof/>
                <w:webHidden/>
              </w:rPr>
              <w:t>97</w:t>
            </w:r>
            <w:r w:rsidR="0021215A" w:rsidRPr="00A13E6C">
              <w:rPr>
                <w:noProof/>
                <w:webHidden/>
              </w:rPr>
              <w:fldChar w:fldCharType="end"/>
            </w:r>
          </w:hyperlink>
        </w:p>
        <w:p w14:paraId="48CE353E" w14:textId="71EB17B2" w:rsidR="0021215A" w:rsidRPr="00A13E6C" w:rsidRDefault="00982BBB">
          <w:pPr>
            <w:pStyle w:val="TOC2"/>
            <w:rPr>
              <w:rFonts w:eastAsiaTheme="minorEastAsia" w:cstheme="minorBidi"/>
              <w:lang w:eastAsia="en-NZ"/>
            </w:rPr>
          </w:pPr>
          <w:hyperlink w:anchor="_Toc62650298" w:history="1">
            <w:r w:rsidR="0021215A" w:rsidRPr="00A13E6C">
              <w:rPr>
                <w:rStyle w:val="Hyperlink"/>
                <w:lang w:eastAsia="en-NZ"/>
              </w:rPr>
              <w:t>5.7 Impacts of land use change on communities</w:t>
            </w:r>
            <w:r w:rsidR="0021215A" w:rsidRPr="00A13E6C">
              <w:rPr>
                <w:webHidden/>
              </w:rPr>
              <w:tab/>
            </w:r>
            <w:r w:rsidR="0021215A" w:rsidRPr="00A13E6C">
              <w:rPr>
                <w:webHidden/>
              </w:rPr>
              <w:fldChar w:fldCharType="begin"/>
            </w:r>
            <w:r w:rsidR="0021215A" w:rsidRPr="00A13E6C">
              <w:rPr>
                <w:webHidden/>
              </w:rPr>
              <w:instrText xml:space="preserve"> PAGEREF _Toc62650298 \h </w:instrText>
            </w:r>
            <w:r w:rsidR="0021215A" w:rsidRPr="00A13E6C">
              <w:rPr>
                <w:webHidden/>
              </w:rPr>
            </w:r>
            <w:r w:rsidR="0021215A" w:rsidRPr="00A13E6C">
              <w:rPr>
                <w:webHidden/>
              </w:rPr>
              <w:fldChar w:fldCharType="separate"/>
            </w:r>
            <w:r w:rsidR="00A22B54">
              <w:rPr>
                <w:webHidden/>
              </w:rPr>
              <w:t>98</w:t>
            </w:r>
            <w:r w:rsidR="0021215A" w:rsidRPr="00A13E6C">
              <w:rPr>
                <w:webHidden/>
              </w:rPr>
              <w:fldChar w:fldCharType="end"/>
            </w:r>
          </w:hyperlink>
        </w:p>
        <w:p w14:paraId="29DD7540" w14:textId="03A78451" w:rsidR="0021215A" w:rsidRPr="00A13E6C" w:rsidRDefault="00982BBB" w:rsidP="00AE5853">
          <w:pPr>
            <w:pStyle w:val="TOC3"/>
            <w:rPr>
              <w:rFonts w:eastAsiaTheme="minorEastAsia"/>
              <w:noProof/>
              <w:lang w:eastAsia="en-NZ"/>
            </w:rPr>
          </w:pPr>
          <w:hyperlink w:anchor="_Toc62650299" w:history="1">
            <w:r w:rsidR="0021215A" w:rsidRPr="00A13E6C">
              <w:rPr>
                <w:rStyle w:val="Hyperlink"/>
                <w:noProof/>
                <w:lang w:eastAsia="en-NZ"/>
              </w:rPr>
              <w:t>5.7.1 Exotic forestry</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_Toc62650299 \h </w:instrText>
            </w:r>
            <w:r w:rsidR="0021215A" w:rsidRPr="00A13E6C">
              <w:rPr>
                <w:noProof/>
                <w:webHidden/>
              </w:rPr>
            </w:r>
            <w:r w:rsidR="0021215A" w:rsidRPr="00A13E6C">
              <w:rPr>
                <w:noProof/>
                <w:webHidden/>
              </w:rPr>
              <w:fldChar w:fldCharType="separate"/>
            </w:r>
            <w:r w:rsidR="00A22B54">
              <w:rPr>
                <w:noProof/>
                <w:webHidden/>
              </w:rPr>
              <w:t>98</w:t>
            </w:r>
            <w:r w:rsidR="0021215A" w:rsidRPr="00A13E6C">
              <w:rPr>
                <w:noProof/>
                <w:webHidden/>
              </w:rPr>
              <w:fldChar w:fldCharType="end"/>
            </w:r>
          </w:hyperlink>
        </w:p>
        <w:p w14:paraId="2FE7D70B" w14:textId="2AF3A615" w:rsidR="0021215A" w:rsidRPr="00A13E6C" w:rsidRDefault="00982BBB">
          <w:pPr>
            <w:pStyle w:val="TOC2"/>
            <w:rPr>
              <w:rFonts w:eastAsiaTheme="minorEastAsia" w:cstheme="minorBidi"/>
              <w:lang w:eastAsia="en-NZ"/>
            </w:rPr>
          </w:pPr>
          <w:hyperlink w:anchor="_Toc62650300" w:history="1">
            <w:r w:rsidR="0021215A" w:rsidRPr="00A13E6C">
              <w:rPr>
                <w:rStyle w:val="Hyperlink"/>
                <w:lang w:eastAsia="en-NZ"/>
              </w:rPr>
              <w:t>5.8 Environmental impacts</w:t>
            </w:r>
            <w:r w:rsidR="0021215A" w:rsidRPr="00A13E6C">
              <w:rPr>
                <w:webHidden/>
              </w:rPr>
              <w:tab/>
            </w:r>
            <w:r w:rsidR="0021215A" w:rsidRPr="00A13E6C">
              <w:rPr>
                <w:webHidden/>
              </w:rPr>
              <w:fldChar w:fldCharType="begin"/>
            </w:r>
            <w:r w:rsidR="0021215A" w:rsidRPr="00A13E6C">
              <w:rPr>
                <w:webHidden/>
              </w:rPr>
              <w:instrText xml:space="preserve"> PAGEREF _Toc62650300 \h </w:instrText>
            </w:r>
            <w:r w:rsidR="0021215A" w:rsidRPr="00A13E6C">
              <w:rPr>
                <w:webHidden/>
              </w:rPr>
            </w:r>
            <w:r w:rsidR="0021215A" w:rsidRPr="00A13E6C">
              <w:rPr>
                <w:webHidden/>
              </w:rPr>
              <w:fldChar w:fldCharType="separate"/>
            </w:r>
            <w:r w:rsidR="00A22B54">
              <w:rPr>
                <w:webHidden/>
              </w:rPr>
              <w:t>100</w:t>
            </w:r>
            <w:r w:rsidR="0021215A" w:rsidRPr="00A13E6C">
              <w:rPr>
                <w:webHidden/>
              </w:rPr>
              <w:fldChar w:fldCharType="end"/>
            </w:r>
          </w:hyperlink>
        </w:p>
        <w:p w14:paraId="6C317CB6" w14:textId="41598C29" w:rsidR="0021215A" w:rsidRPr="00A13E6C" w:rsidRDefault="00982BBB">
          <w:pPr>
            <w:pStyle w:val="TOC2"/>
            <w:rPr>
              <w:rFonts w:eastAsiaTheme="minorEastAsia" w:cstheme="minorBidi"/>
              <w:lang w:eastAsia="en-NZ"/>
            </w:rPr>
          </w:pPr>
          <w:hyperlink w:anchor="_Toc62650301" w:history="1">
            <w:r w:rsidR="0021215A" w:rsidRPr="00A13E6C">
              <w:rPr>
                <w:rStyle w:val="Hyperlink"/>
                <w:lang w:eastAsia="en-NZ"/>
              </w:rPr>
              <w:t>5.9 Impact on government taxation and spending</w:t>
            </w:r>
            <w:r w:rsidR="0021215A" w:rsidRPr="00A13E6C">
              <w:rPr>
                <w:webHidden/>
              </w:rPr>
              <w:tab/>
            </w:r>
            <w:r w:rsidR="0021215A" w:rsidRPr="00A13E6C">
              <w:rPr>
                <w:webHidden/>
              </w:rPr>
              <w:fldChar w:fldCharType="begin"/>
            </w:r>
            <w:r w:rsidR="0021215A" w:rsidRPr="00A13E6C">
              <w:rPr>
                <w:webHidden/>
              </w:rPr>
              <w:instrText xml:space="preserve"> PAGEREF _Toc62650301 \h </w:instrText>
            </w:r>
            <w:r w:rsidR="0021215A" w:rsidRPr="00A13E6C">
              <w:rPr>
                <w:webHidden/>
              </w:rPr>
            </w:r>
            <w:r w:rsidR="0021215A" w:rsidRPr="00A13E6C">
              <w:rPr>
                <w:webHidden/>
              </w:rPr>
              <w:fldChar w:fldCharType="separate"/>
            </w:r>
            <w:r w:rsidR="00A22B54">
              <w:rPr>
                <w:webHidden/>
              </w:rPr>
              <w:t>101</w:t>
            </w:r>
            <w:r w:rsidR="0021215A" w:rsidRPr="00A13E6C">
              <w:rPr>
                <w:webHidden/>
              </w:rPr>
              <w:fldChar w:fldCharType="end"/>
            </w:r>
          </w:hyperlink>
        </w:p>
        <w:p w14:paraId="418A4967" w14:textId="1F57B389" w:rsidR="0021215A" w:rsidRPr="00A13E6C" w:rsidRDefault="00982BBB">
          <w:pPr>
            <w:pStyle w:val="TOC2"/>
            <w:rPr>
              <w:rFonts w:eastAsiaTheme="minorEastAsia" w:cstheme="minorBidi"/>
              <w:lang w:eastAsia="en-NZ"/>
            </w:rPr>
          </w:pPr>
          <w:hyperlink w:anchor="_Toc62650302" w:history="1">
            <w:r w:rsidR="0021215A" w:rsidRPr="00A13E6C">
              <w:rPr>
                <w:rStyle w:val="Hyperlink"/>
                <w:rFonts w:cstheme="majorBidi"/>
              </w:rPr>
              <w:t>5.10 Ensuring an inclusive, equitable and well-planned transition</w:t>
            </w:r>
            <w:r w:rsidR="0021215A" w:rsidRPr="00A13E6C">
              <w:rPr>
                <w:webHidden/>
              </w:rPr>
              <w:tab/>
            </w:r>
            <w:r w:rsidR="0021215A" w:rsidRPr="00A13E6C">
              <w:rPr>
                <w:webHidden/>
              </w:rPr>
              <w:fldChar w:fldCharType="begin"/>
            </w:r>
            <w:r w:rsidR="0021215A" w:rsidRPr="00A13E6C">
              <w:rPr>
                <w:webHidden/>
              </w:rPr>
              <w:instrText xml:space="preserve"> PAGEREF _Toc62650302 \h </w:instrText>
            </w:r>
            <w:r w:rsidR="0021215A" w:rsidRPr="00A13E6C">
              <w:rPr>
                <w:webHidden/>
              </w:rPr>
            </w:r>
            <w:r w:rsidR="0021215A" w:rsidRPr="00A13E6C">
              <w:rPr>
                <w:webHidden/>
              </w:rPr>
              <w:fldChar w:fldCharType="separate"/>
            </w:r>
            <w:r w:rsidR="00A22B54">
              <w:rPr>
                <w:webHidden/>
              </w:rPr>
              <w:t>101</w:t>
            </w:r>
            <w:r w:rsidR="0021215A" w:rsidRPr="00A13E6C">
              <w:rPr>
                <w:webHidden/>
              </w:rPr>
              <w:fldChar w:fldCharType="end"/>
            </w:r>
          </w:hyperlink>
        </w:p>
        <w:p w14:paraId="712ED4D9" w14:textId="4FF83983" w:rsidR="0021215A" w:rsidRPr="00A13E6C" w:rsidRDefault="00982BBB" w:rsidP="00AE5853">
          <w:pPr>
            <w:pStyle w:val="TOC1"/>
            <w:rPr>
              <w:rFonts w:eastAsiaTheme="minorEastAsia" w:cstheme="minorBidi"/>
              <w:sz w:val="22"/>
              <w:szCs w:val="22"/>
              <w:lang w:eastAsia="en-NZ"/>
            </w:rPr>
          </w:pPr>
          <w:hyperlink w:anchor="_Toc62650303" w:history="1">
            <w:r w:rsidR="0021215A" w:rsidRPr="00A13E6C">
              <w:rPr>
                <w:rStyle w:val="Hyperlink"/>
              </w:rPr>
              <w:t>Chapter 6: Direction of policy in the Government’s emissions reduction plan</w:t>
            </w:r>
            <w:r w:rsidR="0021215A" w:rsidRPr="00A13E6C">
              <w:rPr>
                <w:webHidden/>
              </w:rPr>
              <w:tab/>
            </w:r>
            <w:r w:rsidR="0021215A" w:rsidRPr="00A13E6C">
              <w:rPr>
                <w:webHidden/>
              </w:rPr>
              <w:fldChar w:fldCharType="begin"/>
            </w:r>
            <w:r w:rsidR="0021215A" w:rsidRPr="00A13E6C">
              <w:rPr>
                <w:webHidden/>
              </w:rPr>
              <w:instrText xml:space="preserve"> PAGEREF _Toc62650303 \h </w:instrText>
            </w:r>
            <w:r w:rsidR="0021215A" w:rsidRPr="00A13E6C">
              <w:rPr>
                <w:webHidden/>
              </w:rPr>
            </w:r>
            <w:r w:rsidR="0021215A" w:rsidRPr="00A13E6C">
              <w:rPr>
                <w:webHidden/>
              </w:rPr>
              <w:fldChar w:fldCharType="separate"/>
            </w:r>
            <w:r w:rsidR="00A22B54">
              <w:rPr>
                <w:webHidden/>
              </w:rPr>
              <w:t>104</w:t>
            </w:r>
            <w:r w:rsidR="0021215A" w:rsidRPr="00A13E6C">
              <w:rPr>
                <w:webHidden/>
              </w:rPr>
              <w:fldChar w:fldCharType="end"/>
            </w:r>
          </w:hyperlink>
        </w:p>
        <w:p w14:paraId="2CA88045" w14:textId="5A70BCC8" w:rsidR="0021215A" w:rsidRPr="00A13E6C" w:rsidRDefault="00982BBB">
          <w:pPr>
            <w:pStyle w:val="TOC2"/>
            <w:rPr>
              <w:rFonts w:eastAsiaTheme="minorEastAsia" w:cstheme="minorBidi"/>
              <w:lang w:eastAsia="en-NZ"/>
            </w:rPr>
          </w:pPr>
          <w:hyperlink w:anchor="_Toc62650304" w:history="1">
            <w:r w:rsidR="0021215A" w:rsidRPr="00A13E6C">
              <w:rPr>
                <w:rStyle w:val="Hyperlink"/>
              </w:rPr>
              <w:t>6.1 Sector specific policies</w:t>
            </w:r>
            <w:r w:rsidR="0021215A" w:rsidRPr="00A13E6C">
              <w:rPr>
                <w:webHidden/>
              </w:rPr>
              <w:tab/>
            </w:r>
            <w:r w:rsidR="0021215A" w:rsidRPr="00A13E6C">
              <w:rPr>
                <w:webHidden/>
              </w:rPr>
              <w:fldChar w:fldCharType="begin"/>
            </w:r>
            <w:r w:rsidR="0021215A" w:rsidRPr="00A13E6C">
              <w:rPr>
                <w:webHidden/>
              </w:rPr>
              <w:instrText xml:space="preserve"> PAGEREF _Toc62650304 \h </w:instrText>
            </w:r>
            <w:r w:rsidR="0021215A" w:rsidRPr="00A13E6C">
              <w:rPr>
                <w:webHidden/>
              </w:rPr>
            </w:r>
            <w:r w:rsidR="0021215A" w:rsidRPr="00A13E6C">
              <w:rPr>
                <w:webHidden/>
              </w:rPr>
              <w:fldChar w:fldCharType="separate"/>
            </w:r>
            <w:r w:rsidR="00A22B54">
              <w:rPr>
                <w:webHidden/>
              </w:rPr>
              <w:t>105</w:t>
            </w:r>
            <w:r w:rsidR="0021215A" w:rsidRPr="00A13E6C">
              <w:rPr>
                <w:webHidden/>
              </w:rPr>
              <w:fldChar w:fldCharType="end"/>
            </w:r>
          </w:hyperlink>
        </w:p>
        <w:p w14:paraId="574D9F39" w14:textId="592668DF" w:rsidR="0021215A" w:rsidRPr="00A13E6C" w:rsidRDefault="00982BBB" w:rsidP="00AE5853">
          <w:pPr>
            <w:pStyle w:val="TOC3"/>
            <w:rPr>
              <w:rFonts w:eastAsiaTheme="minorEastAsia"/>
              <w:noProof/>
              <w:lang w:eastAsia="en-NZ"/>
            </w:rPr>
          </w:pPr>
          <w:hyperlink w:anchor="_Toc62650305" w:history="1">
            <w:r w:rsidR="0021215A" w:rsidRPr="00A13E6C">
              <w:rPr>
                <w:rStyle w:val="Hyperlink"/>
                <w:noProof/>
              </w:rPr>
              <w:t>6.1.1 Transport</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_Toc62650305 \h </w:instrText>
            </w:r>
            <w:r w:rsidR="0021215A" w:rsidRPr="00A13E6C">
              <w:rPr>
                <w:noProof/>
                <w:webHidden/>
              </w:rPr>
            </w:r>
            <w:r w:rsidR="0021215A" w:rsidRPr="00A13E6C">
              <w:rPr>
                <w:noProof/>
                <w:webHidden/>
              </w:rPr>
              <w:fldChar w:fldCharType="separate"/>
            </w:r>
            <w:r w:rsidR="00A22B54">
              <w:rPr>
                <w:noProof/>
                <w:webHidden/>
              </w:rPr>
              <w:t>105</w:t>
            </w:r>
            <w:r w:rsidR="0021215A" w:rsidRPr="00A13E6C">
              <w:rPr>
                <w:noProof/>
                <w:webHidden/>
              </w:rPr>
              <w:fldChar w:fldCharType="end"/>
            </w:r>
          </w:hyperlink>
        </w:p>
        <w:p w14:paraId="57E22479" w14:textId="4C31AB4A" w:rsidR="0021215A" w:rsidRPr="00A13E6C" w:rsidRDefault="00982BBB" w:rsidP="00AE5853">
          <w:pPr>
            <w:pStyle w:val="TOC3"/>
            <w:rPr>
              <w:rFonts w:eastAsiaTheme="minorEastAsia"/>
              <w:noProof/>
              <w:lang w:eastAsia="en-NZ"/>
            </w:rPr>
          </w:pPr>
          <w:hyperlink w:anchor="_Toc62650306" w:history="1">
            <w:r w:rsidR="0021215A" w:rsidRPr="00A13E6C">
              <w:rPr>
                <w:rStyle w:val="Hyperlink"/>
                <w:noProof/>
              </w:rPr>
              <w:t>6.1.2 Heat, industry and power</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_Toc62650306 \h </w:instrText>
            </w:r>
            <w:r w:rsidR="0021215A" w:rsidRPr="00A13E6C">
              <w:rPr>
                <w:noProof/>
                <w:webHidden/>
              </w:rPr>
            </w:r>
            <w:r w:rsidR="0021215A" w:rsidRPr="00A13E6C">
              <w:rPr>
                <w:noProof/>
                <w:webHidden/>
              </w:rPr>
              <w:fldChar w:fldCharType="separate"/>
            </w:r>
            <w:r w:rsidR="00A22B54">
              <w:rPr>
                <w:noProof/>
                <w:webHidden/>
              </w:rPr>
              <w:t>111</w:t>
            </w:r>
            <w:r w:rsidR="0021215A" w:rsidRPr="00A13E6C">
              <w:rPr>
                <w:noProof/>
                <w:webHidden/>
              </w:rPr>
              <w:fldChar w:fldCharType="end"/>
            </w:r>
          </w:hyperlink>
        </w:p>
        <w:p w14:paraId="199E1CD6" w14:textId="120CB127" w:rsidR="0021215A" w:rsidRPr="00A13E6C" w:rsidRDefault="00982BBB" w:rsidP="00AE5853">
          <w:pPr>
            <w:pStyle w:val="TOC3"/>
            <w:rPr>
              <w:rFonts w:eastAsiaTheme="minorEastAsia"/>
              <w:noProof/>
              <w:lang w:eastAsia="en-NZ"/>
            </w:rPr>
          </w:pPr>
          <w:hyperlink w:anchor="_Toc62650307" w:history="1">
            <w:r w:rsidR="0021215A" w:rsidRPr="00A13E6C">
              <w:rPr>
                <w:rStyle w:val="Hyperlink"/>
                <w:noProof/>
              </w:rPr>
              <w:t>6.1.3 Agriculture</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_Toc62650307 \h </w:instrText>
            </w:r>
            <w:r w:rsidR="0021215A" w:rsidRPr="00A13E6C">
              <w:rPr>
                <w:noProof/>
                <w:webHidden/>
              </w:rPr>
            </w:r>
            <w:r w:rsidR="0021215A" w:rsidRPr="00A13E6C">
              <w:rPr>
                <w:noProof/>
                <w:webHidden/>
              </w:rPr>
              <w:fldChar w:fldCharType="separate"/>
            </w:r>
            <w:r w:rsidR="00A22B54">
              <w:rPr>
                <w:noProof/>
                <w:webHidden/>
              </w:rPr>
              <w:t>118</w:t>
            </w:r>
            <w:r w:rsidR="0021215A" w:rsidRPr="00A13E6C">
              <w:rPr>
                <w:noProof/>
                <w:webHidden/>
              </w:rPr>
              <w:fldChar w:fldCharType="end"/>
            </w:r>
          </w:hyperlink>
        </w:p>
        <w:p w14:paraId="61C50047" w14:textId="4B1F6400" w:rsidR="0021215A" w:rsidRPr="00A13E6C" w:rsidRDefault="00982BBB" w:rsidP="00AE5853">
          <w:pPr>
            <w:pStyle w:val="TOC3"/>
            <w:rPr>
              <w:rFonts w:eastAsiaTheme="minorEastAsia"/>
              <w:noProof/>
              <w:lang w:eastAsia="en-NZ"/>
            </w:rPr>
          </w:pPr>
          <w:hyperlink w:anchor="_Toc62650308" w:history="1">
            <w:r w:rsidR="0021215A" w:rsidRPr="00A13E6C">
              <w:rPr>
                <w:rStyle w:val="Hyperlink"/>
                <w:noProof/>
              </w:rPr>
              <w:t>6.1.4 Forestry</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_Toc62650308 \h </w:instrText>
            </w:r>
            <w:r w:rsidR="0021215A" w:rsidRPr="00A13E6C">
              <w:rPr>
                <w:noProof/>
                <w:webHidden/>
              </w:rPr>
            </w:r>
            <w:r w:rsidR="0021215A" w:rsidRPr="00A13E6C">
              <w:rPr>
                <w:noProof/>
                <w:webHidden/>
              </w:rPr>
              <w:fldChar w:fldCharType="separate"/>
            </w:r>
            <w:r w:rsidR="00A22B54">
              <w:rPr>
                <w:noProof/>
                <w:webHidden/>
              </w:rPr>
              <w:t>121</w:t>
            </w:r>
            <w:r w:rsidR="0021215A" w:rsidRPr="00A13E6C">
              <w:rPr>
                <w:noProof/>
                <w:webHidden/>
              </w:rPr>
              <w:fldChar w:fldCharType="end"/>
            </w:r>
          </w:hyperlink>
        </w:p>
        <w:p w14:paraId="5DA88905" w14:textId="1D506E38" w:rsidR="0021215A" w:rsidRPr="00A13E6C" w:rsidRDefault="00982BBB" w:rsidP="00AE5853">
          <w:pPr>
            <w:pStyle w:val="TOC3"/>
            <w:rPr>
              <w:rFonts w:eastAsiaTheme="minorEastAsia"/>
              <w:noProof/>
              <w:lang w:eastAsia="en-NZ"/>
            </w:rPr>
          </w:pPr>
          <w:hyperlink w:anchor="_Toc62650309" w:history="1">
            <w:r w:rsidR="0021215A" w:rsidRPr="00A13E6C">
              <w:rPr>
                <w:rStyle w:val="Hyperlink"/>
                <w:noProof/>
              </w:rPr>
              <w:t>6.1.5 Waste</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_Toc62650309 \h </w:instrText>
            </w:r>
            <w:r w:rsidR="0021215A" w:rsidRPr="00A13E6C">
              <w:rPr>
                <w:noProof/>
                <w:webHidden/>
              </w:rPr>
            </w:r>
            <w:r w:rsidR="0021215A" w:rsidRPr="00A13E6C">
              <w:rPr>
                <w:noProof/>
                <w:webHidden/>
              </w:rPr>
              <w:fldChar w:fldCharType="separate"/>
            </w:r>
            <w:r w:rsidR="00A22B54">
              <w:rPr>
                <w:noProof/>
                <w:webHidden/>
              </w:rPr>
              <w:t>124</w:t>
            </w:r>
            <w:r w:rsidR="0021215A" w:rsidRPr="00A13E6C">
              <w:rPr>
                <w:noProof/>
                <w:webHidden/>
              </w:rPr>
              <w:fldChar w:fldCharType="end"/>
            </w:r>
          </w:hyperlink>
        </w:p>
        <w:p w14:paraId="259D6DDE" w14:textId="0A14E90B" w:rsidR="0021215A" w:rsidRPr="00A13E6C" w:rsidRDefault="00982BBB">
          <w:pPr>
            <w:pStyle w:val="TOC2"/>
            <w:rPr>
              <w:rFonts w:eastAsiaTheme="minorEastAsia" w:cstheme="minorBidi"/>
              <w:lang w:eastAsia="en-NZ"/>
            </w:rPr>
          </w:pPr>
          <w:hyperlink w:anchor="_Toc62650310" w:history="1">
            <w:r w:rsidR="0021215A" w:rsidRPr="00A13E6C">
              <w:rPr>
                <w:rStyle w:val="Hyperlink"/>
              </w:rPr>
              <w:t>6.2 Multisector strategy</w:t>
            </w:r>
            <w:r w:rsidR="0021215A" w:rsidRPr="00A13E6C">
              <w:rPr>
                <w:webHidden/>
              </w:rPr>
              <w:tab/>
            </w:r>
            <w:r w:rsidR="0021215A" w:rsidRPr="00A13E6C">
              <w:rPr>
                <w:webHidden/>
              </w:rPr>
              <w:fldChar w:fldCharType="begin"/>
            </w:r>
            <w:r w:rsidR="0021215A" w:rsidRPr="00A13E6C">
              <w:rPr>
                <w:webHidden/>
              </w:rPr>
              <w:instrText xml:space="preserve"> PAGEREF _Toc62650310 \h </w:instrText>
            </w:r>
            <w:r w:rsidR="0021215A" w:rsidRPr="00A13E6C">
              <w:rPr>
                <w:webHidden/>
              </w:rPr>
            </w:r>
            <w:r w:rsidR="0021215A" w:rsidRPr="00A13E6C">
              <w:rPr>
                <w:webHidden/>
              </w:rPr>
              <w:fldChar w:fldCharType="separate"/>
            </w:r>
            <w:r w:rsidR="00A22B54">
              <w:rPr>
                <w:webHidden/>
              </w:rPr>
              <w:t>126</w:t>
            </w:r>
            <w:r w:rsidR="0021215A" w:rsidRPr="00A13E6C">
              <w:rPr>
                <w:webHidden/>
              </w:rPr>
              <w:fldChar w:fldCharType="end"/>
            </w:r>
          </w:hyperlink>
        </w:p>
        <w:p w14:paraId="238CAA74" w14:textId="4231D72C" w:rsidR="0021215A" w:rsidRPr="00A13E6C" w:rsidRDefault="00982BBB" w:rsidP="00AE5853">
          <w:pPr>
            <w:pStyle w:val="TOC3"/>
            <w:rPr>
              <w:rFonts w:eastAsiaTheme="minorEastAsia"/>
              <w:noProof/>
              <w:lang w:eastAsia="en-NZ"/>
            </w:rPr>
          </w:pPr>
          <w:hyperlink w:anchor="_Toc62650311" w:history="1">
            <w:r w:rsidR="0021215A" w:rsidRPr="00A13E6C">
              <w:rPr>
                <w:rStyle w:val="Hyperlink"/>
                <w:noProof/>
              </w:rPr>
              <w:t>6.2.1 Integrate government policy making across climate change and other domains</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_Toc62650311 \h </w:instrText>
            </w:r>
            <w:r w:rsidR="0021215A" w:rsidRPr="00A13E6C">
              <w:rPr>
                <w:noProof/>
                <w:webHidden/>
              </w:rPr>
            </w:r>
            <w:r w:rsidR="0021215A" w:rsidRPr="00A13E6C">
              <w:rPr>
                <w:noProof/>
                <w:webHidden/>
              </w:rPr>
              <w:fldChar w:fldCharType="separate"/>
            </w:r>
            <w:r w:rsidR="00A22B54">
              <w:rPr>
                <w:noProof/>
                <w:webHidden/>
              </w:rPr>
              <w:t>126</w:t>
            </w:r>
            <w:r w:rsidR="0021215A" w:rsidRPr="00A13E6C">
              <w:rPr>
                <w:noProof/>
                <w:webHidden/>
              </w:rPr>
              <w:fldChar w:fldCharType="end"/>
            </w:r>
          </w:hyperlink>
        </w:p>
        <w:p w14:paraId="6673DE95" w14:textId="0191AFD2" w:rsidR="0021215A" w:rsidRPr="00A13E6C" w:rsidRDefault="00982BBB" w:rsidP="00AE5853">
          <w:pPr>
            <w:pStyle w:val="TOC3"/>
            <w:rPr>
              <w:rFonts w:eastAsiaTheme="minorEastAsia"/>
              <w:noProof/>
              <w:lang w:eastAsia="en-NZ"/>
            </w:rPr>
          </w:pPr>
          <w:hyperlink w:anchor="_Toc62650312" w:history="1">
            <w:r w:rsidR="0021215A" w:rsidRPr="00A13E6C">
              <w:rPr>
                <w:rStyle w:val="Hyperlink"/>
                <w:noProof/>
              </w:rPr>
              <w:t>6.2.2 Support behaviour change</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_Toc62650312 \h </w:instrText>
            </w:r>
            <w:r w:rsidR="0021215A" w:rsidRPr="00A13E6C">
              <w:rPr>
                <w:noProof/>
                <w:webHidden/>
              </w:rPr>
            </w:r>
            <w:r w:rsidR="0021215A" w:rsidRPr="00A13E6C">
              <w:rPr>
                <w:noProof/>
                <w:webHidden/>
              </w:rPr>
              <w:fldChar w:fldCharType="separate"/>
            </w:r>
            <w:r w:rsidR="00A22B54">
              <w:rPr>
                <w:noProof/>
                <w:webHidden/>
              </w:rPr>
              <w:t>127</w:t>
            </w:r>
            <w:r w:rsidR="0021215A" w:rsidRPr="00A13E6C">
              <w:rPr>
                <w:noProof/>
                <w:webHidden/>
              </w:rPr>
              <w:fldChar w:fldCharType="end"/>
            </w:r>
          </w:hyperlink>
        </w:p>
        <w:p w14:paraId="062EEE0C" w14:textId="62895E3F" w:rsidR="0021215A" w:rsidRPr="00A13E6C" w:rsidRDefault="00982BBB" w:rsidP="00AE5853">
          <w:pPr>
            <w:pStyle w:val="TOC3"/>
            <w:rPr>
              <w:rFonts w:eastAsiaTheme="minorEastAsia"/>
              <w:noProof/>
              <w:lang w:eastAsia="en-NZ"/>
            </w:rPr>
          </w:pPr>
          <w:hyperlink w:anchor="_Toc62650313" w:history="1">
            <w:r w:rsidR="0021215A" w:rsidRPr="00A13E6C">
              <w:rPr>
                <w:rStyle w:val="Hyperlink"/>
                <w:noProof/>
              </w:rPr>
              <w:t>6.2.3 Require entities with large investments to disclose climate related risks</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_Toc62650313 \h </w:instrText>
            </w:r>
            <w:r w:rsidR="0021215A" w:rsidRPr="00A13E6C">
              <w:rPr>
                <w:noProof/>
                <w:webHidden/>
              </w:rPr>
            </w:r>
            <w:r w:rsidR="0021215A" w:rsidRPr="00A13E6C">
              <w:rPr>
                <w:noProof/>
                <w:webHidden/>
              </w:rPr>
              <w:fldChar w:fldCharType="separate"/>
            </w:r>
            <w:r w:rsidR="00A22B54">
              <w:rPr>
                <w:noProof/>
                <w:webHidden/>
              </w:rPr>
              <w:t>128</w:t>
            </w:r>
            <w:r w:rsidR="0021215A" w:rsidRPr="00A13E6C">
              <w:rPr>
                <w:noProof/>
                <w:webHidden/>
              </w:rPr>
              <w:fldChar w:fldCharType="end"/>
            </w:r>
          </w:hyperlink>
        </w:p>
        <w:p w14:paraId="516EF5C2" w14:textId="2DDA0616" w:rsidR="0021215A" w:rsidRPr="00A13E6C" w:rsidRDefault="00982BBB" w:rsidP="00AE5853">
          <w:pPr>
            <w:pStyle w:val="TOC3"/>
            <w:rPr>
              <w:rFonts w:eastAsiaTheme="minorEastAsia"/>
              <w:noProof/>
              <w:lang w:eastAsia="en-NZ"/>
            </w:rPr>
          </w:pPr>
          <w:hyperlink w:anchor="_Toc62650314" w:history="1">
            <w:r w:rsidR="0021215A" w:rsidRPr="00A13E6C">
              <w:rPr>
                <w:rStyle w:val="Hyperlink"/>
                <w:noProof/>
              </w:rPr>
              <w:t>6.2.4 Factor target-consistent long-term abatement cost values into policy and investment analysis</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_Toc62650314 \h </w:instrText>
            </w:r>
            <w:r w:rsidR="0021215A" w:rsidRPr="00A13E6C">
              <w:rPr>
                <w:noProof/>
                <w:webHidden/>
              </w:rPr>
            </w:r>
            <w:r w:rsidR="0021215A" w:rsidRPr="00A13E6C">
              <w:rPr>
                <w:noProof/>
                <w:webHidden/>
              </w:rPr>
              <w:fldChar w:fldCharType="separate"/>
            </w:r>
            <w:r w:rsidR="00A22B54">
              <w:rPr>
                <w:noProof/>
                <w:webHidden/>
              </w:rPr>
              <w:t>128</w:t>
            </w:r>
            <w:r w:rsidR="0021215A" w:rsidRPr="00A13E6C">
              <w:rPr>
                <w:noProof/>
                <w:webHidden/>
              </w:rPr>
              <w:fldChar w:fldCharType="end"/>
            </w:r>
          </w:hyperlink>
        </w:p>
        <w:p w14:paraId="28D7048C" w14:textId="42DD89D0" w:rsidR="0021215A" w:rsidRPr="00A13E6C" w:rsidRDefault="00982BBB" w:rsidP="00AE5853">
          <w:pPr>
            <w:pStyle w:val="TOC3"/>
            <w:rPr>
              <w:rFonts w:eastAsiaTheme="minorEastAsia"/>
              <w:noProof/>
              <w:lang w:eastAsia="en-NZ"/>
            </w:rPr>
          </w:pPr>
          <w:hyperlink w:anchor="_Toc62650315" w:history="1">
            <w:r w:rsidR="0021215A" w:rsidRPr="00A13E6C">
              <w:rPr>
                <w:rStyle w:val="Hyperlink"/>
                <w:noProof/>
              </w:rPr>
              <w:t>6.2.5 Building a Māori emissions profile</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_Toc62650315 \h </w:instrText>
            </w:r>
            <w:r w:rsidR="0021215A" w:rsidRPr="00A13E6C">
              <w:rPr>
                <w:noProof/>
                <w:webHidden/>
              </w:rPr>
            </w:r>
            <w:r w:rsidR="0021215A" w:rsidRPr="00A13E6C">
              <w:rPr>
                <w:noProof/>
                <w:webHidden/>
              </w:rPr>
              <w:fldChar w:fldCharType="separate"/>
            </w:r>
            <w:r w:rsidR="00A22B54">
              <w:rPr>
                <w:noProof/>
                <w:webHidden/>
              </w:rPr>
              <w:t>130</w:t>
            </w:r>
            <w:r w:rsidR="0021215A" w:rsidRPr="00A13E6C">
              <w:rPr>
                <w:noProof/>
                <w:webHidden/>
              </w:rPr>
              <w:fldChar w:fldCharType="end"/>
            </w:r>
          </w:hyperlink>
        </w:p>
        <w:p w14:paraId="5BD62601" w14:textId="49F8CB8D" w:rsidR="0021215A" w:rsidRPr="00A13E6C" w:rsidRDefault="00982BBB" w:rsidP="00AE5853">
          <w:pPr>
            <w:pStyle w:val="TOC3"/>
            <w:rPr>
              <w:rFonts w:eastAsiaTheme="minorEastAsia"/>
              <w:noProof/>
              <w:lang w:eastAsia="en-NZ"/>
            </w:rPr>
          </w:pPr>
          <w:hyperlink w:anchor="_Toc62650316" w:history="1">
            <w:r w:rsidR="0021215A" w:rsidRPr="00A13E6C">
              <w:rPr>
                <w:rStyle w:val="Hyperlink"/>
                <w:noProof/>
              </w:rPr>
              <w:t>6.2.6 Strengthen market incentives to drive low emissions choices</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_Toc62650316 \h </w:instrText>
            </w:r>
            <w:r w:rsidR="0021215A" w:rsidRPr="00A13E6C">
              <w:rPr>
                <w:noProof/>
                <w:webHidden/>
              </w:rPr>
            </w:r>
            <w:r w:rsidR="0021215A" w:rsidRPr="00A13E6C">
              <w:rPr>
                <w:noProof/>
                <w:webHidden/>
              </w:rPr>
              <w:fldChar w:fldCharType="separate"/>
            </w:r>
            <w:r w:rsidR="00A22B54">
              <w:rPr>
                <w:noProof/>
                <w:webHidden/>
              </w:rPr>
              <w:t>131</w:t>
            </w:r>
            <w:r w:rsidR="0021215A" w:rsidRPr="00A13E6C">
              <w:rPr>
                <w:noProof/>
                <w:webHidden/>
              </w:rPr>
              <w:fldChar w:fldCharType="end"/>
            </w:r>
          </w:hyperlink>
        </w:p>
        <w:p w14:paraId="417CE894" w14:textId="3B63AC84" w:rsidR="0021215A" w:rsidRPr="00A13E6C" w:rsidRDefault="00982BBB" w:rsidP="00AE5853">
          <w:pPr>
            <w:pStyle w:val="TOC1"/>
            <w:rPr>
              <w:rFonts w:eastAsiaTheme="minorEastAsia" w:cstheme="minorBidi"/>
              <w:sz w:val="22"/>
              <w:szCs w:val="22"/>
              <w:lang w:eastAsia="en-NZ"/>
            </w:rPr>
          </w:pPr>
          <w:hyperlink w:anchor="_Toc62650317" w:history="1">
            <w:r w:rsidR="0021215A" w:rsidRPr="00A13E6C">
              <w:rPr>
                <w:rStyle w:val="Hyperlink"/>
              </w:rPr>
              <w:t>Chapter 7: Rules for measuring progress</w:t>
            </w:r>
            <w:r w:rsidR="0021215A" w:rsidRPr="00A13E6C">
              <w:rPr>
                <w:webHidden/>
              </w:rPr>
              <w:tab/>
            </w:r>
            <w:r w:rsidR="0021215A" w:rsidRPr="00A13E6C">
              <w:rPr>
                <w:webHidden/>
              </w:rPr>
              <w:fldChar w:fldCharType="begin"/>
            </w:r>
            <w:r w:rsidR="0021215A" w:rsidRPr="00A13E6C">
              <w:rPr>
                <w:webHidden/>
              </w:rPr>
              <w:instrText xml:space="preserve"> PAGEREF _Toc62650317 \h </w:instrText>
            </w:r>
            <w:r w:rsidR="0021215A" w:rsidRPr="00A13E6C">
              <w:rPr>
                <w:webHidden/>
              </w:rPr>
            </w:r>
            <w:r w:rsidR="0021215A" w:rsidRPr="00A13E6C">
              <w:rPr>
                <w:webHidden/>
              </w:rPr>
              <w:fldChar w:fldCharType="separate"/>
            </w:r>
            <w:r w:rsidR="00A22B54">
              <w:rPr>
                <w:webHidden/>
              </w:rPr>
              <w:t>135</w:t>
            </w:r>
            <w:r w:rsidR="0021215A" w:rsidRPr="00A13E6C">
              <w:rPr>
                <w:webHidden/>
              </w:rPr>
              <w:fldChar w:fldCharType="end"/>
            </w:r>
          </w:hyperlink>
        </w:p>
        <w:p w14:paraId="6FF3450A" w14:textId="58BC8B55" w:rsidR="0021215A" w:rsidRPr="00A13E6C" w:rsidRDefault="00982BBB">
          <w:pPr>
            <w:pStyle w:val="TOC2"/>
            <w:rPr>
              <w:rFonts w:eastAsiaTheme="minorEastAsia" w:cstheme="minorBidi"/>
              <w:lang w:eastAsia="en-NZ"/>
            </w:rPr>
          </w:pPr>
          <w:hyperlink w:anchor="_Toc62650318" w:history="1">
            <w:r w:rsidR="0021215A" w:rsidRPr="00A13E6C">
              <w:rPr>
                <w:rStyle w:val="Hyperlink"/>
              </w:rPr>
              <w:t>7.1 Greenhouse gas accounting for emissions reduction targets</w:t>
            </w:r>
            <w:r w:rsidR="0021215A" w:rsidRPr="00A13E6C">
              <w:rPr>
                <w:webHidden/>
              </w:rPr>
              <w:tab/>
            </w:r>
            <w:r w:rsidR="0021215A" w:rsidRPr="00A13E6C">
              <w:rPr>
                <w:webHidden/>
              </w:rPr>
              <w:fldChar w:fldCharType="begin"/>
            </w:r>
            <w:r w:rsidR="0021215A" w:rsidRPr="00A13E6C">
              <w:rPr>
                <w:webHidden/>
              </w:rPr>
              <w:instrText xml:space="preserve"> PAGEREF _Toc62650318 \h </w:instrText>
            </w:r>
            <w:r w:rsidR="0021215A" w:rsidRPr="00A13E6C">
              <w:rPr>
                <w:webHidden/>
              </w:rPr>
            </w:r>
            <w:r w:rsidR="0021215A" w:rsidRPr="00A13E6C">
              <w:rPr>
                <w:webHidden/>
              </w:rPr>
              <w:fldChar w:fldCharType="separate"/>
            </w:r>
            <w:r w:rsidR="00A22B54">
              <w:rPr>
                <w:webHidden/>
              </w:rPr>
              <w:t>135</w:t>
            </w:r>
            <w:r w:rsidR="0021215A" w:rsidRPr="00A13E6C">
              <w:rPr>
                <w:webHidden/>
              </w:rPr>
              <w:fldChar w:fldCharType="end"/>
            </w:r>
          </w:hyperlink>
        </w:p>
        <w:p w14:paraId="62AC7137" w14:textId="53C780DC" w:rsidR="0021215A" w:rsidRPr="00A13E6C" w:rsidRDefault="00982BBB">
          <w:pPr>
            <w:pStyle w:val="TOC2"/>
            <w:rPr>
              <w:rFonts w:eastAsiaTheme="minorEastAsia" w:cstheme="minorBidi"/>
              <w:lang w:eastAsia="en-NZ"/>
            </w:rPr>
          </w:pPr>
          <w:hyperlink w:anchor="_Toc62650319" w:history="1">
            <w:r w:rsidR="0021215A" w:rsidRPr="00A13E6C">
              <w:rPr>
                <w:rStyle w:val="Hyperlink"/>
              </w:rPr>
              <w:t>7.2 Our role</w:t>
            </w:r>
            <w:r w:rsidR="0021215A" w:rsidRPr="00A13E6C">
              <w:rPr>
                <w:webHidden/>
              </w:rPr>
              <w:tab/>
            </w:r>
            <w:r w:rsidR="0021215A" w:rsidRPr="00A13E6C">
              <w:rPr>
                <w:webHidden/>
              </w:rPr>
              <w:fldChar w:fldCharType="begin"/>
            </w:r>
            <w:r w:rsidR="0021215A" w:rsidRPr="00A13E6C">
              <w:rPr>
                <w:webHidden/>
              </w:rPr>
              <w:instrText xml:space="preserve"> PAGEREF _Toc62650319 \h </w:instrText>
            </w:r>
            <w:r w:rsidR="0021215A" w:rsidRPr="00A13E6C">
              <w:rPr>
                <w:webHidden/>
              </w:rPr>
            </w:r>
            <w:r w:rsidR="0021215A" w:rsidRPr="00A13E6C">
              <w:rPr>
                <w:webHidden/>
              </w:rPr>
              <w:fldChar w:fldCharType="separate"/>
            </w:r>
            <w:r w:rsidR="00A22B54">
              <w:rPr>
                <w:webHidden/>
              </w:rPr>
              <w:t>135</w:t>
            </w:r>
            <w:r w:rsidR="0021215A" w:rsidRPr="00A13E6C">
              <w:rPr>
                <w:webHidden/>
              </w:rPr>
              <w:fldChar w:fldCharType="end"/>
            </w:r>
          </w:hyperlink>
        </w:p>
        <w:p w14:paraId="0C802A11" w14:textId="59AAAF7E" w:rsidR="0021215A" w:rsidRPr="00A13E6C" w:rsidRDefault="00982BBB">
          <w:pPr>
            <w:pStyle w:val="TOC2"/>
            <w:rPr>
              <w:rFonts w:eastAsiaTheme="minorEastAsia" w:cstheme="minorBidi"/>
              <w:lang w:eastAsia="en-NZ"/>
            </w:rPr>
          </w:pPr>
          <w:hyperlink w:anchor="_Toc62650320" w:history="1">
            <w:r w:rsidR="0021215A" w:rsidRPr="00A13E6C">
              <w:rPr>
                <w:rStyle w:val="Hyperlink"/>
              </w:rPr>
              <w:t>7.3 Objective and principles to guide accounting choices</w:t>
            </w:r>
            <w:r w:rsidR="0021215A" w:rsidRPr="00A13E6C">
              <w:rPr>
                <w:webHidden/>
              </w:rPr>
              <w:tab/>
            </w:r>
            <w:r w:rsidR="0021215A" w:rsidRPr="00A13E6C">
              <w:rPr>
                <w:webHidden/>
              </w:rPr>
              <w:fldChar w:fldCharType="begin"/>
            </w:r>
            <w:r w:rsidR="0021215A" w:rsidRPr="00A13E6C">
              <w:rPr>
                <w:webHidden/>
              </w:rPr>
              <w:instrText xml:space="preserve"> PAGEREF _Toc62650320 \h </w:instrText>
            </w:r>
            <w:r w:rsidR="0021215A" w:rsidRPr="00A13E6C">
              <w:rPr>
                <w:webHidden/>
              </w:rPr>
            </w:r>
            <w:r w:rsidR="0021215A" w:rsidRPr="00A13E6C">
              <w:rPr>
                <w:webHidden/>
              </w:rPr>
              <w:fldChar w:fldCharType="separate"/>
            </w:r>
            <w:r w:rsidR="00A22B54">
              <w:rPr>
                <w:webHidden/>
              </w:rPr>
              <w:t>136</w:t>
            </w:r>
            <w:r w:rsidR="0021215A" w:rsidRPr="00A13E6C">
              <w:rPr>
                <w:webHidden/>
              </w:rPr>
              <w:fldChar w:fldCharType="end"/>
            </w:r>
          </w:hyperlink>
        </w:p>
        <w:p w14:paraId="2BDA94E9" w14:textId="288698FB" w:rsidR="0021215A" w:rsidRPr="00A13E6C" w:rsidRDefault="00982BBB">
          <w:pPr>
            <w:pStyle w:val="TOC2"/>
            <w:rPr>
              <w:rFonts w:eastAsiaTheme="minorEastAsia" w:cstheme="minorBidi"/>
              <w:lang w:eastAsia="en-NZ"/>
            </w:rPr>
          </w:pPr>
          <w:hyperlink w:anchor="_Toc62650321" w:history="1">
            <w:r w:rsidR="0021215A" w:rsidRPr="00A13E6C">
              <w:rPr>
                <w:rStyle w:val="Hyperlink"/>
              </w:rPr>
              <w:t>7.4 Production- or consumption-based greenhouse gas accounting</w:t>
            </w:r>
            <w:r w:rsidR="0021215A" w:rsidRPr="00A13E6C">
              <w:rPr>
                <w:webHidden/>
              </w:rPr>
              <w:tab/>
            </w:r>
            <w:r w:rsidR="0021215A" w:rsidRPr="00A13E6C">
              <w:rPr>
                <w:webHidden/>
              </w:rPr>
              <w:fldChar w:fldCharType="begin"/>
            </w:r>
            <w:r w:rsidR="0021215A" w:rsidRPr="00A13E6C">
              <w:rPr>
                <w:webHidden/>
              </w:rPr>
              <w:instrText xml:space="preserve"> PAGEREF _Toc62650321 \h </w:instrText>
            </w:r>
            <w:r w:rsidR="0021215A" w:rsidRPr="00A13E6C">
              <w:rPr>
                <w:webHidden/>
              </w:rPr>
            </w:r>
            <w:r w:rsidR="0021215A" w:rsidRPr="00A13E6C">
              <w:rPr>
                <w:webHidden/>
              </w:rPr>
              <w:fldChar w:fldCharType="separate"/>
            </w:r>
            <w:r w:rsidR="00A22B54">
              <w:rPr>
                <w:webHidden/>
              </w:rPr>
              <w:t>136</w:t>
            </w:r>
            <w:r w:rsidR="0021215A" w:rsidRPr="00A13E6C">
              <w:rPr>
                <w:webHidden/>
              </w:rPr>
              <w:fldChar w:fldCharType="end"/>
            </w:r>
          </w:hyperlink>
        </w:p>
        <w:p w14:paraId="7B8F741A" w14:textId="119C0EBC" w:rsidR="0021215A" w:rsidRPr="00A13E6C" w:rsidRDefault="00982BBB" w:rsidP="00A13E6C">
          <w:pPr>
            <w:pStyle w:val="TOC2"/>
            <w:rPr>
              <w:rFonts w:eastAsiaTheme="minorEastAsia" w:cstheme="minorBidi"/>
              <w:lang w:eastAsia="en-NZ"/>
            </w:rPr>
          </w:pPr>
          <w:hyperlink w:anchor="_Toc62650322" w:history="1">
            <w:r w:rsidR="0021215A" w:rsidRPr="00A13E6C">
              <w:rPr>
                <w:rStyle w:val="Hyperlink"/>
              </w:rPr>
              <w:t xml:space="preserve">7.5 Accounting for </w:t>
            </w:r>
            <w:r w:rsidR="0021215A" w:rsidRPr="00A13E6C">
              <w:rPr>
                <w:rStyle w:val="Hyperlink"/>
                <w:color w:val="auto"/>
                <w:u w:val="none"/>
              </w:rPr>
              <w:t>land</w:t>
            </w:r>
            <w:r w:rsidR="0021215A" w:rsidRPr="00A13E6C">
              <w:rPr>
                <w:rStyle w:val="Hyperlink"/>
              </w:rPr>
              <w:t xml:space="preserve"> emissions</w:t>
            </w:r>
            <w:r w:rsidR="0021215A" w:rsidRPr="00A13E6C">
              <w:rPr>
                <w:webHidden/>
              </w:rPr>
              <w:tab/>
            </w:r>
            <w:r w:rsidR="0021215A" w:rsidRPr="00A13E6C">
              <w:rPr>
                <w:webHidden/>
              </w:rPr>
              <w:fldChar w:fldCharType="begin"/>
            </w:r>
            <w:r w:rsidR="0021215A" w:rsidRPr="00A13E6C">
              <w:rPr>
                <w:webHidden/>
              </w:rPr>
              <w:instrText xml:space="preserve"> PAGEREF _Toc62650322 \h </w:instrText>
            </w:r>
            <w:r w:rsidR="0021215A" w:rsidRPr="00A13E6C">
              <w:rPr>
                <w:webHidden/>
              </w:rPr>
            </w:r>
            <w:r w:rsidR="0021215A" w:rsidRPr="00A13E6C">
              <w:rPr>
                <w:webHidden/>
              </w:rPr>
              <w:fldChar w:fldCharType="separate"/>
            </w:r>
            <w:r w:rsidR="00A22B54">
              <w:rPr>
                <w:webHidden/>
              </w:rPr>
              <w:t>137</w:t>
            </w:r>
            <w:r w:rsidR="0021215A" w:rsidRPr="00A13E6C">
              <w:rPr>
                <w:webHidden/>
              </w:rPr>
              <w:fldChar w:fldCharType="end"/>
            </w:r>
          </w:hyperlink>
        </w:p>
        <w:p w14:paraId="4965F1E5" w14:textId="0730F0A3" w:rsidR="0021215A" w:rsidRPr="00A13E6C" w:rsidRDefault="00982BBB" w:rsidP="00AE5853">
          <w:pPr>
            <w:pStyle w:val="TOC3"/>
            <w:rPr>
              <w:noProof/>
              <w:lang w:eastAsia="en-NZ"/>
            </w:rPr>
          </w:pPr>
          <w:hyperlink w:anchor="_Toc62650323" w:history="1">
            <w:r w:rsidR="0021215A" w:rsidRPr="00A13E6C">
              <w:rPr>
                <w:rStyle w:val="Hyperlink"/>
                <w:noProof/>
              </w:rPr>
              <w:t>7.5.1 A land-based approach, as used in the national Inventory</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_Toc62650323 \h </w:instrText>
            </w:r>
            <w:r w:rsidR="0021215A" w:rsidRPr="00A13E6C">
              <w:rPr>
                <w:noProof/>
                <w:webHidden/>
              </w:rPr>
            </w:r>
            <w:r w:rsidR="0021215A" w:rsidRPr="00A13E6C">
              <w:rPr>
                <w:noProof/>
                <w:webHidden/>
              </w:rPr>
              <w:fldChar w:fldCharType="separate"/>
            </w:r>
            <w:r w:rsidR="00A22B54">
              <w:rPr>
                <w:noProof/>
                <w:webHidden/>
              </w:rPr>
              <w:t>138</w:t>
            </w:r>
            <w:r w:rsidR="0021215A" w:rsidRPr="00A13E6C">
              <w:rPr>
                <w:noProof/>
                <w:webHidden/>
              </w:rPr>
              <w:fldChar w:fldCharType="end"/>
            </w:r>
          </w:hyperlink>
        </w:p>
        <w:p w14:paraId="66FDC01F" w14:textId="53398E5E" w:rsidR="0021215A" w:rsidRPr="00A13E6C" w:rsidRDefault="00982BBB" w:rsidP="00AE5853">
          <w:pPr>
            <w:pStyle w:val="TOC3"/>
            <w:rPr>
              <w:noProof/>
              <w:lang w:eastAsia="en-NZ"/>
            </w:rPr>
          </w:pPr>
          <w:hyperlink w:anchor="_Toc62650324" w:history="1">
            <w:r w:rsidR="0021215A" w:rsidRPr="00A13E6C">
              <w:rPr>
                <w:rStyle w:val="Hyperlink"/>
                <w:noProof/>
              </w:rPr>
              <w:t>7.5.2 A modified activity-based approach, as used in the NDC</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_Toc62650324 \h </w:instrText>
            </w:r>
            <w:r w:rsidR="0021215A" w:rsidRPr="00A13E6C">
              <w:rPr>
                <w:noProof/>
                <w:webHidden/>
              </w:rPr>
            </w:r>
            <w:r w:rsidR="0021215A" w:rsidRPr="00A13E6C">
              <w:rPr>
                <w:noProof/>
                <w:webHidden/>
              </w:rPr>
              <w:fldChar w:fldCharType="separate"/>
            </w:r>
            <w:r w:rsidR="00A22B54">
              <w:rPr>
                <w:noProof/>
                <w:webHidden/>
              </w:rPr>
              <w:t>138</w:t>
            </w:r>
            <w:r w:rsidR="0021215A" w:rsidRPr="00A13E6C">
              <w:rPr>
                <w:noProof/>
                <w:webHidden/>
              </w:rPr>
              <w:fldChar w:fldCharType="end"/>
            </w:r>
          </w:hyperlink>
        </w:p>
        <w:p w14:paraId="2FC04E9D" w14:textId="39DE1F35" w:rsidR="0021215A" w:rsidRPr="00A13E6C" w:rsidRDefault="00982BBB" w:rsidP="00AE5853">
          <w:pPr>
            <w:pStyle w:val="TOC3"/>
            <w:rPr>
              <w:rFonts w:eastAsiaTheme="minorEastAsia"/>
              <w:noProof/>
              <w:lang w:eastAsia="en-NZ"/>
            </w:rPr>
          </w:pPr>
          <w:hyperlink w:anchor="_Toc62650325" w:history="1">
            <w:r w:rsidR="0021215A" w:rsidRPr="00A13E6C">
              <w:rPr>
                <w:rStyle w:val="Hyperlink"/>
                <w:noProof/>
              </w:rPr>
              <w:t>7.5.3 Assessment of the land emissions accounting frameworks</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_Toc62650325 \h </w:instrText>
            </w:r>
            <w:r w:rsidR="0021215A" w:rsidRPr="00A13E6C">
              <w:rPr>
                <w:noProof/>
                <w:webHidden/>
              </w:rPr>
            </w:r>
            <w:r w:rsidR="0021215A" w:rsidRPr="00A13E6C">
              <w:rPr>
                <w:noProof/>
                <w:webHidden/>
              </w:rPr>
              <w:fldChar w:fldCharType="separate"/>
            </w:r>
            <w:r w:rsidR="00A22B54">
              <w:rPr>
                <w:noProof/>
                <w:webHidden/>
              </w:rPr>
              <w:t>140</w:t>
            </w:r>
            <w:r w:rsidR="0021215A" w:rsidRPr="00A13E6C">
              <w:rPr>
                <w:noProof/>
                <w:webHidden/>
              </w:rPr>
              <w:fldChar w:fldCharType="end"/>
            </w:r>
          </w:hyperlink>
        </w:p>
        <w:p w14:paraId="7F949F58" w14:textId="11EA6459" w:rsidR="0021215A" w:rsidRPr="00A13E6C" w:rsidRDefault="00982BBB">
          <w:pPr>
            <w:pStyle w:val="TOC2"/>
            <w:rPr>
              <w:rFonts w:eastAsiaTheme="minorEastAsia" w:cstheme="minorBidi"/>
              <w:lang w:eastAsia="en-NZ"/>
            </w:rPr>
          </w:pPr>
          <w:hyperlink w:anchor="_Toc62650326" w:history="1">
            <w:r w:rsidR="0021215A" w:rsidRPr="00A13E6C">
              <w:rPr>
                <w:rStyle w:val="Hyperlink"/>
              </w:rPr>
              <w:t>7.6 Detailed choices within the modified activity-based accounting framework</w:t>
            </w:r>
            <w:r w:rsidR="0021215A" w:rsidRPr="00A13E6C">
              <w:rPr>
                <w:webHidden/>
              </w:rPr>
              <w:tab/>
            </w:r>
            <w:r w:rsidR="0021215A" w:rsidRPr="00A13E6C">
              <w:rPr>
                <w:webHidden/>
              </w:rPr>
              <w:fldChar w:fldCharType="begin"/>
            </w:r>
            <w:r w:rsidR="0021215A" w:rsidRPr="00A13E6C">
              <w:rPr>
                <w:webHidden/>
              </w:rPr>
              <w:instrText xml:space="preserve"> PAGEREF _Toc62650326 \h </w:instrText>
            </w:r>
            <w:r w:rsidR="0021215A" w:rsidRPr="00A13E6C">
              <w:rPr>
                <w:webHidden/>
              </w:rPr>
            </w:r>
            <w:r w:rsidR="0021215A" w:rsidRPr="00A13E6C">
              <w:rPr>
                <w:webHidden/>
              </w:rPr>
              <w:fldChar w:fldCharType="separate"/>
            </w:r>
            <w:r w:rsidR="00A22B54">
              <w:rPr>
                <w:webHidden/>
              </w:rPr>
              <w:t>141</w:t>
            </w:r>
            <w:r w:rsidR="0021215A" w:rsidRPr="00A13E6C">
              <w:rPr>
                <w:webHidden/>
              </w:rPr>
              <w:fldChar w:fldCharType="end"/>
            </w:r>
          </w:hyperlink>
        </w:p>
        <w:p w14:paraId="03B1E9A9" w14:textId="08F929B4" w:rsidR="0021215A" w:rsidRPr="00A13E6C" w:rsidRDefault="00982BBB" w:rsidP="00AE5853">
          <w:pPr>
            <w:pStyle w:val="TOC3"/>
            <w:rPr>
              <w:rFonts w:eastAsiaTheme="minorEastAsia"/>
              <w:noProof/>
              <w:lang w:eastAsia="en-NZ"/>
            </w:rPr>
          </w:pPr>
          <w:hyperlink w:anchor="_Toc62650327" w:history="1">
            <w:r w:rsidR="0021215A" w:rsidRPr="00A13E6C">
              <w:rPr>
                <w:rStyle w:val="Hyperlink"/>
                <w:noProof/>
              </w:rPr>
              <w:t>7.6.1 Forest management</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_Toc62650327 \h </w:instrText>
            </w:r>
            <w:r w:rsidR="0021215A" w:rsidRPr="00A13E6C">
              <w:rPr>
                <w:noProof/>
                <w:webHidden/>
              </w:rPr>
            </w:r>
            <w:r w:rsidR="0021215A" w:rsidRPr="00A13E6C">
              <w:rPr>
                <w:noProof/>
                <w:webHidden/>
              </w:rPr>
              <w:fldChar w:fldCharType="separate"/>
            </w:r>
            <w:r w:rsidR="00A22B54">
              <w:rPr>
                <w:noProof/>
                <w:webHidden/>
              </w:rPr>
              <w:t>141</w:t>
            </w:r>
            <w:r w:rsidR="0021215A" w:rsidRPr="00A13E6C">
              <w:rPr>
                <w:noProof/>
                <w:webHidden/>
              </w:rPr>
              <w:fldChar w:fldCharType="end"/>
            </w:r>
          </w:hyperlink>
        </w:p>
        <w:p w14:paraId="5B5DA114" w14:textId="72E5F93B" w:rsidR="0021215A" w:rsidRPr="00A13E6C" w:rsidRDefault="00982BBB" w:rsidP="00AE5853">
          <w:pPr>
            <w:pStyle w:val="TOC3"/>
            <w:rPr>
              <w:rFonts w:eastAsiaTheme="minorEastAsia"/>
              <w:noProof/>
              <w:lang w:eastAsia="en-NZ"/>
            </w:rPr>
          </w:pPr>
          <w:hyperlink w:anchor="_Toc62650328" w:history="1">
            <w:r w:rsidR="0021215A" w:rsidRPr="00A13E6C">
              <w:rPr>
                <w:rStyle w:val="Hyperlink"/>
                <w:noProof/>
              </w:rPr>
              <w:t>7.6.2 Harvested wood products (HWPs)</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_Toc62650328 \h </w:instrText>
            </w:r>
            <w:r w:rsidR="0021215A" w:rsidRPr="00A13E6C">
              <w:rPr>
                <w:noProof/>
                <w:webHidden/>
              </w:rPr>
            </w:r>
            <w:r w:rsidR="0021215A" w:rsidRPr="00A13E6C">
              <w:rPr>
                <w:noProof/>
                <w:webHidden/>
              </w:rPr>
              <w:fldChar w:fldCharType="separate"/>
            </w:r>
            <w:r w:rsidR="00A22B54">
              <w:rPr>
                <w:noProof/>
                <w:webHidden/>
              </w:rPr>
              <w:t>142</w:t>
            </w:r>
            <w:r w:rsidR="0021215A" w:rsidRPr="00A13E6C">
              <w:rPr>
                <w:noProof/>
                <w:webHidden/>
              </w:rPr>
              <w:fldChar w:fldCharType="end"/>
            </w:r>
          </w:hyperlink>
        </w:p>
        <w:p w14:paraId="31F96E4F" w14:textId="7424F4D3" w:rsidR="0021215A" w:rsidRPr="00A13E6C" w:rsidRDefault="00982BBB" w:rsidP="00AE5853">
          <w:pPr>
            <w:pStyle w:val="TOC3"/>
            <w:rPr>
              <w:rFonts w:eastAsiaTheme="minorEastAsia"/>
              <w:noProof/>
              <w:lang w:eastAsia="en-NZ"/>
            </w:rPr>
          </w:pPr>
          <w:hyperlink w:anchor="_Toc62650329" w:history="1">
            <w:r w:rsidR="0021215A" w:rsidRPr="00A13E6C">
              <w:rPr>
                <w:rStyle w:val="Hyperlink"/>
                <w:noProof/>
              </w:rPr>
              <w:t>7.6.3 Carbon equivalent forests</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_Toc62650329 \h </w:instrText>
            </w:r>
            <w:r w:rsidR="0021215A" w:rsidRPr="00A13E6C">
              <w:rPr>
                <w:noProof/>
                <w:webHidden/>
              </w:rPr>
            </w:r>
            <w:r w:rsidR="0021215A" w:rsidRPr="00A13E6C">
              <w:rPr>
                <w:noProof/>
                <w:webHidden/>
              </w:rPr>
              <w:fldChar w:fldCharType="separate"/>
            </w:r>
            <w:r w:rsidR="00A22B54">
              <w:rPr>
                <w:noProof/>
                <w:webHidden/>
              </w:rPr>
              <w:t>142</w:t>
            </w:r>
            <w:r w:rsidR="0021215A" w:rsidRPr="00A13E6C">
              <w:rPr>
                <w:noProof/>
                <w:webHidden/>
              </w:rPr>
              <w:fldChar w:fldCharType="end"/>
            </w:r>
          </w:hyperlink>
        </w:p>
        <w:p w14:paraId="490991B5" w14:textId="1D04B412" w:rsidR="0021215A" w:rsidRPr="00A13E6C" w:rsidRDefault="00982BBB" w:rsidP="00AE5853">
          <w:pPr>
            <w:pStyle w:val="TOC3"/>
            <w:rPr>
              <w:rFonts w:eastAsiaTheme="minorEastAsia"/>
              <w:noProof/>
              <w:lang w:eastAsia="en-NZ"/>
            </w:rPr>
          </w:pPr>
          <w:hyperlink w:anchor="_Toc62650330" w:history="1">
            <w:r w:rsidR="0021215A" w:rsidRPr="00A13E6C">
              <w:rPr>
                <w:rStyle w:val="Hyperlink"/>
                <w:noProof/>
              </w:rPr>
              <w:t>7.6.4 Natural disturbances</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_Toc62650330 \h </w:instrText>
            </w:r>
            <w:r w:rsidR="0021215A" w:rsidRPr="00A13E6C">
              <w:rPr>
                <w:noProof/>
                <w:webHidden/>
              </w:rPr>
            </w:r>
            <w:r w:rsidR="0021215A" w:rsidRPr="00A13E6C">
              <w:rPr>
                <w:noProof/>
                <w:webHidden/>
              </w:rPr>
              <w:fldChar w:fldCharType="separate"/>
            </w:r>
            <w:r w:rsidR="00A22B54">
              <w:rPr>
                <w:noProof/>
                <w:webHidden/>
              </w:rPr>
              <w:t>142</w:t>
            </w:r>
            <w:r w:rsidR="0021215A" w:rsidRPr="00A13E6C">
              <w:rPr>
                <w:noProof/>
                <w:webHidden/>
              </w:rPr>
              <w:fldChar w:fldCharType="end"/>
            </w:r>
          </w:hyperlink>
        </w:p>
        <w:p w14:paraId="0F27B1C3" w14:textId="46CEE815" w:rsidR="0021215A" w:rsidRPr="00A13E6C" w:rsidRDefault="00982BBB" w:rsidP="00AE5853">
          <w:pPr>
            <w:pStyle w:val="TOC3"/>
            <w:rPr>
              <w:rFonts w:eastAsiaTheme="minorEastAsia"/>
              <w:noProof/>
              <w:lang w:eastAsia="en-NZ"/>
            </w:rPr>
          </w:pPr>
          <w:hyperlink w:anchor="_Toc62650331" w:history="1">
            <w:r w:rsidR="0021215A" w:rsidRPr="00A13E6C">
              <w:rPr>
                <w:rStyle w:val="Hyperlink"/>
                <w:noProof/>
              </w:rPr>
              <w:t>7.6.5 Other sources of land emissions and removals</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_Toc62650331 \h </w:instrText>
            </w:r>
            <w:r w:rsidR="0021215A" w:rsidRPr="00A13E6C">
              <w:rPr>
                <w:noProof/>
                <w:webHidden/>
              </w:rPr>
            </w:r>
            <w:r w:rsidR="0021215A" w:rsidRPr="00A13E6C">
              <w:rPr>
                <w:noProof/>
                <w:webHidden/>
              </w:rPr>
              <w:fldChar w:fldCharType="separate"/>
            </w:r>
            <w:r w:rsidR="00A22B54">
              <w:rPr>
                <w:noProof/>
                <w:webHidden/>
              </w:rPr>
              <w:t>142</w:t>
            </w:r>
            <w:r w:rsidR="0021215A" w:rsidRPr="00A13E6C">
              <w:rPr>
                <w:noProof/>
                <w:webHidden/>
              </w:rPr>
              <w:fldChar w:fldCharType="end"/>
            </w:r>
          </w:hyperlink>
        </w:p>
        <w:p w14:paraId="00DB33A0" w14:textId="405C8596" w:rsidR="0021215A" w:rsidRPr="00A13E6C" w:rsidRDefault="00982BBB">
          <w:pPr>
            <w:pStyle w:val="TOC2"/>
            <w:rPr>
              <w:rFonts w:eastAsiaTheme="minorEastAsia" w:cstheme="minorBidi"/>
              <w:lang w:eastAsia="en-NZ"/>
            </w:rPr>
          </w:pPr>
          <w:hyperlink w:anchor="_Toc62650332" w:history="1">
            <w:r w:rsidR="0021215A" w:rsidRPr="00A13E6C">
              <w:rPr>
                <w:rStyle w:val="Hyperlink"/>
              </w:rPr>
              <w:t>7.7 Voluntary offsetting and carbon neutrality</w:t>
            </w:r>
            <w:r w:rsidR="0021215A" w:rsidRPr="00A13E6C">
              <w:rPr>
                <w:webHidden/>
              </w:rPr>
              <w:tab/>
            </w:r>
            <w:r w:rsidR="0021215A" w:rsidRPr="00A13E6C">
              <w:rPr>
                <w:webHidden/>
              </w:rPr>
              <w:fldChar w:fldCharType="begin"/>
            </w:r>
            <w:r w:rsidR="0021215A" w:rsidRPr="00A13E6C">
              <w:rPr>
                <w:webHidden/>
              </w:rPr>
              <w:instrText xml:space="preserve"> PAGEREF _Toc62650332 \h </w:instrText>
            </w:r>
            <w:r w:rsidR="0021215A" w:rsidRPr="00A13E6C">
              <w:rPr>
                <w:webHidden/>
              </w:rPr>
            </w:r>
            <w:r w:rsidR="0021215A" w:rsidRPr="00A13E6C">
              <w:rPr>
                <w:webHidden/>
              </w:rPr>
              <w:fldChar w:fldCharType="separate"/>
            </w:r>
            <w:r w:rsidR="00A22B54">
              <w:rPr>
                <w:webHidden/>
              </w:rPr>
              <w:t>143</w:t>
            </w:r>
            <w:r w:rsidR="0021215A" w:rsidRPr="00A13E6C">
              <w:rPr>
                <w:webHidden/>
              </w:rPr>
              <w:fldChar w:fldCharType="end"/>
            </w:r>
          </w:hyperlink>
        </w:p>
        <w:p w14:paraId="745833EC" w14:textId="478A1C0F" w:rsidR="0021215A" w:rsidRPr="00A13E6C" w:rsidRDefault="00982BBB">
          <w:pPr>
            <w:pStyle w:val="TOC2"/>
            <w:rPr>
              <w:rFonts w:eastAsiaTheme="minorEastAsia" w:cstheme="minorBidi"/>
              <w:lang w:eastAsia="en-NZ"/>
            </w:rPr>
          </w:pPr>
          <w:hyperlink w:anchor="_Toc62650333" w:history="1">
            <w:r w:rsidR="0021215A" w:rsidRPr="00A13E6C">
              <w:rPr>
                <w:rStyle w:val="Hyperlink"/>
              </w:rPr>
              <w:t>7.8 Legislative requirements</w:t>
            </w:r>
            <w:r w:rsidR="0021215A" w:rsidRPr="00A13E6C">
              <w:rPr>
                <w:webHidden/>
              </w:rPr>
              <w:tab/>
            </w:r>
            <w:r w:rsidR="0021215A" w:rsidRPr="00A13E6C">
              <w:rPr>
                <w:webHidden/>
              </w:rPr>
              <w:fldChar w:fldCharType="begin"/>
            </w:r>
            <w:r w:rsidR="0021215A" w:rsidRPr="00A13E6C">
              <w:rPr>
                <w:webHidden/>
              </w:rPr>
              <w:instrText xml:space="preserve"> PAGEREF _Toc62650333 \h </w:instrText>
            </w:r>
            <w:r w:rsidR="0021215A" w:rsidRPr="00A13E6C">
              <w:rPr>
                <w:webHidden/>
              </w:rPr>
            </w:r>
            <w:r w:rsidR="0021215A" w:rsidRPr="00A13E6C">
              <w:rPr>
                <w:webHidden/>
              </w:rPr>
              <w:fldChar w:fldCharType="separate"/>
            </w:r>
            <w:r w:rsidR="00A22B54">
              <w:rPr>
                <w:webHidden/>
              </w:rPr>
              <w:t>143</w:t>
            </w:r>
            <w:r w:rsidR="0021215A" w:rsidRPr="00A13E6C">
              <w:rPr>
                <w:webHidden/>
              </w:rPr>
              <w:fldChar w:fldCharType="end"/>
            </w:r>
          </w:hyperlink>
        </w:p>
        <w:p w14:paraId="76CCEAC7" w14:textId="33E753BC" w:rsidR="0021215A" w:rsidRPr="00A13E6C" w:rsidRDefault="00982BBB" w:rsidP="00AE5853">
          <w:pPr>
            <w:pStyle w:val="TOC1"/>
            <w:rPr>
              <w:rFonts w:eastAsiaTheme="minorEastAsia" w:cstheme="minorBidi"/>
              <w:sz w:val="22"/>
              <w:szCs w:val="22"/>
              <w:lang w:eastAsia="en-NZ"/>
            </w:rPr>
          </w:pPr>
          <w:hyperlink w:anchor="_Toc62650334" w:history="1">
            <w:r w:rsidR="0021215A" w:rsidRPr="00A13E6C">
              <w:rPr>
                <w:rStyle w:val="Hyperlink"/>
              </w:rPr>
              <w:t>Chapter 8: The global 1.5°C goal and Nationally Determined Contribution for Aotearoa</w:t>
            </w:r>
            <w:r w:rsidR="0021215A" w:rsidRPr="00A13E6C">
              <w:rPr>
                <w:webHidden/>
              </w:rPr>
              <w:tab/>
            </w:r>
            <w:r w:rsidR="0021215A" w:rsidRPr="00A13E6C">
              <w:rPr>
                <w:webHidden/>
              </w:rPr>
              <w:fldChar w:fldCharType="begin"/>
            </w:r>
            <w:r w:rsidR="0021215A" w:rsidRPr="00A13E6C">
              <w:rPr>
                <w:webHidden/>
              </w:rPr>
              <w:instrText xml:space="preserve"> PAGEREF _Toc62650334 \h </w:instrText>
            </w:r>
            <w:r w:rsidR="0021215A" w:rsidRPr="00A13E6C">
              <w:rPr>
                <w:webHidden/>
              </w:rPr>
            </w:r>
            <w:r w:rsidR="0021215A" w:rsidRPr="00A13E6C">
              <w:rPr>
                <w:webHidden/>
              </w:rPr>
              <w:fldChar w:fldCharType="separate"/>
            </w:r>
            <w:r w:rsidR="00A22B54">
              <w:rPr>
                <w:webHidden/>
              </w:rPr>
              <w:t>146</w:t>
            </w:r>
            <w:r w:rsidR="0021215A" w:rsidRPr="00A13E6C">
              <w:rPr>
                <w:webHidden/>
              </w:rPr>
              <w:fldChar w:fldCharType="end"/>
            </w:r>
          </w:hyperlink>
        </w:p>
        <w:p w14:paraId="2E57DE63" w14:textId="06A77F2C" w:rsidR="0021215A" w:rsidRPr="00A13E6C" w:rsidRDefault="00982BBB">
          <w:pPr>
            <w:pStyle w:val="TOC2"/>
            <w:rPr>
              <w:rFonts w:eastAsiaTheme="minorEastAsia" w:cstheme="minorBidi"/>
              <w:lang w:eastAsia="en-NZ"/>
            </w:rPr>
          </w:pPr>
          <w:hyperlink w:anchor="_Toc62650335" w:history="1">
            <w:r w:rsidR="0021215A" w:rsidRPr="00A13E6C">
              <w:rPr>
                <w:rStyle w:val="Hyperlink"/>
              </w:rPr>
              <w:t>8.1 Introduction</w:t>
            </w:r>
            <w:r w:rsidR="0021215A" w:rsidRPr="00A13E6C">
              <w:rPr>
                <w:webHidden/>
              </w:rPr>
              <w:tab/>
            </w:r>
            <w:r w:rsidR="0021215A" w:rsidRPr="00A13E6C">
              <w:rPr>
                <w:webHidden/>
              </w:rPr>
              <w:fldChar w:fldCharType="begin"/>
            </w:r>
            <w:r w:rsidR="0021215A" w:rsidRPr="00A13E6C">
              <w:rPr>
                <w:webHidden/>
              </w:rPr>
              <w:instrText xml:space="preserve"> PAGEREF _Toc62650335 \h </w:instrText>
            </w:r>
            <w:r w:rsidR="0021215A" w:rsidRPr="00A13E6C">
              <w:rPr>
                <w:webHidden/>
              </w:rPr>
            </w:r>
            <w:r w:rsidR="0021215A" w:rsidRPr="00A13E6C">
              <w:rPr>
                <w:webHidden/>
              </w:rPr>
              <w:fldChar w:fldCharType="separate"/>
            </w:r>
            <w:r w:rsidR="00A22B54">
              <w:rPr>
                <w:webHidden/>
              </w:rPr>
              <w:t>146</w:t>
            </w:r>
            <w:r w:rsidR="0021215A" w:rsidRPr="00A13E6C">
              <w:rPr>
                <w:webHidden/>
              </w:rPr>
              <w:fldChar w:fldCharType="end"/>
            </w:r>
          </w:hyperlink>
        </w:p>
        <w:p w14:paraId="7BFB4CCF" w14:textId="746B354D" w:rsidR="0021215A" w:rsidRPr="00A13E6C" w:rsidRDefault="00982BBB">
          <w:pPr>
            <w:pStyle w:val="TOC2"/>
            <w:rPr>
              <w:rFonts w:eastAsiaTheme="minorEastAsia" w:cstheme="minorBidi"/>
              <w:lang w:eastAsia="en-NZ"/>
            </w:rPr>
          </w:pPr>
          <w:hyperlink w:anchor="_Toc62650336" w:history="1">
            <w:r w:rsidR="0021215A" w:rsidRPr="00A13E6C">
              <w:rPr>
                <w:rStyle w:val="Hyperlink"/>
              </w:rPr>
              <w:t>8.2 Global pathways to 1.5</w:t>
            </w:r>
            <w:r w:rsidR="0021215A" w:rsidRPr="00A13E6C">
              <w:rPr>
                <w:rStyle w:val="Hyperlink"/>
                <w:rFonts w:cstheme="majorHAnsi"/>
              </w:rPr>
              <w:t>°</w:t>
            </w:r>
            <w:r w:rsidR="0021215A" w:rsidRPr="00A13E6C">
              <w:rPr>
                <w:rStyle w:val="Hyperlink"/>
              </w:rPr>
              <w:t>C</w:t>
            </w:r>
            <w:r w:rsidR="0021215A" w:rsidRPr="00A13E6C">
              <w:rPr>
                <w:webHidden/>
              </w:rPr>
              <w:tab/>
            </w:r>
            <w:r w:rsidR="0021215A" w:rsidRPr="00A13E6C">
              <w:rPr>
                <w:webHidden/>
              </w:rPr>
              <w:fldChar w:fldCharType="begin"/>
            </w:r>
            <w:r w:rsidR="0021215A" w:rsidRPr="00A13E6C">
              <w:rPr>
                <w:webHidden/>
              </w:rPr>
              <w:instrText xml:space="preserve"> PAGEREF _Toc62650336 \h </w:instrText>
            </w:r>
            <w:r w:rsidR="0021215A" w:rsidRPr="00A13E6C">
              <w:rPr>
                <w:webHidden/>
              </w:rPr>
            </w:r>
            <w:r w:rsidR="0021215A" w:rsidRPr="00A13E6C">
              <w:rPr>
                <w:webHidden/>
              </w:rPr>
              <w:fldChar w:fldCharType="separate"/>
            </w:r>
            <w:r w:rsidR="00A22B54">
              <w:rPr>
                <w:webHidden/>
              </w:rPr>
              <w:t>146</w:t>
            </w:r>
            <w:r w:rsidR="0021215A" w:rsidRPr="00A13E6C">
              <w:rPr>
                <w:webHidden/>
              </w:rPr>
              <w:fldChar w:fldCharType="end"/>
            </w:r>
          </w:hyperlink>
        </w:p>
        <w:p w14:paraId="72BEA106" w14:textId="2D38182B" w:rsidR="0021215A" w:rsidRPr="00A13E6C" w:rsidRDefault="00982BBB">
          <w:pPr>
            <w:pStyle w:val="TOC2"/>
            <w:rPr>
              <w:rFonts w:eastAsiaTheme="minorEastAsia" w:cstheme="minorBidi"/>
              <w:lang w:eastAsia="en-NZ"/>
            </w:rPr>
          </w:pPr>
          <w:hyperlink w:anchor="_Toc62650337" w:history="1">
            <w:r w:rsidR="0021215A" w:rsidRPr="00A13E6C">
              <w:rPr>
                <w:rStyle w:val="Hyperlink"/>
              </w:rPr>
              <w:t>8.3 What would on-track to 1.5°C look like in Aotearoa?</w:t>
            </w:r>
            <w:r w:rsidR="0021215A" w:rsidRPr="00A13E6C">
              <w:rPr>
                <w:webHidden/>
              </w:rPr>
              <w:tab/>
            </w:r>
            <w:r w:rsidR="0021215A" w:rsidRPr="00A13E6C">
              <w:rPr>
                <w:webHidden/>
              </w:rPr>
              <w:fldChar w:fldCharType="begin"/>
            </w:r>
            <w:r w:rsidR="0021215A" w:rsidRPr="00A13E6C">
              <w:rPr>
                <w:webHidden/>
              </w:rPr>
              <w:instrText xml:space="preserve"> PAGEREF _Toc62650337 \h </w:instrText>
            </w:r>
            <w:r w:rsidR="0021215A" w:rsidRPr="00A13E6C">
              <w:rPr>
                <w:webHidden/>
              </w:rPr>
            </w:r>
            <w:r w:rsidR="0021215A" w:rsidRPr="00A13E6C">
              <w:rPr>
                <w:webHidden/>
              </w:rPr>
              <w:fldChar w:fldCharType="separate"/>
            </w:r>
            <w:r w:rsidR="00A22B54">
              <w:rPr>
                <w:webHidden/>
              </w:rPr>
              <w:t>148</w:t>
            </w:r>
            <w:r w:rsidR="0021215A" w:rsidRPr="00A13E6C">
              <w:rPr>
                <w:webHidden/>
              </w:rPr>
              <w:fldChar w:fldCharType="end"/>
            </w:r>
          </w:hyperlink>
        </w:p>
        <w:p w14:paraId="16345EE4" w14:textId="1D98DEFC" w:rsidR="0021215A" w:rsidRPr="00A13E6C" w:rsidRDefault="00982BBB">
          <w:pPr>
            <w:pStyle w:val="TOC2"/>
            <w:rPr>
              <w:rFonts w:eastAsiaTheme="minorEastAsia" w:cstheme="minorBidi"/>
              <w:lang w:eastAsia="en-NZ"/>
            </w:rPr>
          </w:pPr>
          <w:hyperlink w:anchor="_Toc62650338" w:history="1">
            <w:r w:rsidR="0021215A" w:rsidRPr="00A13E6C">
              <w:rPr>
                <w:rStyle w:val="Hyperlink"/>
              </w:rPr>
              <w:t>8.4 Developed countries have agreed to lead the way</w:t>
            </w:r>
            <w:r w:rsidR="0021215A" w:rsidRPr="00A13E6C">
              <w:rPr>
                <w:webHidden/>
              </w:rPr>
              <w:tab/>
            </w:r>
            <w:r w:rsidR="0021215A" w:rsidRPr="00A13E6C">
              <w:rPr>
                <w:webHidden/>
              </w:rPr>
              <w:fldChar w:fldCharType="begin"/>
            </w:r>
            <w:r w:rsidR="0021215A" w:rsidRPr="00A13E6C">
              <w:rPr>
                <w:webHidden/>
              </w:rPr>
              <w:instrText xml:space="preserve"> PAGEREF _Toc62650338 \h </w:instrText>
            </w:r>
            <w:r w:rsidR="0021215A" w:rsidRPr="00A13E6C">
              <w:rPr>
                <w:webHidden/>
              </w:rPr>
            </w:r>
            <w:r w:rsidR="0021215A" w:rsidRPr="00A13E6C">
              <w:rPr>
                <w:webHidden/>
              </w:rPr>
              <w:fldChar w:fldCharType="separate"/>
            </w:r>
            <w:r w:rsidR="00A22B54">
              <w:rPr>
                <w:webHidden/>
              </w:rPr>
              <w:t>151</w:t>
            </w:r>
            <w:r w:rsidR="0021215A" w:rsidRPr="00A13E6C">
              <w:rPr>
                <w:webHidden/>
              </w:rPr>
              <w:fldChar w:fldCharType="end"/>
            </w:r>
          </w:hyperlink>
        </w:p>
        <w:p w14:paraId="7229001B" w14:textId="394BEF10" w:rsidR="0021215A" w:rsidRPr="00A13E6C" w:rsidRDefault="00982BBB">
          <w:pPr>
            <w:pStyle w:val="TOC2"/>
            <w:rPr>
              <w:rFonts w:eastAsiaTheme="minorEastAsia" w:cstheme="minorBidi"/>
              <w:lang w:eastAsia="en-NZ"/>
            </w:rPr>
          </w:pPr>
          <w:hyperlink w:anchor="_Toc62650339" w:history="1">
            <w:r w:rsidR="0021215A" w:rsidRPr="00A13E6C">
              <w:rPr>
                <w:rStyle w:val="Hyperlink"/>
              </w:rPr>
              <w:t>8.5 The first NDC for Aotearoa</w:t>
            </w:r>
            <w:r w:rsidR="0021215A" w:rsidRPr="00A13E6C">
              <w:rPr>
                <w:webHidden/>
              </w:rPr>
              <w:tab/>
            </w:r>
            <w:r w:rsidR="0021215A" w:rsidRPr="00A13E6C">
              <w:rPr>
                <w:webHidden/>
              </w:rPr>
              <w:fldChar w:fldCharType="begin"/>
            </w:r>
            <w:r w:rsidR="0021215A" w:rsidRPr="00A13E6C">
              <w:rPr>
                <w:webHidden/>
              </w:rPr>
              <w:instrText xml:space="preserve"> PAGEREF _Toc62650339 \h </w:instrText>
            </w:r>
            <w:r w:rsidR="0021215A" w:rsidRPr="00A13E6C">
              <w:rPr>
                <w:webHidden/>
              </w:rPr>
            </w:r>
            <w:r w:rsidR="0021215A" w:rsidRPr="00A13E6C">
              <w:rPr>
                <w:webHidden/>
              </w:rPr>
              <w:fldChar w:fldCharType="separate"/>
            </w:r>
            <w:r w:rsidR="00A22B54">
              <w:rPr>
                <w:webHidden/>
              </w:rPr>
              <w:t>152</w:t>
            </w:r>
            <w:r w:rsidR="0021215A" w:rsidRPr="00A13E6C">
              <w:rPr>
                <w:webHidden/>
              </w:rPr>
              <w:fldChar w:fldCharType="end"/>
            </w:r>
          </w:hyperlink>
        </w:p>
        <w:p w14:paraId="29F5FD40" w14:textId="0DFC1AC9" w:rsidR="0021215A" w:rsidRPr="00A13E6C" w:rsidRDefault="00982BBB">
          <w:pPr>
            <w:pStyle w:val="TOC2"/>
            <w:rPr>
              <w:rFonts w:eastAsiaTheme="minorEastAsia" w:cstheme="minorBidi"/>
              <w:lang w:eastAsia="en-NZ"/>
            </w:rPr>
          </w:pPr>
          <w:hyperlink w:anchor="_Toc62650340" w:history="1">
            <w:r w:rsidR="0021215A" w:rsidRPr="00A13E6C">
              <w:rPr>
                <w:rStyle w:val="Hyperlink"/>
              </w:rPr>
              <w:t>8.6 Is the NDC compatible with Aotearoa contributing as a developed nation?</w:t>
            </w:r>
            <w:r w:rsidR="0021215A" w:rsidRPr="00A13E6C">
              <w:rPr>
                <w:webHidden/>
              </w:rPr>
              <w:tab/>
            </w:r>
            <w:r w:rsidR="0021215A" w:rsidRPr="00A13E6C">
              <w:rPr>
                <w:webHidden/>
              </w:rPr>
              <w:fldChar w:fldCharType="begin"/>
            </w:r>
            <w:r w:rsidR="0021215A" w:rsidRPr="00A13E6C">
              <w:rPr>
                <w:webHidden/>
              </w:rPr>
              <w:instrText xml:space="preserve"> PAGEREF _Toc62650340 \h </w:instrText>
            </w:r>
            <w:r w:rsidR="0021215A" w:rsidRPr="00A13E6C">
              <w:rPr>
                <w:webHidden/>
              </w:rPr>
            </w:r>
            <w:r w:rsidR="0021215A" w:rsidRPr="00A13E6C">
              <w:rPr>
                <w:webHidden/>
              </w:rPr>
              <w:fldChar w:fldCharType="separate"/>
            </w:r>
            <w:r w:rsidR="00A22B54">
              <w:rPr>
                <w:webHidden/>
              </w:rPr>
              <w:t>153</w:t>
            </w:r>
            <w:r w:rsidR="0021215A" w:rsidRPr="00A13E6C">
              <w:rPr>
                <w:webHidden/>
              </w:rPr>
              <w:fldChar w:fldCharType="end"/>
            </w:r>
          </w:hyperlink>
        </w:p>
        <w:p w14:paraId="5D015A63" w14:textId="56A8DA8A" w:rsidR="0021215A" w:rsidRPr="00A13E6C" w:rsidRDefault="00982BBB">
          <w:pPr>
            <w:pStyle w:val="TOC2"/>
            <w:rPr>
              <w:rFonts w:eastAsiaTheme="minorEastAsia" w:cstheme="minorBidi"/>
              <w:lang w:eastAsia="en-NZ"/>
            </w:rPr>
          </w:pPr>
          <w:hyperlink w:anchor="_Toc62650341" w:history="1">
            <w:r w:rsidR="0021215A" w:rsidRPr="00A13E6C">
              <w:rPr>
                <w:rStyle w:val="Hyperlink"/>
              </w:rPr>
              <w:t>8.7 How might Aotearoa meet an NDC compatible with 1.5</w:t>
            </w:r>
            <w:r w:rsidR="0021215A" w:rsidRPr="00A13E6C">
              <w:rPr>
                <w:rStyle w:val="Hyperlink"/>
                <w:rFonts w:cstheme="majorHAnsi"/>
              </w:rPr>
              <w:t>°</w:t>
            </w:r>
            <w:r w:rsidR="0021215A" w:rsidRPr="00A13E6C">
              <w:rPr>
                <w:rStyle w:val="Hyperlink"/>
              </w:rPr>
              <w:t>C?</w:t>
            </w:r>
            <w:r w:rsidR="0021215A" w:rsidRPr="00A13E6C">
              <w:rPr>
                <w:webHidden/>
              </w:rPr>
              <w:tab/>
            </w:r>
            <w:r w:rsidR="0021215A" w:rsidRPr="00A13E6C">
              <w:rPr>
                <w:webHidden/>
              </w:rPr>
              <w:fldChar w:fldCharType="begin"/>
            </w:r>
            <w:r w:rsidR="0021215A" w:rsidRPr="00A13E6C">
              <w:rPr>
                <w:webHidden/>
              </w:rPr>
              <w:instrText xml:space="preserve"> PAGEREF _Toc62650341 \h </w:instrText>
            </w:r>
            <w:r w:rsidR="0021215A" w:rsidRPr="00A13E6C">
              <w:rPr>
                <w:webHidden/>
              </w:rPr>
            </w:r>
            <w:r w:rsidR="0021215A" w:rsidRPr="00A13E6C">
              <w:rPr>
                <w:webHidden/>
              </w:rPr>
              <w:fldChar w:fldCharType="separate"/>
            </w:r>
            <w:r w:rsidR="00A22B54">
              <w:rPr>
                <w:webHidden/>
              </w:rPr>
              <w:t>155</w:t>
            </w:r>
            <w:r w:rsidR="0021215A" w:rsidRPr="00A13E6C">
              <w:rPr>
                <w:webHidden/>
              </w:rPr>
              <w:fldChar w:fldCharType="end"/>
            </w:r>
          </w:hyperlink>
        </w:p>
        <w:p w14:paraId="17F57583" w14:textId="49D5784B" w:rsidR="0021215A" w:rsidRPr="00A13E6C" w:rsidRDefault="00982BBB" w:rsidP="00AE5853">
          <w:pPr>
            <w:pStyle w:val="TOC3"/>
            <w:rPr>
              <w:rFonts w:eastAsiaTheme="minorEastAsia"/>
              <w:noProof/>
              <w:lang w:eastAsia="en-NZ"/>
            </w:rPr>
          </w:pPr>
          <w:hyperlink w:anchor="_Toc62650342" w:history="1">
            <w:r w:rsidR="0021215A" w:rsidRPr="00A13E6C">
              <w:rPr>
                <w:rStyle w:val="Hyperlink"/>
                <w:noProof/>
              </w:rPr>
              <w:t>8.7.1 Domestic contribution</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_Toc62650342 \h </w:instrText>
            </w:r>
            <w:r w:rsidR="0021215A" w:rsidRPr="00A13E6C">
              <w:rPr>
                <w:noProof/>
                <w:webHidden/>
              </w:rPr>
            </w:r>
            <w:r w:rsidR="0021215A" w:rsidRPr="00A13E6C">
              <w:rPr>
                <w:noProof/>
                <w:webHidden/>
              </w:rPr>
              <w:fldChar w:fldCharType="separate"/>
            </w:r>
            <w:r w:rsidR="00A22B54">
              <w:rPr>
                <w:noProof/>
                <w:webHidden/>
              </w:rPr>
              <w:t>155</w:t>
            </w:r>
            <w:r w:rsidR="0021215A" w:rsidRPr="00A13E6C">
              <w:rPr>
                <w:noProof/>
                <w:webHidden/>
              </w:rPr>
              <w:fldChar w:fldCharType="end"/>
            </w:r>
          </w:hyperlink>
        </w:p>
        <w:p w14:paraId="3EA9EB7F" w14:textId="202B93A4" w:rsidR="0021215A" w:rsidRPr="00A13E6C" w:rsidRDefault="00982BBB" w:rsidP="00AE5853">
          <w:pPr>
            <w:pStyle w:val="TOC3"/>
            <w:rPr>
              <w:rFonts w:eastAsiaTheme="minorEastAsia"/>
              <w:noProof/>
              <w:lang w:eastAsia="en-NZ"/>
            </w:rPr>
          </w:pPr>
          <w:hyperlink w:anchor="_Toc62650343" w:history="1">
            <w:r w:rsidR="0021215A" w:rsidRPr="00A13E6C">
              <w:rPr>
                <w:rStyle w:val="Hyperlink"/>
                <w:noProof/>
              </w:rPr>
              <w:t>8.7.2 Offshore mitigation</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_Toc62650343 \h </w:instrText>
            </w:r>
            <w:r w:rsidR="0021215A" w:rsidRPr="00A13E6C">
              <w:rPr>
                <w:noProof/>
                <w:webHidden/>
              </w:rPr>
            </w:r>
            <w:r w:rsidR="0021215A" w:rsidRPr="00A13E6C">
              <w:rPr>
                <w:noProof/>
                <w:webHidden/>
              </w:rPr>
              <w:fldChar w:fldCharType="separate"/>
            </w:r>
            <w:r w:rsidR="00A22B54">
              <w:rPr>
                <w:noProof/>
                <w:webHidden/>
              </w:rPr>
              <w:t>156</w:t>
            </w:r>
            <w:r w:rsidR="0021215A" w:rsidRPr="00A13E6C">
              <w:rPr>
                <w:noProof/>
                <w:webHidden/>
              </w:rPr>
              <w:fldChar w:fldCharType="end"/>
            </w:r>
          </w:hyperlink>
        </w:p>
        <w:p w14:paraId="17BC36DD" w14:textId="1D84A25E" w:rsidR="0021215A" w:rsidRPr="00A13E6C" w:rsidRDefault="00982BBB" w:rsidP="00AE5853">
          <w:pPr>
            <w:pStyle w:val="TOC3"/>
            <w:rPr>
              <w:rFonts w:eastAsiaTheme="minorEastAsia"/>
              <w:noProof/>
              <w:lang w:eastAsia="en-NZ"/>
            </w:rPr>
          </w:pPr>
          <w:hyperlink w:anchor="_Toc62650344" w:history="1">
            <w:r w:rsidR="0021215A" w:rsidRPr="00A13E6C">
              <w:rPr>
                <w:rStyle w:val="Hyperlink"/>
                <w:noProof/>
              </w:rPr>
              <w:t>8.7.3 How much international mitigation will be needed?</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_Toc62650344 \h </w:instrText>
            </w:r>
            <w:r w:rsidR="0021215A" w:rsidRPr="00A13E6C">
              <w:rPr>
                <w:noProof/>
                <w:webHidden/>
              </w:rPr>
            </w:r>
            <w:r w:rsidR="0021215A" w:rsidRPr="00A13E6C">
              <w:rPr>
                <w:noProof/>
                <w:webHidden/>
              </w:rPr>
              <w:fldChar w:fldCharType="separate"/>
            </w:r>
            <w:r w:rsidR="00A22B54">
              <w:rPr>
                <w:noProof/>
                <w:webHidden/>
              </w:rPr>
              <w:t>157</w:t>
            </w:r>
            <w:r w:rsidR="0021215A" w:rsidRPr="00A13E6C">
              <w:rPr>
                <w:noProof/>
                <w:webHidden/>
              </w:rPr>
              <w:fldChar w:fldCharType="end"/>
            </w:r>
          </w:hyperlink>
        </w:p>
        <w:p w14:paraId="2A9179F4" w14:textId="68BA3186" w:rsidR="0021215A" w:rsidRPr="00A13E6C" w:rsidRDefault="00982BBB">
          <w:pPr>
            <w:pStyle w:val="TOC2"/>
            <w:rPr>
              <w:rFonts w:eastAsiaTheme="minorEastAsia" w:cstheme="minorBidi"/>
              <w:lang w:eastAsia="en-NZ"/>
            </w:rPr>
          </w:pPr>
          <w:hyperlink w:anchor="_Toc62650345" w:history="1">
            <w:r w:rsidR="0021215A" w:rsidRPr="00A13E6C">
              <w:rPr>
                <w:rStyle w:val="Hyperlink"/>
              </w:rPr>
              <w:t>8.8 How might Government decide the level of the NDC?</w:t>
            </w:r>
            <w:r w:rsidR="0021215A" w:rsidRPr="00A13E6C">
              <w:rPr>
                <w:webHidden/>
              </w:rPr>
              <w:tab/>
            </w:r>
            <w:r w:rsidR="0021215A" w:rsidRPr="00A13E6C">
              <w:rPr>
                <w:webHidden/>
              </w:rPr>
              <w:fldChar w:fldCharType="begin"/>
            </w:r>
            <w:r w:rsidR="0021215A" w:rsidRPr="00A13E6C">
              <w:rPr>
                <w:webHidden/>
              </w:rPr>
              <w:instrText xml:space="preserve"> PAGEREF _Toc62650345 \h </w:instrText>
            </w:r>
            <w:r w:rsidR="0021215A" w:rsidRPr="00A13E6C">
              <w:rPr>
                <w:webHidden/>
              </w:rPr>
            </w:r>
            <w:r w:rsidR="0021215A" w:rsidRPr="00A13E6C">
              <w:rPr>
                <w:webHidden/>
              </w:rPr>
              <w:fldChar w:fldCharType="separate"/>
            </w:r>
            <w:r w:rsidR="00A22B54">
              <w:rPr>
                <w:webHidden/>
              </w:rPr>
              <w:t>158</w:t>
            </w:r>
            <w:r w:rsidR="0021215A" w:rsidRPr="00A13E6C">
              <w:rPr>
                <w:webHidden/>
              </w:rPr>
              <w:fldChar w:fldCharType="end"/>
            </w:r>
          </w:hyperlink>
        </w:p>
        <w:p w14:paraId="2A004BED" w14:textId="1921CAFB" w:rsidR="0021215A" w:rsidRPr="00A13E6C" w:rsidRDefault="00982BBB">
          <w:pPr>
            <w:pStyle w:val="TOC2"/>
            <w:rPr>
              <w:rFonts w:eastAsiaTheme="minorEastAsia" w:cstheme="minorBidi"/>
              <w:lang w:eastAsia="en-NZ"/>
            </w:rPr>
          </w:pPr>
          <w:hyperlink w:anchor="_Toc62650346" w:history="1">
            <w:r w:rsidR="0021215A" w:rsidRPr="00A13E6C">
              <w:rPr>
                <w:rStyle w:val="Hyperlink"/>
              </w:rPr>
              <w:t>8.9 Non-mitigation contributions</w:t>
            </w:r>
            <w:r w:rsidR="0021215A" w:rsidRPr="00A13E6C">
              <w:rPr>
                <w:webHidden/>
              </w:rPr>
              <w:tab/>
            </w:r>
            <w:r w:rsidR="0021215A" w:rsidRPr="00A13E6C">
              <w:rPr>
                <w:webHidden/>
              </w:rPr>
              <w:fldChar w:fldCharType="begin"/>
            </w:r>
            <w:r w:rsidR="0021215A" w:rsidRPr="00A13E6C">
              <w:rPr>
                <w:webHidden/>
              </w:rPr>
              <w:instrText xml:space="preserve"> PAGEREF _Toc62650346 \h </w:instrText>
            </w:r>
            <w:r w:rsidR="0021215A" w:rsidRPr="00A13E6C">
              <w:rPr>
                <w:webHidden/>
              </w:rPr>
            </w:r>
            <w:r w:rsidR="0021215A" w:rsidRPr="00A13E6C">
              <w:rPr>
                <w:webHidden/>
              </w:rPr>
              <w:fldChar w:fldCharType="separate"/>
            </w:r>
            <w:r w:rsidR="00A22B54">
              <w:rPr>
                <w:webHidden/>
              </w:rPr>
              <w:t>159</w:t>
            </w:r>
            <w:r w:rsidR="0021215A" w:rsidRPr="00A13E6C">
              <w:rPr>
                <w:webHidden/>
              </w:rPr>
              <w:fldChar w:fldCharType="end"/>
            </w:r>
          </w:hyperlink>
        </w:p>
        <w:p w14:paraId="686D851B" w14:textId="5BBF837B" w:rsidR="0021215A" w:rsidRPr="00A13E6C" w:rsidRDefault="00982BBB">
          <w:pPr>
            <w:pStyle w:val="TOC2"/>
            <w:rPr>
              <w:rFonts w:eastAsiaTheme="minorEastAsia" w:cstheme="minorBidi"/>
              <w:lang w:eastAsia="en-NZ"/>
            </w:rPr>
          </w:pPr>
          <w:hyperlink w:anchor="_Toc62650347" w:history="1">
            <w:r w:rsidR="0021215A" w:rsidRPr="00A13E6C">
              <w:rPr>
                <w:rStyle w:val="Hyperlink"/>
              </w:rPr>
              <w:t>8.10 Principles for setting an NDC</w:t>
            </w:r>
            <w:r w:rsidR="0021215A" w:rsidRPr="00A13E6C">
              <w:rPr>
                <w:webHidden/>
              </w:rPr>
              <w:tab/>
            </w:r>
            <w:r w:rsidR="0021215A" w:rsidRPr="00A13E6C">
              <w:rPr>
                <w:webHidden/>
              </w:rPr>
              <w:fldChar w:fldCharType="begin"/>
            </w:r>
            <w:r w:rsidR="0021215A" w:rsidRPr="00A13E6C">
              <w:rPr>
                <w:webHidden/>
              </w:rPr>
              <w:instrText xml:space="preserve"> PAGEREF _Toc62650347 \h </w:instrText>
            </w:r>
            <w:r w:rsidR="0021215A" w:rsidRPr="00A13E6C">
              <w:rPr>
                <w:webHidden/>
              </w:rPr>
            </w:r>
            <w:r w:rsidR="0021215A" w:rsidRPr="00A13E6C">
              <w:rPr>
                <w:webHidden/>
              </w:rPr>
              <w:fldChar w:fldCharType="separate"/>
            </w:r>
            <w:r w:rsidR="00A22B54">
              <w:rPr>
                <w:webHidden/>
              </w:rPr>
              <w:t>159</w:t>
            </w:r>
            <w:r w:rsidR="0021215A" w:rsidRPr="00A13E6C">
              <w:rPr>
                <w:webHidden/>
              </w:rPr>
              <w:fldChar w:fldCharType="end"/>
            </w:r>
          </w:hyperlink>
        </w:p>
        <w:p w14:paraId="4C985DFC" w14:textId="48C9553C" w:rsidR="0021215A" w:rsidRPr="00A13E6C" w:rsidRDefault="00982BBB">
          <w:pPr>
            <w:pStyle w:val="TOC2"/>
            <w:rPr>
              <w:rFonts w:eastAsiaTheme="minorEastAsia" w:cstheme="minorBidi"/>
              <w:lang w:eastAsia="en-NZ"/>
            </w:rPr>
          </w:pPr>
          <w:hyperlink w:anchor="_Toc62650348" w:history="1">
            <w:r w:rsidR="0021215A" w:rsidRPr="00A13E6C">
              <w:rPr>
                <w:rStyle w:val="Hyperlink"/>
              </w:rPr>
              <w:t>8.11 The form of the NDC</w:t>
            </w:r>
            <w:r w:rsidR="0021215A" w:rsidRPr="00A13E6C">
              <w:rPr>
                <w:webHidden/>
              </w:rPr>
              <w:tab/>
            </w:r>
            <w:r w:rsidR="0021215A" w:rsidRPr="00A13E6C">
              <w:rPr>
                <w:webHidden/>
              </w:rPr>
              <w:fldChar w:fldCharType="begin"/>
            </w:r>
            <w:r w:rsidR="0021215A" w:rsidRPr="00A13E6C">
              <w:rPr>
                <w:webHidden/>
              </w:rPr>
              <w:instrText xml:space="preserve"> PAGEREF _Toc62650348 \h </w:instrText>
            </w:r>
            <w:r w:rsidR="0021215A" w:rsidRPr="00A13E6C">
              <w:rPr>
                <w:webHidden/>
              </w:rPr>
            </w:r>
            <w:r w:rsidR="0021215A" w:rsidRPr="00A13E6C">
              <w:rPr>
                <w:webHidden/>
              </w:rPr>
              <w:fldChar w:fldCharType="separate"/>
            </w:r>
            <w:r w:rsidR="00A22B54">
              <w:rPr>
                <w:webHidden/>
              </w:rPr>
              <w:t>161</w:t>
            </w:r>
            <w:r w:rsidR="0021215A" w:rsidRPr="00A13E6C">
              <w:rPr>
                <w:webHidden/>
              </w:rPr>
              <w:fldChar w:fldCharType="end"/>
            </w:r>
          </w:hyperlink>
        </w:p>
        <w:p w14:paraId="0C5A6C15" w14:textId="63158AEE" w:rsidR="0021215A" w:rsidRPr="00A13E6C" w:rsidRDefault="00982BBB" w:rsidP="00AE5853">
          <w:pPr>
            <w:pStyle w:val="TOC3"/>
            <w:rPr>
              <w:rFonts w:eastAsiaTheme="minorEastAsia"/>
              <w:noProof/>
              <w:lang w:eastAsia="en-NZ"/>
            </w:rPr>
          </w:pPr>
          <w:hyperlink w:anchor="_Toc62650349" w:history="1">
            <w:r w:rsidR="0021215A" w:rsidRPr="00A13E6C">
              <w:rPr>
                <w:rStyle w:val="Hyperlink"/>
                <w:noProof/>
              </w:rPr>
              <w:t>8.11.1 All-gas or split-gas format</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_Toc62650349 \h </w:instrText>
            </w:r>
            <w:r w:rsidR="0021215A" w:rsidRPr="00A13E6C">
              <w:rPr>
                <w:noProof/>
                <w:webHidden/>
              </w:rPr>
            </w:r>
            <w:r w:rsidR="0021215A" w:rsidRPr="00A13E6C">
              <w:rPr>
                <w:noProof/>
                <w:webHidden/>
              </w:rPr>
              <w:fldChar w:fldCharType="separate"/>
            </w:r>
            <w:r w:rsidR="00A22B54">
              <w:rPr>
                <w:noProof/>
                <w:webHidden/>
              </w:rPr>
              <w:t>161</w:t>
            </w:r>
            <w:r w:rsidR="0021215A" w:rsidRPr="00A13E6C">
              <w:rPr>
                <w:noProof/>
                <w:webHidden/>
              </w:rPr>
              <w:fldChar w:fldCharType="end"/>
            </w:r>
          </w:hyperlink>
        </w:p>
        <w:p w14:paraId="03F12BD0" w14:textId="5BCA7F39" w:rsidR="0021215A" w:rsidRPr="00A13E6C" w:rsidRDefault="00982BBB" w:rsidP="00AE5853">
          <w:pPr>
            <w:pStyle w:val="TOC3"/>
            <w:rPr>
              <w:rFonts w:eastAsiaTheme="minorEastAsia"/>
              <w:noProof/>
              <w:lang w:eastAsia="en-NZ"/>
            </w:rPr>
          </w:pPr>
          <w:hyperlink w:anchor="_Toc62650350" w:history="1">
            <w:r w:rsidR="0021215A" w:rsidRPr="00A13E6C">
              <w:rPr>
                <w:rStyle w:val="Hyperlink"/>
                <w:noProof/>
              </w:rPr>
              <w:t>8.11.2 Effect of moving to a split-gas NDC</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_Toc62650350 \h </w:instrText>
            </w:r>
            <w:r w:rsidR="0021215A" w:rsidRPr="00A13E6C">
              <w:rPr>
                <w:noProof/>
                <w:webHidden/>
              </w:rPr>
            </w:r>
            <w:r w:rsidR="0021215A" w:rsidRPr="00A13E6C">
              <w:rPr>
                <w:noProof/>
                <w:webHidden/>
              </w:rPr>
              <w:fldChar w:fldCharType="separate"/>
            </w:r>
            <w:r w:rsidR="00A22B54">
              <w:rPr>
                <w:noProof/>
                <w:webHidden/>
              </w:rPr>
              <w:t>161</w:t>
            </w:r>
            <w:r w:rsidR="0021215A" w:rsidRPr="00A13E6C">
              <w:rPr>
                <w:noProof/>
                <w:webHidden/>
              </w:rPr>
              <w:fldChar w:fldCharType="end"/>
            </w:r>
          </w:hyperlink>
        </w:p>
        <w:p w14:paraId="562A774B" w14:textId="75D5659C" w:rsidR="0021215A" w:rsidRPr="00A13E6C" w:rsidRDefault="00982BBB" w:rsidP="00AE5853">
          <w:pPr>
            <w:pStyle w:val="TOC3"/>
            <w:rPr>
              <w:rFonts w:eastAsiaTheme="minorEastAsia"/>
              <w:noProof/>
              <w:lang w:eastAsia="en-NZ"/>
            </w:rPr>
          </w:pPr>
          <w:hyperlink w:anchor="_Toc62650351" w:history="1">
            <w:r w:rsidR="0021215A" w:rsidRPr="00A13E6C">
              <w:rPr>
                <w:rStyle w:val="Hyperlink"/>
                <w:noProof/>
              </w:rPr>
              <w:t>8.11.3 Metrics used to express the NDC</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_Toc62650351 \h </w:instrText>
            </w:r>
            <w:r w:rsidR="0021215A" w:rsidRPr="00A13E6C">
              <w:rPr>
                <w:noProof/>
                <w:webHidden/>
              </w:rPr>
            </w:r>
            <w:r w:rsidR="0021215A" w:rsidRPr="00A13E6C">
              <w:rPr>
                <w:noProof/>
                <w:webHidden/>
              </w:rPr>
              <w:fldChar w:fldCharType="separate"/>
            </w:r>
            <w:r w:rsidR="00A22B54">
              <w:rPr>
                <w:noProof/>
                <w:webHidden/>
              </w:rPr>
              <w:t>162</w:t>
            </w:r>
            <w:r w:rsidR="0021215A" w:rsidRPr="00A13E6C">
              <w:rPr>
                <w:noProof/>
                <w:webHidden/>
              </w:rPr>
              <w:fldChar w:fldCharType="end"/>
            </w:r>
          </w:hyperlink>
        </w:p>
        <w:p w14:paraId="362F62F2" w14:textId="4605469B" w:rsidR="0021215A" w:rsidRPr="00A13E6C" w:rsidRDefault="00982BBB" w:rsidP="00AE5853">
          <w:pPr>
            <w:pStyle w:val="TOC3"/>
            <w:rPr>
              <w:rFonts w:eastAsiaTheme="minorEastAsia"/>
              <w:noProof/>
              <w:lang w:eastAsia="en-NZ"/>
            </w:rPr>
          </w:pPr>
          <w:hyperlink w:anchor="_Toc62650352" w:history="1">
            <w:r w:rsidR="0021215A" w:rsidRPr="00A13E6C">
              <w:rPr>
                <w:rStyle w:val="Hyperlink"/>
                <w:noProof/>
                <w:lang w:eastAsia="en-NZ"/>
              </w:rPr>
              <w:t>8.11.4 Alternative metrics</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_Toc62650352 \h </w:instrText>
            </w:r>
            <w:r w:rsidR="0021215A" w:rsidRPr="00A13E6C">
              <w:rPr>
                <w:noProof/>
                <w:webHidden/>
              </w:rPr>
            </w:r>
            <w:r w:rsidR="0021215A" w:rsidRPr="00A13E6C">
              <w:rPr>
                <w:noProof/>
                <w:webHidden/>
              </w:rPr>
              <w:fldChar w:fldCharType="separate"/>
            </w:r>
            <w:r w:rsidR="00A22B54">
              <w:rPr>
                <w:noProof/>
                <w:webHidden/>
              </w:rPr>
              <w:t>164</w:t>
            </w:r>
            <w:r w:rsidR="0021215A" w:rsidRPr="00A13E6C">
              <w:rPr>
                <w:noProof/>
                <w:webHidden/>
              </w:rPr>
              <w:fldChar w:fldCharType="end"/>
            </w:r>
          </w:hyperlink>
        </w:p>
        <w:p w14:paraId="52F3AA91" w14:textId="6AC11FEE" w:rsidR="0021215A" w:rsidRPr="00A13E6C" w:rsidRDefault="00982BBB">
          <w:pPr>
            <w:pStyle w:val="TOC2"/>
            <w:rPr>
              <w:rFonts w:eastAsiaTheme="minorEastAsia" w:cstheme="minorBidi"/>
              <w:lang w:eastAsia="en-NZ"/>
            </w:rPr>
          </w:pPr>
          <w:hyperlink w:anchor="_Toc62650353" w:history="1">
            <w:r w:rsidR="0021215A" w:rsidRPr="00A13E6C">
              <w:rPr>
                <w:rStyle w:val="Hyperlink"/>
              </w:rPr>
              <w:t>8.12 Planning for meeting the NDC</w:t>
            </w:r>
            <w:r w:rsidR="0021215A" w:rsidRPr="00A13E6C">
              <w:rPr>
                <w:webHidden/>
              </w:rPr>
              <w:tab/>
            </w:r>
            <w:r w:rsidR="0021215A" w:rsidRPr="00A13E6C">
              <w:rPr>
                <w:webHidden/>
              </w:rPr>
              <w:fldChar w:fldCharType="begin"/>
            </w:r>
            <w:r w:rsidR="0021215A" w:rsidRPr="00A13E6C">
              <w:rPr>
                <w:webHidden/>
              </w:rPr>
              <w:instrText xml:space="preserve"> PAGEREF _Toc62650353 \h </w:instrText>
            </w:r>
            <w:r w:rsidR="0021215A" w:rsidRPr="00A13E6C">
              <w:rPr>
                <w:webHidden/>
              </w:rPr>
            </w:r>
            <w:r w:rsidR="0021215A" w:rsidRPr="00A13E6C">
              <w:rPr>
                <w:webHidden/>
              </w:rPr>
              <w:fldChar w:fldCharType="separate"/>
            </w:r>
            <w:r w:rsidR="00A22B54">
              <w:rPr>
                <w:webHidden/>
              </w:rPr>
              <w:t>164</w:t>
            </w:r>
            <w:r w:rsidR="0021215A" w:rsidRPr="00A13E6C">
              <w:rPr>
                <w:webHidden/>
              </w:rPr>
              <w:fldChar w:fldCharType="end"/>
            </w:r>
          </w:hyperlink>
        </w:p>
        <w:p w14:paraId="68E34F8B" w14:textId="3BBF827E" w:rsidR="0021215A" w:rsidRPr="00A13E6C" w:rsidRDefault="00982BBB" w:rsidP="00AE5853">
          <w:pPr>
            <w:pStyle w:val="TOC3"/>
            <w:rPr>
              <w:rFonts w:eastAsiaTheme="minorEastAsia"/>
              <w:noProof/>
              <w:lang w:eastAsia="en-NZ"/>
            </w:rPr>
          </w:pPr>
          <w:hyperlink w:anchor="_Toc62650354" w:history="1">
            <w:r w:rsidR="0021215A" w:rsidRPr="00A13E6C">
              <w:rPr>
                <w:rStyle w:val="Hyperlink"/>
                <w:noProof/>
              </w:rPr>
              <w:t>8.12.1 Access to offshore mitigation under the Paris Agreement</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_Toc62650354 \h </w:instrText>
            </w:r>
            <w:r w:rsidR="0021215A" w:rsidRPr="00A13E6C">
              <w:rPr>
                <w:noProof/>
                <w:webHidden/>
              </w:rPr>
            </w:r>
            <w:r w:rsidR="0021215A" w:rsidRPr="00A13E6C">
              <w:rPr>
                <w:noProof/>
                <w:webHidden/>
              </w:rPr>
              <w:fldChar w:fldCharType="separate"/>
            </w:r>
            <w:r w:rsidR="00A22B54">
              <w:rPr>
                <w:noProof/>
                <w:webHidden/>
              </w:rPr>
              <w:t>164</w:t>
            </w:r>
            <w:r w:rsidR="0021215A" w:rsidRPr="00A13E6C">
              <w:rPr>
                <w:noProof/>
                <w:webHidden/>
              </w:rPr>
              <w:fldChar w:fldCharType="end"/>
            </w:r>
          </w:hyperlink>
        </w:p>
        <w:p w14:paraId="736F83A6" w14:textId="722F62F6" w:rsidR="0021215A" w:rsidRPr="00A13E6C" w:rsidRDefault="00982BBB" w:rsidP="00AE5853">
          <w:pPr>
            <w:pStyle w:val="TOC3"/>
            <w:rPr>
              <w:rFonts w:eastAsiaTheme="minorEastAsia"/>
              <w:noProof/>
              <w:lang w:eastAsia="en-NZ"/>
            </w:rPr>
          </w:pPr>
          <w:hyperlink w:anchor="_Toc62650355" w:history="1">
            <w:r w:rsidR="0021215A" w:rsidRPr="00A13E6C">
              <w:rPr>
                <w:rStyle w:val="Hyperlink"/>
                <w:noProof/>
              </w:rPr>
              <w:t>8.12.2 Accountability and reporting on the NDC</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_Toc62650355 \h </w:instrText>
            </w:r>
            <w:r w:rsidR="0021215A" w:rsidRPr="00A13E6C">
              <w:rPr>
                <w:noProof/>
                <w:webHidden/>
              </w:rPr>
            </w:r>
            <w:r w:rsidR="0021215A" w:rsidRPr="00A13E6C">
              <w:rPr>
                <w:noProof/>
                <w:webHidden/>
              </w:rPr>
              <w:fldChar w:fldCharType="separate"/>
            </w:r>
            <w:r w:rsidR="00A22B54">
              <w:rPr>
                <w:noProof/>
                <w:webHidden/>
              </w:rPr>
              <w:t>165</w:t>
            </w:r>
            <w:r w:rsidR="0021215A" w:rsidRPr="00A13E6C">
              <w:rPr>
                <w:noProof/>
                <w:webHidden/>
              </w:rPr>
              <w:fldChar w:fldCharType="end"/>
            </w:r>
          </w:hyperlink>
        </w:p>
        <w:p w14:paraId="181A76AF" w14:textId="1F54BF23" w:rsidR="0021215A" w:rsidRPr="00A13E6C" w:rsidRDefault="00982BBB" w:rsidP="00AE5853">
          <w:pPr>
            <w:pStyle w:val="TOC1"/>
            <w:rPr>
              <w:rFonts w:eastAsiaTheme="minorEastAsia" w:cstheme="minorBidi"/>
              <w:sz w:val="22"/>
              <w:szCs w:val="22"/>
              <w:lang w:eastAsia="en-NZ"/>
            </w:rPr>
          </w:pPr>
          <w:hyperlink w:anchor="_Toc62650356" w:history="1">
            <w:r w:rsidR="0021215A" w:rsidRPr="00A13E6C">
              <w:rPr>
                <w:rStyle w:val="Hyperlink"/>
                <w:lang w:val="mi-NZ"/>
              </w:rPr>
              <w:t>Chapter 9: Eventual reductions in biogenic methane</w:t>
            </w:r>
            <w:r w:rsidR="0021215A" w:rsidRPr="00A13E6C">
              <w:rPr>
                <w:webHidden/>
              </w:rPr>
              <w:tab/>
            </w:r>
            <w:r w:rsidR="0021215A" w:rsidRPr="00A13E6C">
              <w:rPr>
                <w:webHidden/>
              </w:rPr>
              <w:fldChar w:fldCharType="begin"/>
            </w:r>
            <w:r w:rsidR="0021215A" w:rsidRPr="00A13E6C">
              <w:rPr>
                <w:webHidden/>
              </w:rPr>
              <w:instrText xml:space="preserve"> PAGEREF _Toc62650356 \h </w:instrText>
            </w:r>
            <w:r w:rsidR="0021215A" w:rsidRPr="00A13E6C">
              <w:rPr>
                <w:webHidden/>
              </w:rPr>
            </w:r>
            <w:r w:rsidR="0021215A" w:rsidRPr="00A13E6C">
              <w:rPr>
                <w:webHidden/>
              </w:rPr>
              <w:fldChar w:fldCharType="separate"/>
            </w:r>
            <w:r w:rsidR="00A22B54">
              <w:rPr>
                <w:webHidden/>
              </w:rPr>
              <w:t>167</w:t>
            </w:r>
            <w:r w:rsidR="0021215A" w:rsidRPr="00A13E6C">
              <w:rPr>
                <w:webHidden/>
              </w:rPr>
              <w:fldChar w:fldCharType="end"/>
            </w:r>
          </w:hyperlink>
        </w:p>
        <w:p w14:paraId="4A47E952" w14:textId="47AD17FB" w:rsidR="0021215A" w:rsidRPr="00A13E6C" w:rsidRDefault="00982BBB">
          <w:pPr>
            <w:pStyle w:val="TOC2"/>
            <w:rPr>
              <w:rFonts w:eastAsiaTheme="minorEastAsia" w:cstheme="minorBidi"/>
              <w:lang w:eastAsia="en-NZ"/>
            </w:rPr>
          </w:pPr>
          <w:hyperlink w:anchor="_Toc62650357" w:history="1">
            <w:r w:rsidR="0021215A" w:rsidRPr="00A13E6C">
              <w:rPr>
                <w:rStyle w:val="Hyperlink"/>
                <w:lang w:val="mi-NZ"/>
              </w:rPr>
              <w:t>9.1 What have we been asked to do?</w:t>
            </w:r>
            <w:r w:rsidR="0021215A" w:rsidRPr="00A13E6C">
              <w:rPr>
                <w:webHidden/>
              </w:rPr>
              <w:tab/>
            </w:r>
            <w:r w:rsidR="0021215A" w:rsidRPr="00A13E6C">
              <w:rPr>
                <w:webHidden/>
              </w:rPr>
              <w:fldChar w:fldCharType="begin"/>
            </w:r>
            <w:r w:rsidR="0021215A" w:rsidRPr="00A13E6C">
              <w:rPr>
                <w:webHidden/>
              </w:rPr>
              <w:instrText xml:space="preserve"> PAGEREF _Toc62650357 \h </w:instrText>
            </w:r>
            <w:r w:rsidR="0021215A" w:rsidRPr="00A13E6C">
              <w:rPr>
                <w:webHidden/>
              </w:rPr>
            </w:r>
            <w:r w:rsidR="0021215A" w:rsidRPr="00A13E6C">
              <w:rPr>
                <w:webHidden/>
              </w:rPr>
              <w:fldChar w:fldCharType="separate"/>
            </w:r>
            <w:r w:rsidR="00A22B54">
              <w:rPr>
                <w:webHidden/>
              </w:rPr>
              <w:t>167</w:t>
            </w:r>
            <w:r w:rsidR="0021215A" w:rsidRPr="00A13E6C">
              <w:rPr>
                <w:webHidden/>
              </w:rPr>
              <w:fldChar w:fldCharType="end"/>
            </w:r>
          </w:hyperlink>
        </w:p>
        <w:p w14:paraId="43CECF26" w14:textId="31C9FA8E" w:rsidR="0021215A" w:rsidRPr="00A13E6C" w:rsidRDefault="00982BBB">
          <w:pPr>
            <w:pStyle w:val="TOC2"/>
            <w:rPr>
              <w:rFonts w:eastAsiaTheme="minorEastAsia" w:cstheme="minorBidi"/>
              <w:lang w:eastAsia="en-NZ"/>
            </w:rPr>
          </w:pPr>
          <w:hyperlink w:anchor="_Toc62650358" w:history="1">
            <w:r w:rsidR="0021215A" w:rsidRPr="00A13E6C">
              <w:rPr>
                <w:rStyle w:val="Hyperlink"/>
                <w:lang w:val="mi-NZ"/>
              </w:rPr>
              <w:t>9.2 Consideration 1: What global reductions of biogenic methane emissions might be required to limit warming to 1.5</w:t>
            </w:r>
            <w:r w:rsidR="0021215A" w:rsidRPr="00A13E6C">
              <w:rPr>
                <w:rStyle w:val="Hyperlink"/>
                <w:rFonts w:cstheme="majorHAnsi"/>
                <w:lang w:val="mi-NZ"/>
              </w:rPr>
              <w:t>°</w:t>
            </w:r>
            <w:r w:rsidR="0021215A" w:rsidRPr="00A13E6C">
              <w:rPr>
                <w:rStyle w:val="Hyperlink"/>
                <w:lang w:val="mi-NZ"/>
              </w:rPr>
              <w:t>C?</w:t>
            </w:r>
            <w:r w:rsidR="0021215A" w:rsidRPr="00A13E6C">
              <w:rPr>
                <w:webHidden/>
              </w:rPr>
              <w:tab/>
            </w:r>
            <w:r w:rsidR="0021215A" w:rsidRPr="00A13E6C">
              <w:rPr>
                <w:webHidden/>
              </w:rPr>
              <w:fldChar w:fldCharType="begin"/>
            </w:r>
            <w:r w:rsidR="0021215A" w:rsidRPr="00A13E6C">
              <w:rPr>
                <w:webHidden/>
              </w:rPr>
              <w:instrText xml:space="preserve"> PAGEREF _Toc62650358 \h </w:instrText>
            </w:r>
            <w:r w:rsidR="0021215A" w:rsidRPr="00A13E6C">
              <w:rPr>
                <w:webHidden/>
              </w:rPr>
            </w:r>
            <w:r w:rsidR="0021215A" w:rsidRPr="00A13E6C">
              <w:rPr>
                <w:webHidden/>
              </w:rPr>
              <w:fldChar w:fldCharType="separate"/>
            </w:r>
            <w:r w:rsidR="00A22B54">
              <w:rPr>
                <w:webHidden/>
              </w:rPr>
              <w:t>168</w:t>
            </w:r>
            <w:r w:rsidR="0021215A" w:rsidRPr="00A13E6C">
              <w:rPr>
                <w:webHidden/>
              </w:rPr>
              <w:fldChar w:fldCharType="end"/>
            </w:r>
          </w:hyperlink>
        </w:p>
        <w:p w14:paraId="6FEDAEE8" w14:textId="3FB92EFD" w:rsidR="0021215A" w:rsidRPr="00A13E6C" w:rsidRDefault="00982BBB" w:rsidP="00AE5853">
          <w:pPr>
            <w:pStyle w:val="TOC3"/>
            <w:rPr>
              <w:rFonts w:eastAsiaTheme="minorEastAsia"/>
              <w:noProof/>
              <w:lang w:eastAsia="en-NZ"/>
            </w:rPr>
          </w:pPr>
          <w:hyperlink w:anchor="_Toc62650359" w:history="1">
            <w:r w:rsidR="0021215A" w:rsidRPr="00A13E6C">
              <w:rPr>
                <w:rStyle w:val="Hyperlink"/>
                <w:noProof/>
              </w:rPr>
              <w:t>9.2.1 Global pathways compatible with limiting warming to 1.5</w:t>
            </w:r>
            <w:r w:rsidR="0021215A" w:rsidRPr="00A13E6C">
              <w:rPr>
                <w:rStyle w:val="Hyperlink"/>
                <w:noProof/>
                <w:lang w:val="mi-NZ"/>
              </w:rPr>
              <w:t>°C</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_Toc62650359 \h </w:instrText>
            </w:r>
            <w:r w:rsidR="0021215A" w:rsidRPr="00A13E6C">
              <w:rPr>
                <w:noProof/>
                <w:webHidden/>
              </w:rPr>
            </w:r>
            <w:r w:rsidR="0021215A" w:rsidRPr="00A13E6C">
              <w:rPr>
                <w:noProof/>
                <w:webHidden/>
              </w:rPr>
              <w:fldChar w:fldCharType="separate"/>
            </w:r>
            <w:r w:rsidR="00A22B54">
              <w:rPr>
                <w:noProof/>
                <w:webHidden/>
              </w:rPr>
              <w:t>170</w:t>
            </w:r>
            <w:r w:rsidR="0021215A" w:rsidRPr="00A13E6C">
              <w:rPr>
                <w:noProof/>
                <w:webHidden/>
              </w:rPr>
              <w:fldChar w:fldCharType="end"/>
            </w:r>
          </w:hyperlink>
        </w:p>
        <w:p w14:paraId="0C5BECC6" w14:textId="17DBE16F" w:rsidR="0021215A" w:rsidRPr="00A13E6C" w:rsidRDefault="00982BBB">
          <w:pPr>
            <w:pStyle w:val="TOC2"/>
            <w:rPr>
              <w:rFonts w:eastAsiaTheme="minorEastAsia" w:cstheme="minorBidi"/>
              <w:lang w:eastAsia="en-NZ"/>
            </w:rPr>
          </w:pPr>
          <w:hyperlink w:anchor="_Toc62650360" w:history="1">
            <w:r w:rsidR="0021215A" w:rsidRPr="00A13E6C">
              <w:rPr>
                <w:rStyle w:val="Hyperlink"/>
                <w:lang w:val="mi-NZ"/>
              </w:rPr>
              <w:t>9.3 Consideration 2: What reductions of biogenic methane could Aotearoa make to contribute to limiting warming to 1.5 degrees, recognising national circumstances?</w:t>
            </w:r>
            <w:r w:rsidR="0021215A" w:rsidRPr="00A13E6C">
              <w:rPr>
                <w:webHidden/>
              </w:rPr>
              <w:tab/>
            </w:r>
            <w:r w:rsidR="0021215A" w:rsidRPr="00A13E6C">
              <w:rPr>
                <w:webHidden/>
              </w:rPr>
              <w:fldChar w:fldCharType="begin"/>
            </w:r>
            <w:r w:rsidR="0021215A" w:rsidRPr="00A13E6C">
              <w:rPr>
                <w:webHidden/>
              </w:rPr>
              <w:instrText xml:space="preserve"> PAGEREF _Toc62650360 \h </w:instrText>
            </w:r>
            <w:r w:rsidR="0021215A" w:rsidRPr="00A13E6C">
              <w:rPr>
                <w:webHidden/>
              </w:rPr>
            </w:r>
            <w:r w:rsidR="0021215A" w:rsidRPr="00A13E6C">
              <w:rPr>
                <w:webHidden/>
              </w:rPr>
              <w:fldChar w:fldCharType="separate"/>
            </w:r>
            <w:r w:rsidR="00A22B54">
              <w:rPr>
                <w:webHidden/>
              </w:rPr>
              <w:t>172</w:t>
            </w:r>
            <w:r w:rsidR="0021215A" w:rsidRPr="00A13E6C">
              <w:rPr>
                <w:webHidden/>
              </w:rPr>
              <w:fldChar w:fldCharType="end"/>
            </w:r>
          </w:hyperlink>
        </w:p>
        <w:p w14:paraId="3D973063" w14:textId="3E603D96" w:rsidR="0021215A" w:rsidRPr="00A13E6C" w:rsidRDefault="00982BBB" w:rsidP="00AE5853">
          <w:pPr>
            <w:pStyle w:val="TOC3"/>
            <w:rPr>
              <w:rFonts w:eastAsiaTheme="minorEastAsia"/>
              <w:noProof/>
              <w:lang w:eastAsia="en-NZ"/>
            </w:rPr>
          </w:pPr>
          <w:hyperlink w:anchor="_Toc62650361" w:history="1">
            <w:r w:rsidR="0021215A" w:rsidRPr="00A13E6C">
              <w:rPr>
                <w:rStyle w:val="Hyperlink"/>
                <w:noProof/>
                <w:lang w:val="mi-NZ"/>
              </w:rPr>
              <w:t>9.3.1 The sources of biogenic methane in Aotearoa</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_Toc62650361 \h </w:instrText>
            </w:r>
            <w:r w:rsidR="0021215A" w:rsidRPr="00A13E6C">
              <w:rPr>
                <w:noProof/>
                <w:webHidden/>
              </w:rPr>
            </w:r>
            <w:r w:rsidR="0021215A" w:rsidRPr="00A13E6C">
              <w:rPr>
                <w:noProof/>
                <w:webHidden/>
              </w:rPr>
              <w:fldChar w:fldCharType="separate"/>
            </w:r>
            <w:r w:rsidR="00A22B54">
              <w:rPr>
                <w:noProof/>
                <w:webHidden/>
              </w:rPr>
              <w:t>172</w:t>
            </w:r>
            <w:r w:rsidR="0021215A" w:rsidRPr="00A13E6C">
              <w:rPr>
                <w:noProof/>
                <w:webHidden/>
              </w:rPr>
              <w:fldChar w:fldCharType="end"/>
            </w:r>
          </w:hyperlink>
        </w:p>
        <w:p w14:paraId="6C28123D" w14:textId="3E05E2CD" w:rsidR="0021215A" w:rsidRPr="00A13E6C" w:rsidRDefault="00982BBB" w:rsidP="00AE5853">
          <w:pPr>
            <w:pStyle w:val="TOC3"/>
            <w:rPr>
              <w:rFonts w:eastAsiaTheme="minorEastAsia"/>
              <w:noProof/>
              <w:lang w:eastAsia="en-NZ"/>
            </w:rPr>
          </w:pPr>
          <w:hyperlink w:anchor="_Toc62650362" w:history="1">
            <w:r w:rsidR="0021215A" w:rsidRPr="00A13E6C">
              <w:rPr>
                <w:rStyle w:val="Hyperlink"/>
                <w:noProof/>
                <w:lang w:val="mi-NZ"/>
              </w:rPr>
              <w:t>9.3.2 How much could biogenic methane emissions be reduced?</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_Toc62650362 \h </w:instrText>
            </w:r>
            <w:r w:rsidR="0021215A" w:rsidRPr="00A13E6C">
              <w:rPr>
                <w:noProof/>
                <w:webHidden/>
              </w:rPr>
            </w:r>
            <w:r w:rsidR="0021215A" w:rsidRPr="00A13E6C">
              <w:rPr>
                <w:noProof/>
                <w:webHidden/>
              </w:rPr>
              <w:fldChar w:fldCharType="separate"/>
            </w:r>
            <w:r w:rsidR="00A22B54">
              <w:rPr>
                <w:noProof/>
                <w:webHidden/>
              </w:rPr>
              <w:t>174</w:t>
            </w:r>
            <w:r w:rsidR="0021215A" w:rsidRPr="00A13E6C">
              <w:rPr>
                <w:noProof/>
                <w:webHidden/>
              </w:rPr>
              <w:fldChar w:fldCharType="end"/>
            </w:r>
          </w:hyperlink>
        </w:p>
        <w:p w14:paraId="5850AAEA" w14:textId="1BFCD49F" w:rsidR="0021215A" w:rsidRPr="00A13E6C" w:rsidRDefault="00982BBB" w:rsidP="00AE5853">
          <w:pPr>
            <w:pStyle w:val="TOC3"/>
            <w:rPr>
              <w:rFonts w:eastAsiaTheme="minorEastAsia"/>
              <w:noProof/>
              <w:lang w:eastAsia="en-NZ"/>
            </w:rPr>
          </w:pPr>
          <w:hyperlink w:anchor="_Toc62650363" w:history="1">
            <w:r w:rsidR="0021215A" w:rsidRPr="00A13E6C">
              <w:rPr>
                <w:rStyle w:val="Hyperlink"/>
                <w:noProof/>
                <w:lang w:val="mi-NZ"/>
              </w:rPr>
              <w:t>9.3.3 Overall</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_Toc62650363 \h </w:instrText>
            </w:r>
            <w:r w:rsidR="0021215A" w:rsidRPr="00A13E6C">
              <w:rPr>
                <w:noProof/>
                <w:webHidden/>
              </w:rPr>
            </w:r>
            <w:r w:rsidR="0021215A" w:rsidRPr="00A13E6C">
              <w:rPr>
                <w:noProof/>
                <w:webHidden/>
              </w:rPr>
              <w:fldChar w:fldCharType="separate"/>
            </w:r>
            <w:r w:rsidR="00A22B54">
              <w:rPr>
                <w:noProof/>
                <w:webHidden/>
              </w:rPr>
              <w:t>175</w:t>
            </w:r>
            <w:r w:rsidR="0021215A" w:rsidRPr="00A13E6C">
              <w:rPr>
                <w:noProof/>
                <w:webHidden/>
              </w:rPr>
              <w:fldChar w:fldCharType="end"/>
            </w:r>
          </w:hyperlink>
        </w:p>
        <w:p w14:paraId="29B9BD7C" w14:textId="34FAC2D7" w:rsidR="0021215A" w:rsidRPr="00A13E6C" w:rsidRDefault="00982BBB" w:rsidP="00AE5853">
          <w:pPr>
            <w:pStyle w:val="TOC3"/>
            <w:rPr>
              <w:rFonts w:eastAsiaTheme="minorEastAsia"/>
              <w:noProof/>
              <w:lang w:eastAsia="en-NZ"/>
            </w:rPr>
          </w:pPr>
          <w:hyperlink w:anchor="_Toc62650364" w:history="1">
            <w:r w:rsidR="0021215A" w:rsidRPr="00A13E6C">
              <w:rPr>
                <w:rStyle w:val="Hyperlink"/>
                <w:noProof/>
                <w:lang w:val="mi-NZ"/>
              </w:rPr>
              <w:t>9.3.4 Important national circumstances that relate to potential biogenic methane emissions reductions</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_Toc62650364 \h </w:instrText>
            </w:r>
            <w:r w:rsidR="0021215A" w:rsidRPr="00A13E6C">
              <w:rPr>
                <w:noProof/>
                <w:webHidden/>
              </w:rPr>
            </w:r>
            <w:r w:rsidR="0021215A" w:rsidRPr="00A13E6C">
              <w:rPr>
                <w:noProof/>
                <w:webHidden/>
              </w:rPr>
              <w:fldChar w:fldCharType="separate"/>
            </w:r>
            <w:r w:rsidR="00A22B54">
              <w:rPr>
                <w:noProof/>
                <w:webHidden/>
              </w:rPr>
              <w:t>175</w:t>
            </w:r>
            <w:r w:rsidR="0021215A" w:rsidRPr="00A13E6C">
              <w:rPr>
                <w:noProof/>
                <w:webHidden/>
              </w:rPr>
              <w:fldChar w:fldCharType="end"/>
            </w:r>
          </w:hyperlink>
        </w:p>
        <w:p w14:paraId="55A6F5CB" w14:textId="2177E881" w:rsidR="0021215A" w:rsidRPr="00A13E6C" w:rsidRDefault="00982BBB">
          <w:pPr>
            <w:pStyle w:val="TOC2"/>
            <w:rPr>
              <w:rFonts w:eastAsiaTheme="minorEastAsia" w:cstheme="minorBidi"/>
              <w:lang w:eastAsia="en-NZ"/>
            </w:rPr>
          </w:pPr>
          <w:hyperlink w:anchor="_Toc62650365" w:history="1">
            <w:r w:rsidR="0021215A" w:rsidRPr="00A13E6C">
              <w:rPr>
                <w:rStyle w:val="Hyperlink"/>
                <w:lang w:val="mi-NZ"/>
              </w:rPr>
              <w:t>9.4 Consideration 3: What social, economic and demographic changes may occur?</w:t>
            </w:r>
            <w:r w:rsidR="0021215A" w:rsidRPr="00A13E6C">
              <w:rPr>
                <w:webHidden/>
              </w:rPr>
              <w:tab/>
            </w:r>
            <w:r w:rsidR="0021215A" w:rsidRPr="00A13E6C">
              <w:rPr>
                <w:webHidden/>
              </w:rPr>
              <w:fldChar w:fldCharType="begin"/>
            </w:r>
            <w:r w:rsidR="0021215A" w:rsidRPr="00A13E6C">
              <w:rPr>
                <w:webHidden/>
              </w:rPr>
              <w:instrText xml:space="preserve"> PAGEREF _Toc62650365 \h </w:instrText>
            </w:r>
            <w:r w:rsidR="0021215A" w:rsidRPr="00A13E6C">
              <w:rPr>
                <w:webHidden/>
              </w:rPr>
            </w:r>
            <w:r w:rsidR="0021215A" w:rsidRPr="00A13E6C">
              <w:rPr>
                <w:webHidden/>
              </w:rPr>
              <w:fldChar w:fldCharType="separate"/>
            </w:r>
            <w:r w:rsidR="00A22B54">
              <w:rPr>
                <w:webHidden/>
              </w:rPr>
              <w:t>176</w:t>
            </w:r>
            <w:r w:rsidR="0021215A" w:rsidRPr="00A13E6C">
              <w:rPr>
                <w:webHidden/>
              </w:rPr>
              <w:fldChar w:fldCharType="end"/>
            </w:r>
          </w:hyperlink>
        </w:p>
        <w:p w14:paraId="01304BFC" w14:textId="1F67C81A" w:rsidR="0021215A" w:rsidRPr="00A13E6C" w:rsidRDefault="00982BBB" w:rsidP="00AE5853">
          <w:pPr>
            <w:pStyle w:val="TOC3"/>
            <w:rPr>
              <w:rFonts w:eastAsiaTheme="minorEastAsia"/>
              <w:noProof/>
              <w:lang w:eastAsia="en-NZ"/>
            </w:rPr>
          </w:pPr>
          <w:hyperlink w:anchor="_Toc62650366" w:history="1">
            <w:r w:rsidR="0021215A" w:rsidRPr="00A13E6C">
              <w:rPr>
                <w:rStyle w:val="Hyperlink"/>
                <w:noProof/>
                <w:lang w:val="mi-NZ"/>
              </w:rPr>
              <w:t>9.4.1 Population growth and food demand</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_Toc62650366 \h </w:instrText>
            </w:r>
            <w:r w:rsidR="0021215A" w:rsidRPr="00A13E6C">
              <w:rPr>
                <w:noProof/>
                <w:webHidden/>
              </w:rPr>
            </w:r>
            <w:r w:rsidR="0021215A" w:rsidRPr="00A13E6C">
              <w:rPr>
                <w:noProof/>
                <w:webHidden/>
              </w:rPr>
              <w:fldChar w:fldCharType="separate"/>
            </w:r>
            <w:r w:rsidR="00A22B54">
              <w:rPr>
                <w:noProof/>
                <w:webHidden/>
              </w:rPr>
              <w:t>176</w:t>
            </w:r>
            <w:r w:rsidR="0021215A" w:rsidRPr="00A13E6C">
              <w:rPr>
                <w:noProof/>
                <w:webHidden/>
              </w:rPr>
              <w:fldChar w:fldCharType="end"/>
            </w:r>
          </w:hyperlink>
        </w:p>
        <w:p w14:paraId="34DFB0DB" w14:textId="6A57FC73" w:rsidR="0021215A" w:rsidRPr="00A13E6C" w:rsidRDefault="00982BBB" w:rsidP="00AE5853">
          <w:pPr>
            <w:pStyle w:val="TOC3"/>
            <w:rPr>
              <w:rFonts w:eastAsiaTheme="minorEastAsia"/>
              <w:noProof/>
              <w:lang w:eastAsia="en-NZ"/>
            </w:rPr>
          </w:pPr>
          <w:hyperlink w:anchor="_Toc62650367" w:history="1">
            <w:r w:rsidR="0021215A" w:rsidRPr="00A13E6C">
              <w:rPr>
                <w:rStyle w:val="Hyperlink"/>
                <w:noProof/>
                <w:lang w:val="mi-NZ"/>
              </w:rPr>
              <w:t>9.4.2 Demand for low emissions agricultural production</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_Toc62650367 \h </w:instrText>
            </w:r>
            <w:r w:rsidR="0021215A" w:rsidRPr="00A13E6C">
              <w:rPr>
                <w:noProof/>
                <w:webHidden/>
              </w:rPr>
            </w:r>
            <w:r w:rsidR="0021215A" w:rsidRPr="00A13E6C">
              <w:rPr>
                <w:noProof/>
                <w:webHidden/>
              </w:rPr>
              <w:fldChar w:fldCharType="separate"/>
            </w:r>
            <w:r w:rsidR="00A22B54">
              <w:rPr>
                <w:noProof/>
                <w:webHidden/>
              </w:rPr>
              <w:t>177</w:t>
            </w:r>
            <w:r w:rsidR="0021215A" w:rsidRPr="00A13E6C">
              <w:rPr>
                <w:noProof/>
                <w:webHidden/>
              </w:rPr>
              <w:fldChar w:fldCharType="end"/>
            </w:r>
          </w:hyperlink>
        </w:p>
        <w:p w14:paraId="04907EC8" w14:textId="68225019" w:rsidR="0021215A" w:rsidRPr="00A13E6C" w:rsidRDefault="00982BBB" w:rsidP="00AE5853">
          <w:pPr>
            <w:pStyle w:val="TOC3"/>
            <w:rPr>
              <w:rFonts w:eastAsiaTheme="minorEastAsia"/>
              <w:noProof/>
              <w:lang w:eastAsia="en-NZ"/>
            </w:rPr>
          </w:pPr>
          <w:hyperlink w:anchor="_Toc62650368" w:history="1">
            <w:r w:rsidR="0021215A" w:rsidRPr="00A13E6C">
              <w:rPr>
                <w:rStyle w:val="Hyperlink"/>
                <w:noProof/>
                <w:lang w:val="mi-NZ"/>
              </w:rPr>
              <w:t>9.4.3</w:t>
            </w:r>
            <w:r w:rsidR="00073EAF">
              <w:rPr>
                <w:rStyle w:val="Hyperlink"/>
                <w:noProof/>
                <w:lang w:val="mi-NZ"/>
              </w:rPr>
              <w:t xml:space="preserve"> </w:t>
            </w:r>
            <w:r w:rsidR="0021215A" w:rsidRPr="00A13E6C">
              <w:rPr>
                <w:rStyle w:val="Hyperlink"/>
                <w:noProof/>
                <w:lang w:val="mi-NZ"/>
              </w:rPr>
              <w:t>Other environmental challenges:</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_Toc62650368 \h </w:instrText>
            </w:r>
            <w:r w:rsidR="0021215A" w:rsidRPr="00A13E6C">
              <w:rPr>
                <w:noProof/>
                <w:webHidden/>
              </w:rPr>
            </w:r>
            <w:r w:rsidR="0021215A" w:rsidRPr="00A13E6C">
              <w:rPr>
                <w:noProof/>
                <w:webHidden/>
              </w:rPr>
              <w:fldChar w:fldCharType="separate"/>
            </w:r>
            <w:r w:rsidR="00A22B54">
              <w:rPr>
                <w:noProof/>
                <w:webHidden/>
              </w:rPr>
              <w:t>177</w:t>
            </w:r>
            <w:r w:rsidR="0021215A" w:rsidRPr="00A13E6C">
              <w:rPr>
                <w:noProof/>
                <w:webHidden/>
              </w:rPr>
              <w:fldChar w:fldCharType="end"/>
            </w:r>
          </w:hyperlink>
        </w:p>
        <w:p w14:paraId="365C66A2" w14:textId="317458A1" w:rsidR="0021215A" w:rsidRPr="00A13E6C" w:rsidRDefault="00982BBB" w:rsidP="00AE5853">
          <w:pPr>
            <w:pStyle w:val="TOC3"/>
            <w:rPr>
              <w:rFonts w:eastAsiaTheme="minorEastAsia"/>
              <w:noProof/>
              <w:lang w:eastAsia="en-NZ"/>
            </w:rPr>
          </w:pPr>
          <w:hyperlink w:anchor="_Toc62650369" w:history="1">
            <w:r w:rsidR="0021215A" w:rsidRPr="00A13E6C">
              <w:rPr>
                <w:rStyle w:val="Hyperlink"/>
                <w:noProof/>
                <w:lang w:val="mi-NZ"/>
              </w:rPr>
              <w:t>9.4.4 Overall</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_Toc62650369 \h </w:instrText>
            </w:r>
            <w:r w:rsidR="0021215A" w:rsidRPr="00A13E6C">
              <w:rPr>
                <w:noProof/>
                <w:webHidden/>
              </w:rPr>
            </w:r>
            <w:r w:rsidR="0021215A" w:rsidRPr="00A13E6C">
              <w:rPr>
                <w:noProof/>
                <w:webHidden/>
              </w:rPr>
              <w:fldChar w:fldCharType="separate"/>
            </w:r>
            <w:r w:rsidR="00A22B54">
              <w:rPr>
                <w:noProof/>
                <w:webHidden/>
              </w:rPr>
              <w:t>178</w:t>
            </w:r>
            <w:r w:rsidR="0021215A" w:rsidRPr="00A13E6C">
              <w:rPr>
                <w:noProof/>
                <w:webHidden/>
              </w:rPr>
              <w:fldChar w:fldCharType="end"/>
            </w:r>
          </w:hyperlink>
        </w:p>
        <w:p w14:paraId="11DA17E1" w14:textId="52A27878" w:rsidR="0021215A" w:rsidRPr="00A13E6C" w:rsidRDefault="00982BBB">
          <w:pPr>
            <w:pStyle w:val="TOC2"/>
            <w:rPr>
              <w:rFonts w:eastAsiaTheme="minorEastAsia" w:cstheme="minorBidi"/>
              <w:lang w:eastAsia="en-NZ"/>
            </w:rPr>
          </w:pPr>
          <w:hyperlink w:anchor="_Toc62650370" w:history="1">
            <w:r w:rsidR="0021215A" w:rsidRPr="00A13E6C">
              <w:rPr>
                <w:rStyle w:val="Hyperlink"/>
              </w:rPr>
              <w:t>9.5 Findings</w:t>
            </w:r>
            <w:r w:rsidR="0021215A" w:rsidRPr="00A13E6C">
              <w:rPr>
                <w:webHidden/>
              </w:rPr>
              <w:tab/>
            </w:r>
            <w:r w:rsidR="0021215A" w:rsidRPr="00A13E6C">
              <w:rPr>
                <w:webHidden/>
              </w:rPr>
              <w:fldChar w:fldCharType="begin"/>
            </w:r>
            <w:r w:rsidR="0021215A" w:rsidRPr="00A13E6C">
              <w:rPr>
                <w:webHidden/>
              </w:rPr>
              <w:instrText xml:space="preserve"> PAGEREF _Toc62650370 \h </w:instrText>
            </w:r>
            <w:r w:rsidR="0021215A" w:rsidRPr="00A13E6C">
              <w:rPr>
                <w:webHidden/>
              </w:rPr>
            </w:r>
            <w:r w:rsidR="0021215A" w:rsidRPr="00A13E6C">
              <w:rPr>
                <w:webHidden/>
              </w:rPr>
              <w:fldChar w:fldCharType="separate"/>
            </w:r>
            <w:r w:rsidR="00A22B54">
              <w:rPr>
                <w:webHidden/>
              </w:rPr>
              <w:t>178</w:t>
            </w:r>
            <w:r w:rsidR="0021215A" w:rsidRPr="00A13E6C">
              <w:rPr>
                <w:webHidden/>
              </w:rPr>
              <w:fldChar w:fldCharType="end"/>
            </w:r>
          </w:hyperlink>
        </w:p>
        <w:p w14:paraId="76D2C563" w14:textId="63DADB38" w:rsidR="0021215A" w:rsidRPr="00A13E6C" w:rsidRDefault="00982BBB" w:rsidP="00AE5853">
          <w:pPr>
            <w:pStyle w:val="TOC3"/>
            <w:rPr>
              <w:rFonts w:eastAsiaTheme="minorEastAsia"/>
              <w:noProof/>
              <w:lang w:eastAsia="en-NZ"/>
            </w:rPr>
          </w:pPr>
          <w:hyperlink w:anchor="_Toc62650371" w:history="1">
            <w:r w:rsidR="0021215A" w:rsidRPr="00A13E6C">
              <w:rPr>
                <w:rStyle w:val="Hyperlink"/>
                <w:noProof/>
              </w:rPr>
              <w:t>9.5.1 Where does this get us?</w:t>
            </w:r>
            <w:r w:rsidR="0021215A" w:rsidRPr="00A13E6C">
              <w:rPr>
                <w:noProof/>
                <w:webHidden/>
              </w:rPr>
              <w:tab/>
            </w:r>
            <w:r w:rsidR="0021215A" w:rsidRPr="00A13E6C">
              <w:rPr>
                <w:noProof/>
                <w:webHidden/>
              </w:rPr>
              <w:fldChar w:fldCharType="begin"/>
            </w:r>
            <w:r w:rsidR="0021215A" w:rsidRPr="00A13E6C">
              <w:rPr>
                <w:noProof/>
                <w:webHidden/>
              </w:rPr>
              <w:instrText xml:space="preserve"> PAGEREF _Toc62650371 \h </w:instrText>
            </w:r>
            <w:r w:rsidR="0021215A" w:rsidRPr="00A13E6C">
              <w:rPr>
                <w:noProof/>
                <w:webHidden/>
              </w:rPr>
            </w:r>
            <w:r w:rsidR="0021215A" w:rsidRPr="00A13E6C">
              <w:rPr>
                <w:noProof/>
                <w:webHidden/>
              </w:rPr>
              <w:fldChar w:fldCharType="separate"/>
            </w:r>
            <w:r w:rsidR="00A22B54">
              <w:rPr>
                <w:noProof/>
                <w:webHidden/>
              </w:rPr>
              <w:t>179</w:t>
            </w:r>
            <w:r w:rsidR="0021215A" w:rsidRPr="00A13E6C">
              <w:rPr>
                <w:noProof/>
                <w:webHidden/>
              </w:rPr>
              <w:fldChar w:fldCharType="end"/>
            </w:r>
          </w:hyperlink>
        </w:p>
        <w:p w14:paraId="0EEB5F14" w14:textId="7D24A076" w:rsidR="0021215A" w:rsidRPr="00A13E6C" w:rsidRDefault="00982BBB" w:rsidP="00AE5853">
          <w:pPr>
            <w:pStyle w:val="TOC1"/>
            <w:rPr>
              <w:rFonts w:eastAsiaTheme="minorEastAsia" w:cstheme="minorBidi"/>
              <w:sz w:val="22"/>
              <w:szCs w:val="22"/>
              <w:lang w:eastAsia="en-NZ"/>
            </w:rPr>
          </w:pPr>
          <w:hyperlink w:anchor="_Toc62650372" w:history="1">
            <w:r w:rsidR="0021215A" w:rsidRPr="00A13E6C">
              <w:rPr>
                <w:rStyle w:val="Hyperlink"/>
              </w:rPr>
              <w:t>Glossary of Te Reo Māori Terms</w:t>
            </w:r>
            <w:r w:rsidR="0021215A" w:rsidRPr="00A13E6C">
              <w:rPr>
                <w:webHidden/>
              </w:rPr>
              <w:tab/>
            </w:r>
            <w:r w:rsidR="0021215A" w:rsidRPr="00A13E6C">
              <w:rPr>
                <w:webHidden/>
              </w:rPr>
              <w:fldChar w:fldCharType="begin"/>
            </w:r>
            <w:r w:rsidR="0021215A" w:rsidRPr="00A13E6C">
              <w:rPr>
                <w:webHidden/>
              </w:rPr>
              <w:instrText xml:space="preserve"> PAGEREF _Toc62650372 \h </w:instrText>
            </w:r>
            <w:r w:rsidR="0021215A" w:rsidRPr="00A13E6C">
              <w:rPr>
                <w:webHidden/>
              </w:rPr>
            </w:r>
            <w:r w:rsidR="0021215A" w:rsidRPr="00A13E6C">
              <w:rPr>
                <w:webHidden/>
              </w:rPr>
              <w:fldChar w:fldCharType="separate"/>
            </w:r>
            <w:r w:rsidR="00A22B54">
              <w:rPr>
                <w:webHidden/>
              </w:rPr>
              <w:t>181</w:t>
            </w:r>
            <w:r w:rsidR="0021215A" w:rsidRPr="00A13E6C">
              <w:rPr>
                <w:webHidden/>
              </w:rPr>
              <w:fldChar w:fldCharType="end"/>
            </w:r>
          </w:hyperlink>
        </w:p>
        <w:p w14:paraId="76AB3C55" w14:textId="2D840922" w:rsidR="0021215A" w:rsidRPr="00A13E6C" w:rsidRDefault="00982BBB" w:rsidP="00AE5853">
          <w:pPr>
            <w:pStyle w:val="TOC1"/>
            <w:rPr>
              <w:rFonts w:eastAsiaTheme="minorEastAsia" w:cstheme="minorBidi"/>
              <w:sz w:val="22"/>
              <w:szCs w:val="22"/>
              <w:lang w:eastAsia="en-NZ"/>
            </w:rPr>
          </w:pPr>
          <w:hyperlink w:anchor="_Toc62650373" w:history="1">
            <w:r w:rsidR="0021215A" w:rsidRPr="00A13E6C">
              <w:rPr>
                <w:rStyle w:val="Hyperlink"/>
              </w:rPr>
              <w:t>Technical Glossary</w:t>
            </w:r>
            <w:r w:rsidR="0021215A" w:rsidRPr="00A13E6C">
              <w:rPr>
                <w:webHidden/>
              </w:rPr>
              <w:tab/>
            </w:r>
            <w:r w:rsidR="0021215A" w:rsidRPr="00A13E6C">
              <w:rPr>
                <w:webHidden/>
              </w:rPr>
              <w:fldChar w:fldCharType="begin"/>
            </w:r>
            <w:r w:rsidR="0021215A" w:rsidRPr="00A13E6C">
              <w:rPr>
                <w:webHidden/>
              </w:rPr>
              <w:instrText xml:space="preserve"> PAGEREF _Toc62650373 \h </w:instrText>
            </w:r>
            <w:r w:rsidR="0021215A" w:rsidRPr="00A13E6C">
              <w:rPr>
                <w:webHidden/>
              </w:rPr>
            </w:r>
            <w:r w:rsidR="0021215A" w:rsidRPr="00A13E6C">
              <w:rPr>
                <w:webHidden/>
              </w:rPr>
              <w:fldChar w:fldCharType="separate"/>
            </w:r>
            <w:r w:rsidR="00A22B54">
              <w:rPr>
                <w:webHidden/>
              </w:rPr>
              <w:t>183</w:t>
            </w:r>
            <w:r w:rsidR="0021215A" w:rsidRPr="00A13E6C">
              <w:rPr>
                <w:webHidden/>
              </w:rPr>
              <w:fldChar w:fldCharType="end"/>
            </w:r>
          </w:hyperlink>
        </w:p>
        <w:p w14:paraId="22368051" w14:textId="08CC905E" w:rsidR="0021215A" w:rsidRPr="00A13E6C" w:rsidRDefault="00982BBB" w:rsidP="00AE5853">
          <w:pPr>
            <w:pStyle w:val="TOC1"/>
            <w:rPr>
              <w:rFonts w:eastAsiaTheme="minorEastAsia" w:cstheme="minorBidi"/>
              <w:sz w:val="22"/>
              <w:szCs w:val="22"/>
              <w:lang w:eastAsia="en-NZ"/>
            </w:rPr>
          </w:pPr>
          <w:hyperlink w:anchor="_Toc62650374" w:history="1">
            <w:r w:rsidR="0021215A" w:rsidRPr="00A13E6C">
              <w:rPr>
                <w:rStyle w:val="Hyperlink"/>
                <w:lang w:val="mi-NZ"/>
              </w:rPr>
              <w:t>Appendix 1: What other studies of methane reductions for Aotearoa have been conducted?</w:t>
            </w:r>
            <w:r w:rsidR="0021215A" w:rsidRPr="00A13E6C">
              <w:rPr>
                <w:webHidden/>
              </w:rPr>
              <w:tab/>
            </w:r>
            <w:r w:rsidR="0021215A" w:rsidRPr="00A13E6C">
              <w:rPr>
                <w:webHidden/>
              </w:rPr>
              <w:fldChar w:fldCharType="begin"/>
            </w:r>
            <w:r w:rsidR="0021215A" w:rsidRPr="00A13E6C">
              <w:rPr>
                <w:webHidden/>
              </w:rPr>
              <w:instrText xml:space="preserve"> PAGEREF _Toc62650374 \h </w:instrText>
            </w:r>
            <w:r w:rsidR="0021215A" w:rsidRPr="00A13E6C">
              <w:rPr>
                <w:webHidden/>
              </w:rPr>
            </w:r>
            <w:r w:rsidR="0021215A" w:rsidRPr="00A13E6C">
              <w:rPr>
                <w:webHidden/>
              </w:rPr>
              <w:fldChar w:fldCharType="separate"/>
            </w:r>
            <w:r w:rsidR="00A22B54">
              <w:rPr>
                <w:webHidden/>
              </w:rPr>
              <w:t>187</w:t>
            </w:r>
            <w:r w:rsidR="0021215A" w:rsidRPr="00A13E6C">
              <w:rPr>
                <w:webHidden/>
              </w:rPr>
              <w:fldChar w:fldCharType="end"/>
            </w:r>
          </w:hyperlink>
        </w:p>
        <w:p w14:paraId="12DFA7AE" w14:textId="0959C064" w:rsidR="00F74BC7" w:rsidRPr="000E5A5F" w:rsidRDefault="0021215A" w:rsidP="00AE5853">
          <w:pPr>
            <w:sectPr w:rsidR="00F74BC7" w:rsidRPr="000E5A5F" w:rsidSect="00622805">
              <w:pgSz w:w="11906" w:h="16838"/>
              <w:pgMar w:top="1361" w:right="1361" w:bottom="1361" w:left="1361" w:header="709" w:footer="709" w:gutter="0"/>
              <w:cols w:space="708"/>
              <w:docGrid w:linePitch="360"/>
            </w:sectPr>
          </w:pPr>
          <w:r>
            <w:rPr>
              <w:rFonts w:eastAsiaTheme="majorEastAsia" w:cstheme="minorHAnsi"/>
              <w:b/>
              <w:bCs/>
              <w:noProof/>
              <w:sz w:val="24"/>
              <w:szCs w:val="24"/>
            </w:rPr>
            <w:fldChar w:fldCharType="end"/>
          </w:r>
        </w:p>
      </w:sdtContent>
    </w:sdt>
    <w:p w14:paraId="79E540EB" w14:textId="77B59E80" w:rsidR="000E49EA" w:rsidRPr="000E49EA" w:rsidRDefault="000E49EA" w:rsidP="000E49EA">
      <w:pPr>
        <w:pStyle w:val="Heading1"/>
        <w:rPr>
          <w:rStyle w:val="normaltextrun"/>
        </w:rPr>
      </w:pPr>
      <w:bookmarkStart w:id="9" w:name="_Toc62650220"/>
      <w:r w:rsidRPr="000E49EA">
        <w:rPr>
          <w:rStyle w:val="normaltextrun"/>
        </w:rPr>
        <w:lastRenderedPageBreak/>
        <w:t>Vision</w:t>
      </w:r>
      <w:bookmarkEnd w:id="9"/>
    </w:p>
    <w:bookmarkEnd w:id="6"/>
    <w:p w14:paraId="15C3D4DD" w14:textId="6BB45B45" w:rsidR="682A1008" w:rsidRDefault="002F4D6C" w:rsidP="460FAD42">
      <w:pPr>
        <w:spacing w:line="257" w:lineRule="auto"/>
        <w:rPr>
          <w:rFonts w:ascii="Calibri" w:eastAsia="Calibri" w:hAnsi="Calibri" w:cs="Calibri"/>
        </w:rPr>
      </w:pPr>
      <w:r>
        <w:rPr>
          <w:rFonts w:ascii="Calibri" w:eastAsia="Calibri" w:hAnsi="Calibri" w:cs="Calibri"/>
        </w:rPr>
        <w:t>The Climate Change Commission’s</w:t>
      </w:r>
      <w:r w:rsidR="00211B0D">
        <w:rPr>
          <w:rFonts w:ascii="Calibri" w:eastAsia="Calibri" w:hAnsi="Calibri" w:cs="Calibri"/>
        </w:rPr>
        <w:t xml:space="preserve"> v</w:t>
      </w:r>
      <w:r w:rsidR="009B6620">
        <w:rPr>
          <w:rFonts w:ascii="Calibri" w:eastAsia="Calibri" w:hAnsi="Calibri" w:cs="Calibri"/>
        </w:rPr>
        <w:t>ision</w:t>
      </w:r>
      <w:r w:rsidR="00003B97">
        <w:rPr>
          <w:rFonts w:ascii="Calibri" w:eastAsia="Calibri" w:hAnsi="Calibri" w:cs="Calibri"/>
        </w:rPr>
        <w:t xml:space="preserve"> </w:t>
      </w:r>
      <w:r w:rsidR="00211B0D">
        <w:rPr>
          <w:rFonts w:ascii="Calibri" w:eastAsia="Calibri" w:hAnsi="Calibri" w:cs="Calibri"/>
        </w:rPr>
        <w:t xml:space="preserve">is </w:t>
      </w:r>
      <w:r w:rsidR="00003B97">
        <w:rPr>
          <w:rFonts w:ascii="Calibri" w:eastAsia="Calibri" w:hAnsi="Calibri" w:cs="Calibri"/>
        </w:rPr>
        <w:t>of</w:t>
      </w:r>
      <w:r w:rsidR="682A1008" w:rsidRPr="460FAD42">
        <w:rPr>
          <w:rFonts w:ascii="Calibri" w:eastAsia="Calibri" w:hAnsi="Calibri" w:cs="Calibri"/>
        </w:rPr>
        <w:t xml:space="preserve"> a thriving, climate-resilient and low emissions Aotearoa</w:t>
      </w:r>
      <w:r w:rsidR="002262E4" w:rsidRPr="002262E4">
        <w:rPr>
          <w:rStyle w:val="normaltextrun"/>
          <w:rFonts w:ascii="Calibri" w:hAnsi="Calibri" w:cs="Calibri"/>
          <w:color w:val="000000"/>
          <w:shd w:val="clear" w:color="auto" w:fill="FFFFFF"/>
        </w:rPr>
        <w:t xml:space="preserve"> </w:t>
      </w:r>
      <w:r w:rsidR="002262E4">
        <w:rPr>
          <w:rStyle w:val="normaltextrun"/>
          <w:rFonts w:ascii="Calibri" w:hAnsi="Calibri" w:cs="Calibri"/>
          <w:color w:val="000000"/>
          <w:shd w:val="clear" w:color="auto" w:fill="FFFFFF"/>
        </w:rPr>
        <w:t>where our children thrive</w:t>
      </w:r>
      <w:r w:rsidR="682A1008" w:rsidRPr="460FAD42">
        <w:rPr>
          <w:rFonts w:ascii="Calibri" w:eastAsia="Calibri" w:hAnsi="Calibri" w:cs="Calibri"/>
        </w:rPr>
        <w:t xml:space="preserve">. </w:t>
      </w:r>
    </w:p>
    <w:p w14:paraId="11DEDC5B" w14:textId="04BA80AA" w:rsidR="006658CD" w:rsidRDefault="00F23DAC" w:rsidP="460FAD42">
      <w:pPr>
        <w:spacing w:line="257" w:lineRule="auto"/>
        <w:rPr>
          <w:rFonts w:ascii="Calibri" w:eastAsia="Calibri" w:hAnsi="Calibri" w:cs="Calibri"/>
        </w:rPr>
      </w:pPr>
      <w:r w:rsidRPr="2CDCF35E">
        <w:rPr>
          <w:rStyle w:val="normaltextrun"/>
          <w:rFonts w:ascii="Calibri" w:hAnsi="Calibri" w:cs="Calibri"/>
          <w:color w:val="000000" w:themeColor="text1"/>
        </w:rPr>
        <w:t>Th</w:t>
      </w:r>
      <w:r w:rsidR="00211B0D" w:rsidRPr="2CDCF35E">
        <w:rPr>
          <w:rStyle w:val="normaltextrun"/>
          <w:rFonts w:ascii="Calibri" w:hAnsi="Calibri" w:cs="Calibri"/>
          <w:color w:val="000000" w:themeColor="text1"/>
        </w:rPr>
        <w:t>i</w:t>
      </w:r>
      <w:r w:rsidR="00662C0F" w:rsidRPr="2CDCF35E">
        <w:rPr>
          <w:rStyle w:val="normaltextrun"/>
          <w:rFonts w:ascii="Calibri" w:hAnsi="Calibri" w:cs="Calibri"/>
          <w:color w:val="000000" w:themeColor="text1"/>
        </w:rPr>
        <w:t xml:space="preserve">s </w:t>
      </w:r>
      <w:r w:rsidR="009269D6" w:rsidRPr="2CDCF35E">
        <w:rPr>
          <w:rStyle w:val="normaltextrun"/>
          <w:rFonts w:ascii="Calibri" w:hAnsi="Calibri" w:cs="Calibri"/>
          <w:color w:val="000000" w:themeColor="text1"/>
        </w:rPr>
        <w:t>future for Aotearoa</w:t>
      </w:r>
      <w:r w:rsidRPr="2CDCF35E">
        <w:rPr>
          <w:rStyle w:val="normaltextrun"/>
          <w:rFonts w:ascii="Calibri" w:hAnsi="Calibri" w:cs="Calibri"/>
          <w:color w:val="000000" w:themeColor="text1"/>
        </w:rPr>
        <w:t xml:space="preserve"> is equitable and inclusive, protects livelihoods</w:t>
      </w:r>
      <w:r w:rsidR="002262E4" w:rsidRPr="2CDCF35E">
        <w:rPr>
          <w:rStyle w:val="normaltextrun"/>
          <w:rFonts w:ascii="Calibri" w:hAnsi="Calibri" w:cs="Calibri"/>
          <w:color w:val="000000" w:themeColor="text1"/>
        </w:rPr>
        <w:t xml:space="preserve"> and</w:t>
      </w:r>
      <w:r w:rsidRPr="2CDCF35E">
        <w:rPr>
          <w:rStyle w:val="normaltextrun"/>
          <w:rFonts w:ascii="Calibri" w:hAnsi="Calibri" w:cs="Calibri"/>
          <w:color w:val="000000" w:themeColor="text1"/>
        </w:rPr>
        <w:t xml:space="preserve"> makes economic sense</w:t>
      </w:r>
      <w:r w:rsidR="002262E4" w:rsidRPr="2CDCF35E">
        <w:rPr>
          <w:rStyle w:val="normaltextrun"/>
          <w:rFonts w:ascii="Calibri" w:hAnsi="Calibri" w:cs="Calibri"/>
          <w:color w:val="000000" w:themeColor="text1"/>
        </w:rPr>
        <w:t xml:space="preserve">. </w:t>
      </w:r>
      <w:r w:rsidR="00DF2188">
        <w:rPr>
          <w:rFonts w:ascii="Calibri" w:eastAsia="Calibri" w:hAnsi="Calibri" w:cs="Calibri"/>
        </w:rPr>
        <w:t>It</w:t>
      </w:r>
      <w:r w:rsidR="00885EAA">
        <w:rPr>
          <w:rFonts w:ascii="Calibri" w:eastAsia="Calibri" w:hAnsi="Calibri" w:cs="Calibri"/>
        </w:rPr>
        <w:t xml:space="preserve"> i</w:t>
      </w:r>
      <w:r w:rsidR="00DF2188">
        <w:rPr>
          <w:rFonts w:ascii="Calibri" w:eastAsia="Calibri" w:hAnsi="Calibri" w:cs="Calibri"/>
        </w:rPr>
        <w:t>s also a</w:t>
      </w:r>
      <w:r w:rsidR="42414004">
        <w:rPr>
          <w:rFonts w:ascii="Calibri" w:eastAsia="Calibri" w:hAnsi="Calibri" w:cs="Calibri"/>
        </w:rPr>
        <w:t xml:space="preserve"> future</w:t>
      </w:r>
      <w:r w:rsidR="00DF2188">
        <w:rPr>
          <w:rFonts w:ascii="Calibri" w:eastAsia="Calibri" w:hAnsi="Calibri" w:cs="Calibri"/>
        </w:rPr>
        <w:t xml:space="preserve"> </w:t>
      </w:r>
      <w:r w:rsidR="003C6374">
        <w:rPr>
          <w:rFonts w:ascii="Calibri" w:eastAsia="Calibri" w:hAnsi="Calibri" w:cs="Calibri"/>
        </w:rPr>
        <w:t xml:space="preserve">that </w:t>
      </w:r>
      <w:r w:rsidR="42414004">
        <w:rPr>
          <w:rFonts w:ascii="Calibri" w:eastAsia="Calibri" w:hAnsi="Calibri" w:cs="Calibri"/>
        </w:rPr>
        <w:t xml:space="preserve">is </w:t>
      </w:r>
      <w:r w:rsidR="42414004" w:rsidRPr="48FDCAA4">
        <w:rPr>
          <w:rFonts w:ascii="Calibri" w:eastAsia="Calibri" w:hAnsi="Calibri" w:cs="Calibri"/>
        </w:rPr>
        <w:t>possible if we take</w:t>
      </w:r>
      <w:r w:rsidR="009D718B">
        <w:rPr>
          <w:rFonts w:ascii="Calibri" w:eastAsia="Calibri" w:hAnsi="Calibri" w:cs="Calibri"/>
        </w:rPr>
        <w:t xml:space="preserve"> opportunities </w:t>
      </w:r>
      <w:r w:rsidR="000B69EE">
        <w:rPr>
          <w:rFonts w:ascii="Calibri" w:eastAsia="Calibri" w:hAnsi="Calibri" w:cs="Calibri"/>
        </w:rPr>
        <w:t xml:space="preserve">to </w:t>
      </w:r>
      <w:r w:rsidR="00CB0FF0">
        <w:rPr>
          <w:rFonts w:ascii="Calibri" w:eastAsia="Calibri" w:hAnsi="Calibri" w:cs="Calibri"/>
        </w:rPr>
        <w:t>evolve</w:t>
      </w:r>
      <w:r w:rsidR="005D4545">
        <w:rPr>
          <w:rFonts w:ascii="Calibri" w:eastAsia="Calibri" w:hAnsi="Calibri" w:cs="Calibri"/>
        </w:rPr>
        <w:t xml:space="preserve"> </w:t>
      </w:r>
      <w:r w:rsidR="00CB0FF0">
        <w:rPr>
          <w:rFonts w:ascii="Calibri" w:eastAsia="Calibri" w:hAnsi="Calibri" w:cs="Calibri"/>
        </w:rPr>
        <w:t xml:space="preserve">and </w:t>
      </w:r>
      <w:r w:rsidR="001309E8">
        <w:rPr>
          <w:rFonts w:ascii="Calibri" w:eastAsia="Calibri" w:hAnsi="Calibri" w:cs="Calibri"/>
        </w:rPr>
        <w:t>change</w:t>
      </w:r>
      <w:r w:rsidR="00897688">
        <w:rPr>
          <w:rFonts w:ascii="Calibri" w:eastAsia="Calibri" w:hAnsi="Calibri" w:cs="Calibri"/>
        </w:rPr>
        <w:t xml:space="preserve">. </w:t>
      </w:r>
    </w:p>
    <w:p w14:paraId="1BCAEC65" w14:textId="626E0367" w:rsidR="00AE1D32" w:rsidRDefault="00AE1D32" w:rsidP="00AE1D32">
      <w:pPr>
        <w:spacing w:line="257" w:lineRule="auto"/>
      </w:pPr>
      <w:r>
        <w:rPr>
          <w:rFonts w:ascii="Calibri" w:eastAsia="Calibri" w:hAnsi="Calibri" w:cs="Calibri"/>
          <w:color w:val="000000" w:themeColor="text1"/>
        </w:rPr>
        <w:t>It</w:t>
      </w:r>
      <w:r w:rsidR="00885EAA">
        <w:rPr>
          <w:rFonts w:ascii="Calibri" w:eastAsia="Calibri" w:hAnsi="Calibri" w:cs="Calibri"/>
          <w:color w:val="000000" w:themeColor="text1"/>
        </w:rPr>
        <w:t xml:space="preserve"> i</w:t>
      </w:r>
      <w:r>
        <w:rPr>
          <w:rFonts w:ascii="Calibri" w:eastAsia="Calibri" w:hAnsi="Calibri" w:cs="Calibri"/>
          <w:color w:val="000000" w:themeColor="text1"/>
        </w:rPr>
        <w:t>s a country</w:t>
      </w:r>
      <w:r w:rsidRPr="00C374E3">
        <w:rPr>
          <w:rFonts w:ascii="Calibri" w:eastAsia="Calibri" w:hAnsi="Calibri" w:cs="Calibri"/>
          <w:color w:val="000000" w:themeColor="text1"/>
        </w:rPr>
        <w:t xml:space="preserve"> where people are </w:t>
      </w:r>
      <w:r>
        <w:rPr>
          <w:rFonts w:ascii="Calibri" w:eastAsia="Calibri" w:hAnsi="Calibri" w:cs="Calibri"/>
          <w:color w:val="000000" w:themeColor="text1"/>
        </w:rPr>
        <w:t xml:space="preserve">respected </w:t>
      </w:r>
      <w:r w:rsidRPr="00C374E3">
        <w:rPr>
          <w:rFonts w:ascii="Calibri" w:eastAsia="Calibri" w:hAnsi="Calibri" w:cs="Calibri"/>
          <w:color w:val="000000" w:themeColor="text1"/>
        </w:rPr>
        <w:t xml:space="preserve">stewards of the land. </w:t>
      </w:r>
      <w:r w:rsidRPr="16E70D70">
        <w:rPr>
          <w:rFonts w:ascii="Calibri" w:eastAsia="Calibri" w:hAnsi="Calibri" w:cs="Calibri"/>
          <w:color w:val="000000" w:themeColor="text1"/>
        </w:rPr>
        <w:t>W</w:t>
      </w:r>
      <w:r w:rsidR="0093385A">
        <w:rPr>
          <w:rFonts w:ascii="Calibri" w:eastAsia="Calibri" w:hAnsi="Calibri" w:cs="Calibri"/>
          <w:color w:val="000000" w:themeColor="text1"/>
        </w:rPr>
        <w:t>here</w:t>
      </w:r>
      <w:r>
        <w:rPr>
          <w:rFonts w:ascii="Calibri" w:eastAsia="Calibri" w:hAnsi="Calibri" w:cs="Calibri"/>
          <w:color w:val="000000" w:themeColor="text1"/>
        </w:rPr>
        <w:t xml:space="preserve"> </w:t>
      </w:r>
      <w:r w:rsidR="003568D1">
        <w:rPr>
          <w:rFonts w:ascii="Calibri" w:eastAsia="Calibri" w:hAnsi="Calibri" w:cs="Calibri"/>
          <w:color w:val="000000" w:themeColor="text1"/>
        </w:rPr>
        <w:t xml:space="preserve">an </w:t>
      </w:r>
      <w:r>
        <w:rPr>
          <w:rFonts w:ascii="Calibri" w:eastAsia="Calibri" w:hAnsi="Calibri" w:cs="Calibri"/>
          <w:color w:val="000000" w:themeColor="text1"/>
        </w:rPr>
        <w:t>innovative and resilient</w:t>
      </w:r>
      <w:r w:rsidRPr="00C374E3">
        <w:rPr>
          <w:rFonts w:ascii="Calibri" w:eastAsia="Calibri" w:hAnsi="Calibri" w:cs="Calibri"/>
          <w:color w:val="000000" w:themeColor="text1"/>
        </w:rPr>
        <w:t xml:space="preserve"> food and fibre sector succeed</w:t>
      </w:r>
      <w:r w:rsidR="003568D1">
        <w:rPr>
          <w:rFonts w:ascii="Calibri" w:eastAsia="Calibri" w:hAnsi="Calibri" w:cs="Calibri"/>
          <w:color w:val="000000" w:themeColor="text1"/>
        </w:rPr>
        <w:t>s</w:t>
      </w:r>
      <w:r w:rsidRPr="00C374E3">
        <w:rPr>
          <w:rFonts w:ascii="Calibri" w:eastAsia="Calibri" w:hAnsi="Calibri" w:cs="Calibri"/>
          <w:color w:val="000000" w:themeColor="text1"/>
        </w:rPr>
        <w:t xml:space="preserve"> in a low emissions world</w:t>
      </w:r>
      <w:r>
        <w:rPr>
          <w:rFonts w:ascii="Calibri" w:eastAsia="Calibri" w:hAnsi="Calibri" w:cs="Calibri"/>
          <w:color w:val="000000" w:themeColor="text1"/>
        </w:rPr>
        <w:t xml:space="preserve">. </w:t>
      </w:r>
      <w:r w:rsidR="003C55F9" w:rsidRPr="16E70D70">
        <w:rPr>
          <w:rFonts w:ascii="Calibri" w:eastAsia="Calibri" w:hAnsi="Calibri" w:cs="Calibri"/>
          <w:color w:val="000000" w:themeColor="text1"/>
        </w:rPr>
        <w:t>Where</w:t>
      </w:r>
      <w:r w:rsidRPr="00C374E3">
        <w:rPr>
          <w:rFonts w:ascii="Calibri" w:eastAsia="Calibri" w:hAnsi="Calibri" w:cs="Calibri"/>
          <w:color w:val="000000" w:themeColor="text1"/>
        </w:rPr>
        <w:t xml:space="preserve"> abundant native bush stores carbon </w:t>
      </w:r>
      <w:r w:rsidR="4ACC7EE8" w:rsidRPr="16E70D70">
        <w:rPr>
          <w:rFonts w:ascii="Calibri" w:eastAsia="Calibri" w:hAnsi="Calibri" w:cs="Calibri"/>
          <w:color w:val="000000" w:themeColor="text1"/>
        </w:rPr>
        <w:t>and</w:t>
      </w:r>
      <w:r w:rsidR="4ACC7EE8" w:rsidRPr="33BD5D92">
        <w:rPr>
          <w:rFonts w:ascii="Calibri" w:eastAsia="Calibri" w:hAnsi="Calibri" w:cs="Calibri"/>
          <w:color w:val="000000" w:themeColor="text1"/>
        </w:rPr>
        <w:t xml:space="preserve"> is home to</w:t>
      </w:r>
      <w:r w:rsidR="34D6FACA" w:rsidRPr="33BD5D92">
        <w:rPr>
          <w:rFonts w:ascii="Calibri" w:eastAsia="Calibri" w:hAnsi="Calibri" w:cs="Calibri"/>
          <w:color w:val="000000" w:themeColor="text1"/>
        </w:rPr>
        <w:t xml:space="preserve"> native</w:t>
      </w:r>
      <w:r w:rsidRPr="00C374E3">
        <w:rPr>
          <w:rFonts w:ascii="Calibri" w:eastAsia="Calibri" w:hAnsi="Calibri" w:cs="Calibri"/>
          <w:color w:val="000000" w:themeColor="text1"/>
        </w:rPr>
        <w:t xml:space="preserve"> birds and plants. Where our plantation forests support a flourishing bio economy, </w:t>
      </w:r>
      <w:r w:rsidR="008F5C44">
        <w:rPr>
          <w:rFonts w:ascii="Calibri" w:eastAsia="Calibri" w:hAnsi="Calibri" w:cs="Calibri"/>
          <w:color w:val="000000" w:themeColor="text1"/>
        </w:rPr>
        <w:t>enabling</w:t>
      </w:r>
      <w:r w:rsidR="008F5C44" w:rsidRPr="00C374E3">
        <w:rPr>
          <w:rFonts w:ascii="Calibri" w:eastAsia="Calibri" w:hAnsi="Calibri" w:cs="Calibri"/>
          <w:color w:val="000000" w:themeColor="text1"/>
        </w:rPr>
        <w:t xml:space="preserve"> </w:t>
      </w:r>
      <w:r w:rsidRPr="00C374E3">
        <w:rPr>
          <w:rFonts w:ascii="Calibri" w:eastAsia="Calibri" w:hAnsi="Calibri" w:cs="Calibri"/>
          <w:color w:val="000000" w:themeColor="text1"/>
        </w:rPr>
        <w:t>low emission</w:t>
      </w:r>
      <w:r>
        <w:rPr>
          <w:rFonts w:ascii="Calibri" w:eastAsia="Calibri" w:hAnsi="Calibri" w:cs="Calibri"/>
          <w:color w:val="000000" w:themeColor="text1"/>
        </w:rPr>
        <w:t>s</w:t>
      </w:r>
      <w:r w:rsidRPr="00C374E3">
        <w:rPr>
          <w:rFonts w:ascii="Calibri" w:eastAsia="Calibri" w:hAnsi="Calibri" w:cs="Calibri"/>
          <w:color w:val="000000" w:themeColor="text1"/>
        </w:rPr>
        <w:t xml:space="preserve"> construction,</w:t>
      </w:r>
      <w:r>
        <w:rPr>
          <w:rFonts w:ascii="Calibri" w:eastAsia="Calibri" w:hAnsi="Calibri" w:cs="Calibri"/>
          <w:color w:val="000000" w:themeColor="text1"/>
        </w:rPr>
        <w:t xml:space="preserve"> materials</w:t>
      </w:r>
      <w:r w:rsidRPr="00C374E3">
        <w:rPr>
          <w:rFonts w:ascii="Calibri" w:eastAsia="Calibri" w:hAnsi="Calibri" w:cs="Calibri"/>
          <w:color w:val="000000" w:themeColor="text1"/>
        </w:rPr>
        <w:t xml:space="preserve"> and energy. </w:t>
      </w:r>
    </w:p>
    <w:p w14:paraId="576463F0" w14:textId="25706377" w:rsidR="682A1008" w:rsidRPr="00C374E3" w:rsidRDefault="00DE0242" w:rsidP="460FAD42">
      <w:pPr>
        <w:spacing w:line="257" w:lineRule="auto"/>
        <w:rPr>
          <w:rFonts w:ascii="Calibri" w:eastAsia="Calibri" w:hAnsi="Calibri" w:cs="Calibri"/>
          <w:color w:val="000000" w:themeColor="text1"/>
        </w:rPr>
      </w:pPr>
      <w:r>
        <w:rPr>
          <w:rFonts w:ascii="Calibri" w:eastAsia="Calibri" w:hAnsi="Calibri" w:cs="Calibri"/>
        </w:rPr>
        <w:t>It</w:t>
      </w:r>
      <w:r w:rsidR="00C132AF">
        <w:rPr>
          <w:rFonts w:ascii="Calibri" w:eastAsia="Calibri" w:hAnsi="Calibri" w:cs="Calibri"/>
        </w:rPr>
        <w:t xml:space="preserve"> is</w:t>
      </w:r>
      <w:r w:rsidR="682A1008">
        <w:rPr>
          <w:rFonts w:ascii="Calibri" w:eastAsia="Calibri" w:hAnsi="Calibri" w:cs="Calibri"/>
        </w:rPr>
        <w:t xml:space="preserve"> an Aotearoa where</w:t>
      </w:r>
      <w:r w:rsidR="682A1008" w:rsidRPr="460FAD42">
        <w:rPr>
          <w:rFonts w:ascii="Calibri" w:eastAsia="Calibri" w:hAnsi="Calibri" w:cs="Calibri"/>
        </w:rPr>
        <w:t xml:space="preserve"> </w:t>
      </w:r>
      <w:r w:rsidR="682A1008" w:rsidRPr="00C374E3">
        <w:rPr>
          <w:rFonts w:ascii="Calibri" w:eastAsia="Calibri" w:hAnsi="Calibri" w:cs="Calibri"/>
          <w:color w:val="000000" w:themeColor="text1"/>
        </w:rPr>
        <w:t>cities and towns</w:t>
      </w:r>
      <w:r w:rsidR="682A1008">
        <w:rPr>
          <w:rFonts w:ascii="Calibri" w:eastAsia="Calibri" w:hAnsi="Calibri" w:cs="Calibri"/>
          <w:color w:val="000000" w:themeColor="text1"/>
        </w:rPr>
        <w:t xml:space="preserve"> </w:t>
      </w:r>
      <w:r w:rsidR="682A1008" w:rsidRPr="00C374E3">
        <w:rPr>
          <w:rFonts w:ascii="Calibri" w:eastAsia="Calibri" w:hAnsi="Calibri" w:cs="Calibri"/>
          <w:color w:val="000000" w:themeColor="text1"/>
        </w:rPr>
        <w:t xml:space="preserve">are created around people and supported by low emissions transport that is accessible </w:t>
      </w:r>
      <w:r w:rsidR="0E23676B" w:rsidRPr="02E4AC7D">
        <w:rPr>
          <w:rFonts w:ascii="Calibri" w:eastAsia="Calibri" w:hAnsi="Calibri" w:cs="Calibri"/>
          <w:color w:val="000000" w:themeColor="text1"/>
        </w:rPr>
        <w:t xml:space="preserve">to everyone </w:t>
      </w:r>
      <w:r w:rsidR="06D69D36" w:rsidRPr="02E4AC7D">
        <w:rPr>
          <w:rFonts w:ascii="Calibri" w:eastAsia="Calibri" w:hAnsi="Calibri" w:cs="Calibri"/>
          <w:color w:val="000000" w:themeColor="text1"/>
        </w:rPr>
        <w:t>equally.</w:t>
      </w:r>
      <w:r w:rsidR="018A2C71" w:rsidRPr="16E70D70">
        <w:rPr>
          <w:rFonts w:ascii="Calibri" w:eastAsia="Calibri" w:hAnsi="Calibri" w:cs="Calibri"/>
          <w:color w:val="000000" w:themeColor="text1"/>
        </w:rPr>
        <w:t xml:space="preserve"> </w:t>
      </w:r>
      <w:r w:rsidR="7E8AF264" w:rsidRPr="16E70D70">
        <w:rPr>
          <w:rFonts w:ascii="Calibri" w:eastAsia="Calibri" w:hAnsi="Calibri" w:cs="Calibri"/>
          <w:color w:val="000000" w:themeColor="text1"/>
        </w:rPr>
        <w:t xml:space="preserve">Where </w:t>
      </w:r>
      <w:r w:rsidR="12BA1DA3" w:rsidRPr="16E70D70">
        <w:rPr>
          <w:rFonts w:ascii="Calibri" w:eastAsia="Calibri" w:hAnsi="Calibri" w:cs="Calibri"/>
          <w:color w:val="000000" w:themeColor="text1"/>
        </w:rPr>
        <w:t>strong local</w:t>
      </w:r>
      <w:r w:rsidR="00695D88">
        <w:rPr>
          <w:rFonts w:ascii="Calibri" w:eastAsia="Calibri" w:hAnsi="Calibri" w:cs="Calibri"/>
          <w:color w:val="000000" w:themeColor="text1"/>
        </w:rPr>
        <w:t xml:space="preserve"> </w:t>
      </w:r>
      <w:r w:rsidR="00695D88" w:rsidRPr="00C374E3">
        <w:rPr>
          <w:rFonts w:ascii="Calibri" w:eastAsia="Calibri" w:hAnsi="Calibri" w:cs="Calibri"/>
          <w:color w:val="000000" w:themeColor="text1"/>
        </w:rPr>
        <w:t>businesses</w:t>
      </w:r>
      <w:r w:rsidR="00695D88">
        <w:rPr>
          <w:rFonts w:ascii="Calibri" w:eastAsia="Calibri" w:hAnsi="Calibri" w:cs="Calibri"/>
          <w:color w:val="000000" w:themeColor="text1"/>
        </w:rPr>
        <w:t xml:space="preserve"> </w:t>
      </w:r>
      <w:r w:rsidR="00695D88" w:rsidRPr="00C374E3">
        <w:rPr>
          <w:rFonts w:ascii="Calibri" w:eastAsia="Calibri" w:hAnsi="Calibri" w:cs="Calibri"/>
          <w:color w:val="000000" w:themeColor="text1"/>
        </w:rPr>
        <w:t xml:space="preserve">produce low emissions, high-value products </w:t>
      </w:r>
      <w:r w:rsidR="00695D88">
        <w:rPr>
          <w:rFonts w:ascii="Calibri" w:eastAsia="Calibri" w:hAnsi="Calibri" w:cs="Calibri"/>
          <w:color w:val="000000" w:themeColor="text1"/>
        </w:rPr>
        <w:t xml:space="preserve">that are in demand </w:t>
      </w:r>
      <w:r w:rsidR="00530E83">
        <w:rPr>
          <w:rFonts w:ascii="Calibri" w:eastAsia="Calibri" w:hAnsi="Calibri" w:cs="Calibri"/>
          <w:color w:val="000000" w:themeColor="text1"/>
        </w:rPr>
        <w:t xml:space="preserve">locally and </w:t>
      </w:r>
      <w:r w:rsidR="00695D88">
        <w:rPr>
          <w:rFonts w:ascii="Calibri" w:eastAsia="Calibri" w:hAnsi="Calibri" w:cs="Calibri"/>
          <w:color w:val="000000" w:themeColor="text1"/>
        </w:rPr>
        <w:t xml:space="preserve">globally. Where </w:t>
      </w:r>
      <w:r w:rsidR="002A1E30">
        <w:rPr>
          <w:rFonts w:ascii="Calibri" w:eastAsia="Calibri" w:hAnsi="Calibri" w:cs="Calibri"/>
          <w:color w:val="000000" w:themeColor="text1"/>
        </w:rPr>
        <w:t xml:space="preserve">employers are successful and can </w:t>
      </w:r>
      <w:r w:rsidR="005E5B45">
        <w:rPr>
          <w:rFonts w:ascii="Calibri" w:eastAsia="Calibri" w:hAnsi="Calibri" w:cs="Calibri"/>
          <w:color w:val="000000" w:themeColor="text1"/>
        </w:rPr>
        <w:t xml:space="preserve">support </w:t>
      </w:r>
      <w:r w:rsidR="00453198">
        <w:rPr>
          <w:rFonts w:ascii="Calibri" w:eastAsia="Calibri" w:hAnsi="Calibri" w:cs="Calibri"/>
          <w:color w:val="000000" w:themeColor="text1"/>
        </w:rPr>
        <w:t xml:space="preserve">themselves and </w:t>
      </w:r>
      <w:r w:rsidR="0062179C">
        <w:rPr>
          <w:rFonts w:ascii="Calibri" w:eastAsia="Calibri" w:hAnsi="Calibri" w:cs="Calibri"/>
          <w:color w:val="000000" w:themeColor="text1"/>
        </w:rPr>
        <w:t xml:space="preserve">their employees in the transition to climate-resilience. </w:t>
      </w:r>
      <w:r w:rsidR="00FC5E52">
        <w:rPr>
          <w:rFonts w:ascii="Calibri" w:eastAsia="Calibri" w:hAnsi="Calibri" w:cs="Calibri"/>
          <w:color w:val="000000" w:themeColor="text1"/>
        </w:rPr>
        <w:t xml:space="preserve">Where </w:t>
      </w:r>
      <w:r w:rsidR="00FC5E52">
        <w:t xml:space="preserve">everyone </w:t>
      </w:r>
      <w:r w:rsidR="75D36050">
        <w:t xml:space="preserve">lives in </w:t>
      </w:r>
      <w:r w:rsidR="00207061">
        <w:t>warm</w:t>
      </w:r>
      <w:r w:rsidR="00FC5E52">
        <w:t>, healthy, low</w:t>
      </w:r>
      <w:r w:rsidR="00F62325">
        <w:t xml:space="preserve"> </w:t>
      </w:r>
      <w:r w:rsidR="00FC5E52">
        <w:t>emitting home</w:t>
      </w:r>
      <w:r w:rsidR="00F218A0">
        <w:t>s</w:t>
      </w:r>
      <w:r w:rsidR="00511CD8">
        <w:t>.</w:t>
      </w:r>
      <w:r w:rsidR="00695D88">
        <w:t xml:space="preserve"> Where urban </w:t>
      </w:r>
      <w:r w:rsidR="42647A4F">
        <w:t>form</w:t>
      </w:r>
      <w:r w:rsidR="00695D88">
        <w:t xml:space="preserve"> encourages cycling and walking</w:t>
      </w:r>
      <w:r w:rsidR="0062179C">
        <w:t>,</w:t>
      </w:r>
      <w:r w:rsidR="00695D88">
        <w:t xml:space="preserve"> alongside efficient</w:t>
      </w:r>
      <w:r w:rsidR="001230BB">
        <w:t>,</w:t>
      </w:r>
      <w:r w:rsidR="00695D88">
        <w:t xml:space="preserve"> </w:t>
      </w:r>
      <w:r w:rsidR="587BA289">
        <w:t>affordable</w:t>
      </w:r>
      <w:r w:rsidR="00695D88">
        <w:t xml:space="preserve"> </w:t>
      </w:r>
      <w:r w:rsidR="001230BB">
        <w:t xml:space="preserve">and interconnected </w:t>
      </w:r>
      <w:r w:rsidR="00695D88">
        <w:t>public transport</w:t>
      </w:r>
      <w:r w:rsidR="00DA479C">
        <w:t xml:space="preserve"> networks</w:t>
      </w:r>
      <w:r w:rsidR="00695D88">
        <w:t>.</w:t>
      </w:r>
      <w:r w:rsidR="682A1008" w:rsidRPr="00C374E3">
        <w:rPr>
          <w:rFonts w:ascii="Calibri" w:eastAsia="Calibri" w:hAnsi="Calibri" w:cs="Calibri"/>
          <w:color w:val="000000" w:themeColor="text1"/>
        </w:rPr>
        <w:t xml:space="preserve"> </w:t>
      </w:r>
    </w:p>
    <w:p w14:paraId="0DB8D327" w14:textId="1E2E3CF6" w:rsidR="682A1008" w:rsidRDefault="007D39CB" w:rsidP="460FAD42">
      <w:pPr>
        <w:spacing w:line="257" w:lineRule="auto"/>
      </w:pPr>
      <w:r w:rsidRPr="16E70D70">
        <w:rPr>
          <w:rFonts w:ascii="Calibri" w:eastAsia="Calibri" w:hAnsi="Calibri" w:cs="Calibri"/>
        </w:rPr>
        <w:t>H</w:t>
      </w:r>
      <w:r w:rsidR="00DF3933" w:rsidRPr="16E70D70">
        <w:rPr>
          <w:rFonts w:ascii="Calibri" w:eastAsia="Calibri" w:hAnsi="Calibri" w:cs="Calibri"/>
        </w:rPr>
        <w:t>ydro</w:t>
      </w:r>
      <w:r w:rsidR="00DF3933">
        <w:rPr>
          <w:rFonts w:ascii="Calibri" w:eastAsia="Calibri" w:hAnsi="Calibri" w:cs="Calibri"/>
        </w:rPr>
        <w:t xml:space="preserve">, </w:t>
      </w:r>
      <w:r w:rsidR="682A1008" w:rsidRPr="00C374E3">
        <w:rPr>
          <w:rFonts w:ascii="Calibri" w:eastAsia="Calibri" w:hAnsi="Calibri" w:cs="Calibri"/>
          <w:color w:val="000000" w:themeColor="text1"/>
        </w:rPr>
        <w:t xml:space="preserve">wind, solar and geothermal energy power our country, and we </w:t>
      </w:r>
      <w:r w:rsidR="682A1008">
        <w:rPr>
          <w:rFonts w:ascii="Calibri" w:eastAsia="Calibri" w:hAnsi="Calibri" w:cs="Calibri"/>
          <w:color w:val="000000" w:themeColor="text1"/>
        </w:rPr>
        <w:t>are</w:t>
      </w:r>
      <w:r w:rsidR="682A1008" w:rsidRPr="00C374E3">
        <w:rPr>
          <w:rFonts w:ascii="Calibri" w:eastAsia="Calibri" w:hAnsi="Calibri" w:cs="Calibri"/>
          <w:color w:val="000000" w:themeColor="text1"/>
        </w:rPr>
        <w:t xml:space="preserve"> highly efficient and productive in resource</w:t>
      </w:r>
      <w:r>
        <w:rPr>
          <w:rFonts w:ascii="Calibri" w:eastAsia="Calibri" w:hAnsi="Calibri" w:cs="Calibri"/>
          <w:color w:val="000000" w:themeColor="text1"/>
        </w:rPr>
        <w:t xml:space="preserve"> </w:t>
      </w:r>
      <w:r w:rsidRPr="16E70D70">
        <w:rPr>
          <w:rFonts w:ascii="Calibri" w:eastAsia="Calibri" w:hAnsi="Calibri" w:cs="Calibri"/>
          <w:color w:val="000000" w:themeColor="text1"/>
        </w:rPr>
        <w:t>use</w:t>
      </w:r>
      <w:r w:rsidR="682A1008" w:rsidRPr="16E70D70">
        <w:rPr>
          <w:rFonts w:ascii="Calibri" w:eastAsia="Calibri" w:hAnsi="Calibri" w:cs="Calibri"/>
          <w:color w:val="000000" w:themeColor="text1"/>
        </w:rPr>
        <w:t>.</w:t>
      </w:r>
      <w:r w:rsidR="682A1008" w:rsidRPr="00C374E3">
        <w:rPr>
          <w:rFonts w:ascii="Calibri" w:eastAsia="Calibri" w:hAnsi="Calibri" w:cs="Calibri"/>
          <w:color w:val="000000" w:themeColor="text1"/>
        </w:rPr>
        <w:t xml:space="preserve"> </w:t>
      </w:r>
      <w:r w:rsidR="004C3AAF" w:rsidRPr="0096248F">
        <w:rPr>
          <w:rFonts w:ascii="Calibri" w:eastAsia="Calibri" w:hAnsi="Calibri" w:cs="Calibri"/>
          <w:color w:val="000000" w:themeColor="text1"/>
        </w:rPr>
        <w:t xml:space="preserve">Transport and industry are powered by </w:t>
      </w:r>
      <w:r w:rsidR="00A3493B" w:rsidRPr="0096248F">
        <w:rPr>
          <w:rFonts w:ascii="Calibri" w:eastAsia="Calibri" w:hAnsi="Calibri" w:cs="Calibri"/>
          <w:color w:val="000000" w:themeColor="text1"/>
        </w:rPr>
        <w:t xml:space="preserve">electricity </w:t>
      </w:r>
      <w:r w:rsidR="004C3AAF" w:rsidRPr="0096248F">
        <w:rPr>
          <w:rFonts w:ascii="Calibri" w:eastAsia="Calibri" w:hAnsi="Calibri" w:cs="Calibri"/>
          <w:color w:val="000000" w:themeColor="text1"/>
        </w:rPr>
        <w:t>and other low emissions fuels</w:t>
      </w:r>
      <w:r w:rsidR="006A2AF9" w:rsidRPr="0096248F">
        <w:rPr>
          <w:rFonts w:ascii="Calibri" w:eastAsia="Calibri" w:hAnsi="Calibri" w:cs="Calibri"/>
          <w:color w:val="000000" w:themeColor="text1"/>
        </w:rPr>
        <w:t>.</w:t>
      </w:r>
      <w:r w:rsidR="00BC26D2">
        <w:rPr>
          <w:rFonts w:ascii="Calibri" w:eastAsia="Calibri" w:hAnsi="Calibri" w:cs="Calibri"/>
          <w:color w:val="000000" w:themeColor="text1"/>
        </w:rPr>
        <w:t xml:space="preserve"> </w:t>
      </w:r>
      <w:r w:rsidR="682A1008" w:rsidRPr="00C374E3">
        <w:rPr>
          <w:rFonts w:ascii="Calibri" w:eastAsia="Calibri" w:hAnsi="Calibri" w:cs="Calibri"/>
          <w:color w:val="000000" w:themeColor="text1"/>
        </w:rPr>
        <w:t xml:space="preserve">Energy is affordable and accessible. </w:t>
      </w:r>
      <w:r w:rsidR="00EE545A">
        <w:rPr>
          <w:rFonts w:ascii="Calibri" w:eastAsia="Calibri" w:hAnsi="Calibri" w:cs="Calibri"/>
          <w:color w:val="000000" w:themeColor="text1"/>
        </w:rPr>
        <w:t>C</w:t>
      </w:r>
      <w:r w:rsidR="682A1008" w:rsidRPr="00C374E3">
        <w:rPr>
          <w:rFonts w:ascii="Calibri" w:eastAsia="Calibri" w:hAnsi="Calibri" w:cs="Calibri"/>
          <w:color w:val="000000" w:themeColor="text1"/>
        </w:rPr>
        <w:t>ommunities can generate their own electricity using low</w:t>
      </w:r>
      <w:r w:rsidR="00E42CA8" w:rsidRPr="00C374E3">
        <w:rPr>
          <w:rFonts w:ascii="Calibri" w:eastAsia="Calibri" w:hAnsi="Calibri" w:cs="Calibri"/>
          <w:color w:val="000000" w:themeColor="text1"/>
        </w:rPr>
        <w:t xml:space="preserve"> </w:t>
      </w:r>
      <w:r w:rsidR="682A1008" w:rsidRPr="00C374E3">
        <w:rPr>
          <w:rFonts w:ascii="Calibri" w:eastAsia="Calibri" w:hAnsi="Calibri" w:cs="Calibri"/>
          <w:color w:val="000000" w:themeColor="text1"/>
        </w:rPr>
        <w:t>emissions generation.</w:t>
      </w:r>
    </w:p>
    <w:p w14:paraId="4305D66B" w14:textId="39CAC5A9" w:rsidR="682A1008" w:rsidRDefault="00767501" w:rsidP="460FAD42">
      <w:pPr>
        <w:spacing w:line="257" w:lineRule="auto"/>
        <w:rPr>
          <w:rFonts w:ascii="Calibri" w:eastAsia="Calibri" w:hAnsi="Calibri" w:cs="Calibri"/>
          <w:color w:val="000000" w:themeColor="text1"/>
        </w:rPr>
      </w:pPr>
      <w:r>
        <w:rPr>
          <w:rFonts w:ascii="Calibri" w:eastAsia="Calibri" w:hAnsi="Calibri" w:cs="Calibri"/>
          <w:color w:val="000000" w:themeColor="text1"/>
        </w:rPr>
        <w:t xml:space="preserve">In our vision of the future, </w:t>
      </w:r>
      <w:r w:rsidR="682A1008" w:rsidRPr="00C374E3">
        <w:rPr>
          <w:rFonts w:ascii="Calibri" w:eastAsia="Calibri" w:hAnsi="Calibri" w:cs="Calibri"/>
          <w:color w:val="000000" w:themeColor="text1"/>
        </w:rPr>
        <w:t xml:space="preserve">Aotearoa </w:t>
      </w:r>
      <w:r w:rsidR="509A7D61" w:rsidRPr="02E4AC7D">
        <w:rPr>
          <w:rFonts w:ascii="Calibri" w:eastAsia="Calibri" w:hAnsi="Calibri" w:cs="Calibri"/>
          <w:color w:val="000000" w:themeColor="text1"/>
        </w:rPr>
        <w:t>has a circular economy and</w:t>
      </w:r>
      <w:r w:rsidR="682A1008" w:rsidRPr="02E4AC7D">
        <w:rPr>
          <w:rFonts w:ascii="Calibri" w:eastAsia="Calibri" w:hAnsi="Calibri" w:cs="Calibri"/>
          <w:color w:val="000000" w:themeColor="text1"/>
        </w:rPr>
        <w:t xml:space="preserve"> </w:t>
      </w:r>
      <w:r w:rsidR="682A1008" w:rsidRPr="00C374E3">
        <w:rPr>
          <w:rFonts w:ascii="Calibri" w:eastAsia="Calibri" w:hAnsi="Calibri" w:cs="Calibri"/>
          <w:color w:val="000000" w:themeColor="text1"/>
        </w:rPr>
        <w:t>generates very little waste</w:t>
      </w:r>
      <w:r w:rsidR="41FF713E" w:rsidRPr="43AF7B6B">
        <w:rPr>
          <w:rFonts w:ascii="Calibri" w:eastAsia="Calibri" w:hAnsi="Calibri" w:cs="Calibri"/>
          <w:color w:val="000000" w:themeColor="text1"/>
        </w:rPr>
        <w:t>.</w:t>
      </w:r>
      <w:r w:rsidR="006337E5">
        <w:rPr>
          <w:rFonts w:ascii="Calibri" w:eastAsia="Calibri" w:hAnsi="Calibri" w:cs="Calibri"/>
          <w:color w:val="000000" w:themeColor="text1"/>
        </w:rPr>
        <w:t xml:space="preserve"> </w:t>
      </w:r>
      <w:r w:rsidR="00AC46EA">
        <w:rPr>
          <w:rFonts w:ascii="Calibri" w:eastAsia="Calibri" w:hAnsi="Calibri" w:cs="Calibri"/>
          <w:color w:val="000000" w:themeColor="text1"/>
        </w:rPr>
        <w:t xml:space="preserve">The waste that we do generate is </w:t>
      </w:r>
      <w:r w:rsidR="682A1008" w:rsidRPr="00C374E3">
        <w:rPr>
          <w:rFonts w:ascii="Calibri" w:eastAsia="Calibri" w:hAnsi="Calibri" w:cs="Calibri"/>
          <w:color w:val="000000" w:themeColor="text1"/>
        </w:rPr>
        <w:t>recovered</w:t>
      </w:r>
      <w:r w:rsidR="00AC46EA">
        <w:rPr>
          <w:rFonts w:ascii="Calibri" w:eastAsia="Calibri" w:hAnsi="Calibri" w:cs="Calibri"/>
          <w:color w:val="000000" w:themeColor="text1"/>
        </w:rPr>
        <w:t xml:space="preserve">, </w:t>
      </w:r>
      <w:r w:rsidR="682A1008" w:rsidRPr="00C374E3">
        <w:rPr>
          <w:rFonts w:ascii="Calibri" w:eastAsia="Calibri" w:hAnsi="Calibri" w:cs="Calibri"/>
          <w:color w:val="000000" w:themeColor="text1"/>
        </w:rPr>
        <w:t>reused</w:t>
      </w:r>
      <w:r w:rsidR="00AC46EA">
        <w:rPr>
          <w:rFonts w:ascii="Calibri" w:eastAsia="Calibri" w:hAnsi="Calibri" w:cs="Calibri"/>
          <w:color w:val="000000" w:themeColor="text1"/>
        </w:rPr>
        <w:t xml:space="preserve"> where possible, and otherwise used to</w:t>
      </w:r>
      <w:r w:rsidR="3B1F32C8" w:rsidRPr="02E4AC7D">
        <w:rPr>
          <w:rFonts w:ascii="Calibri" w:eastAsia="Calibri" w:hAnsi="Calibri" w:cs="Calibri"/>
          <w:color w:val="000000" w:themeColor="text1"/>
        </w:rPr>
        <w:t xml:space="preserve"> </w:t>
      </w:r>
      <w:r w:rsidR="682A1008" w:rsidRPr="00C374E3">
        <w:rPr>
          <w:rFonts w:ascii="Calibri" w:eastAsia="Calibri" w:hAnsi="Calibri" w:cs="Calibri"/>
          <w:color w:val="000000" w:themeColor="text1"/>
        </w:rPr>
        <w:t>generate energy.</w:t>
      </w:r>
    </w:p>
    <w:p w14:paraId="10FFCE36" w14:textId="2B353B33" w:rsidR="002F5B51" w:rsidRDefault="3CA61440" w:rsidP="460FAD42">
      <w:pPr>
        <w:spacing w:line="257" w:lineRule="auto"/>
        <w:rPr>
          <w:rFonts w:ascii="Calibri" w:eastAsia="Calibri" w:hAnsi="Calibri" w:cs="Calibri"/>
        </w:rPr>
      </w:pPr>
      <w:r w:rsidRPr="43AF7B6B">
        <w:rPr>
          <w:rFonts w:ascii="Calibri" w:eastAsia="Calibri" w:hAnsi="Calibri" w:cs="Calibri"/>
        </w:rPr>
        <w:t xml:space="preserve">It is this vision of Aotearoa that </w:t>
      </w:r>
      <w:r w:rsidRPr="49415FD2">
        <w:rPr>
          <w:rFonts w:ascii="Calibri" w:eastAsia="Calibri" w:hAnsi="Calibri" w:cs="Calibri"/>
        </w:rPr>
        <w:t xml:space="preserve">is driving our work. </w:t>
      </w:r>
      <w:r w:rsidR="002F5B51" w:rsidRPr="460FAD42">
        <w:rPr>
          <w:rFonts w:ascii="Calibri" w:eastAsia="Calibri" w:hAnsi="Calibri" w:cs="Calibri"/>
        </w:rPr>
        <w:t xml:space="preserve">To </w:t>
      </w:r>
      <w:r w:rsidR="00685CE0">
        <w:rPr>
          <w:rFonts w:ascii="Calibri" w:eastAsia="Calibri" w:hAnsi="Calibri" w:cs="Calibri"/>
        </w:rPr>
        <w:t xml:space="preserve">see </w:t>
      </w:r>
      <w:r w:rsidR="288E845F" w:rsidRPr="49415FD2">
        <w:rPr>
          <w:rFonts w:ascii="Calibri" w:eastAsia="Calibri" w:hAnsi="Calibri" w:cs="Calibri"/>
        </w:rPr>
        <w:t>it</w:t>
      </w:r>
      <w:r w:rsidR="00685CE0">
        <w:rPr>
          <w:rFonts w:ascii="Calibri" w:eastAsia="Calibri" w:hAnsi="Calibri" w:cs="Calibri"/>
        </w:rPr>
        <w:t xml:space="preserve"> come to life</w:t>
      </w:r>
      <w:r w:rsidR="002F5B51" w:rsidRPr="460FAD42">
        <w:rPr>
          <w:rFonts w:ascii="Calibri" w:eastAsia="Calibri" w:hAnsi="Calibri" w:cs="Calibri"/>
        </w:rPr>
        <w:t xml:space="preserve"> we need strong and decisive action to address climate change.</w:t>
      </w:r>
      <w:r w:rsidR="360766C5" w:rsidRPr="49415FD2">
        <w:rPr>
          <w:rFonts w:ascii="Calibri" w:eastAsia="Calibri" w:hAnsi="Calibri" w:cs="Calibri"/>
        </w:rPr>
        <w:t xml:space="preserve"> This advice presents the steps we need to take now to get there.</w:t>
      </w:r>
      <w:r w:rsidR="00076708">
        <w:rPr>
          <w:rFonts w:ascii="Calibri" w:eastAsia="Calibri" w:hAnsi="Calibri" w:cs="Calibri"/>
        </w:rPr>
        <w:t xml:space="preserve"> </w:t>
      </w:r>
    </w:p>
    <w:p w14:paraId="10D0AE3C" w14:textId="708DDB51" w:rsidR="00E36956" w:rsidRDefault="000E49EA" w:rsidP="00A760B3">
      <w:pPr>
        <w:pStyle w:val="Heading1"/>
      </w:pPr>
      <w:r>
        <w:br w:type="page"/>
      </w:r>
    </w:p>
    <w:p w14:paraId="685A791B" w14:textId="77777777" w:rsidR="00A760B3" w:rsidRPr="004426D7" w:rsidRDefault="00A760B3" w:rsidP="00A760B3">
      <w:pPr>
        <w:pStyle w:val="Heading1"/>
        <w:spacing w:before="120" w:after="160"/>
      </w:pPr>
      <w:bookmarkStart w:id="10" w:name="_Toc62650221"/>
      <w:r w:rsidRPr="004426D7">
        <w:lastRenderedPageBreak/>
        <w:t>Executive Summary: work must start now</w:t>
      </w:r>
      <w:bookmarkEnd w:id="10"/>
    </w:p>
    <w:p w14:paraId="1EE3EE8A" w14:textId="77777777" w:rsidR="006B6514" w:rsidRPr="004426D7" w:rsidRDefault="006B6514" w:rsidP="006B6514">
      <w:pPr>
        <w:spacing w:after="120" w:line="240" w:lineRule="auto"/>
      </w:pPr>
      <w:r w:rsidRPr="004426D7">
        <w:t>In</w:t>
      </w:r>
      <w:r w:rsidRPr="004426D7" w:rsidDel="007E0826">
        <w:t xml:space="preserve"> Aotearoa</w:t>
      </w:r>
      <w:r w:rsidRPr="004426D7">
        <w:t xml:space="preserve">, </w:t>
      </w:r>
      <w:r w:rsidRPr="004426D7" w:rsidDel="00810AF5">
        <w:t>the Government</w:t>
      </w:r>
      <w:r w:rsidRPr="004426D7">
        <w:t xml:space="preserve"> has committed to reaching net zero emissions of long-lived gases by 2050</w:t>
      </w:r>
      <w:r>
        <w:t>, and to reducing biogenic methane emissions by between 24-47% by 2050.</w:t>
      </w:r>
    </w:p>
    <w:p w14:paraId="794AC2EC" w14:textId="77777777" w:rsidR="00A760B3" w:rsidRDefault="00A760B3" w:rsidP="00A760B3">
      <w:pPr>
        <w:tabs>
          <w:tab w:val="num" w:pos="360"/>
        </w:tabs>
        <w:spacing w:after="120" w:line="240" w:lineRule="auto"/>
        <w:rPr>
          <w:rFonts w:ascii="Calibri" w:eastAsia="Calibri" w:hAnsi="Calibri" w:cs="Calibri"/>
        </w:rPr>
      </w:pPr>
      <w:r w:rsidRPr="71A822AF">
        <w:rPr>
          <w:rFonts w:ascii="Calibri" w:eastAsia="Calibri" w:hAnsi="Calibri" w:cs="Calibri"/>
        </w:rPr>
        <w:t xml:space="preserve">The work that He </w:t>
      </w:r>
      <w:proofErr w:type="spellStart"/>
      <w:r w:rsidRPr="71A822AF">
        <w:rPr>
          <w:rFonts w:ascii="Calibri" w:eastAsia="Calibri" w:hAnsi="Calibri" w:cs="Calibri"/>
        </w:rPr>
        <w:t>Pou</w:t>
      </w:r>
      <w:proofErr w:type="spellEnd"/>
      <w:r w:rsidRPr="71A822AF">
        <w:rPr>
          <w:rFonts w:ascii="Calibri" w:eastAsia="Calibri" w:hAnsi="Calibri" w:cs="Calibri"/>
        </w:rPr>
        <w:t xml:space="preserve"> a </w:t>
      </w:r>
      <w:proofErr w:type="spellStart"/>
      <w:r w:rsidRPr="71A822AF">
        <w:rPr>
          <w:rFonts w:ascii="Calibri" w:eastAsia="Calibri" w:hAnsi="Calibri" w:cs="Calibri"/>
        </w:rPr>
        <w:t>Rangi</w:t>
      </w:r>
      <w:proofErr w:type="spellEnd"/>
      <w:r w:rsidRPr="71A822AF">
        <w:rPr>
          <w:rFonts w:ascii="Calibri" w:eastAsia="Calibri" w:hAnsi="Calibri" w:cs="Calibri"/>
        </w:rPr>
        <w:t xml:space="preserve">, </w:t>
      </w:r>
      <w:r>
        <w:rPr>
          <w:rFonts w:ascii="Calibri" w:eastAsia="Calibri" w:hAnsi="Calibri" w:cs="Calibri"/>
        </w:rPr>
        <w:t>t</w:t>
      </w:r>
      <w:r w:rsidRPr="71A822AF">
        <w:rPr>
          <w:rFonts w:ascii="Calibri" w:eastAsia="Calibri" w:hAnsi="Calibri" w:cs="Calibri"/>
        </w:rPr>
        <w:t>he Climate Change Commission</w:t>
      </w:r>
      <w:r>
        <w:rPr>
          <w:rFonts w:ascii="Calibri" w:eastAsia="Calibri" w:hAnsi="Calibri" w:cs="Calibri"/>
        </w:rPr>
        <w:t>,</w:t>
      </w:r>
      <w:r w:rsidRPr="71A822AF">
        <w:rPr>
          <w:rFonts w:ascii="Calibri" w:eastAsia="Calibri" w:hAnsi="Calibri" w:cs="Calibri"/>
        </w:rPr>
        <w:t xml:space="preserve"> has carried out over the last </w:t>
      </w:r>
      <w:r>
        <w:rPr>
          <w:rFonts w:ascii="Calibri" w:eastAsia="Calibri" w:hAnsi="Calibri" w:cs="Calibri"/>
        </w:rPr>
        <w:t>year</w:t>
      </w:r>
      <w:r w:rsidRPr="71A822AF">
        <w:rPr>
          <w:rFonts w:ascii="Calibri" w:eastAsia="Calibri" w:hAnsi="Calibri" w:cs="Calibri"/>
        </w:rPr>
        <w:t xml:space="preserve"> shows </w:t>
      </w:r>
      <w:r>
        <w:rPr>
          <w:rFonts w:ascii="Calibri" w:eastAsia="Calibri" w:hAnsi="Calibri" w:cs="Calibri"/>
        </w:rPr>
        <w:t>that meeting these targets</w:t>
      </w:r>
      <w:r w:rsidRPr="71A822AF">
        <w:rPr>
          <w:rFonts w:ascii="Calibri" w:eastAsia="Calibri" w:hAnsi="Calibri" w:cs="Calibri"/>
        </w:rPr>
        <w:t xml:space="preserve"> is possible</w:t>
      </w:r>
      <w:r>
        <w:rPr>
          <w:rFonts w:ascii="Calibri" w:eastAsia="Calibri" w:hAnsi="Calibri" w:cs="Calibri"/>
        </w:rPr>
        <w:t xml:space="preserve"> – a</w:t>
      </w:r>
      <w:r w:rsidRPr="71A822AF">
        <w:rPr>
          <w:rFonts w:ascii="Calibri" w:eastAsia="Calibri" w:hAnsi="Calibri" w:cs="Calibri"/>
        </w:rPr>
        <w:t xml:space="preserve">nd </w:t>
      </w:r>
      <w:r>
        <w:rPr>
          <w:rFonts w:ascii="Calibri" w:eastAsia="Calibri" w:hAnsi="Calibri" w:cs="Calibri"/>
        </w:rPr>
        <w:t>can</w:t>
      </w:r>
      <w:r w:rsidRPr="71A822AF">
        <w:rPr>
          <w:rFonts w:ascii="Calibri" w:eastAsia="Calibri" w:hAnsi="Calibri" w:cs="Calibri"/>
        </w:rPr>
        <w:t xml:space="preserve"> lead to a thriving, climate-resilient and low emissions Aotearoa.</w:t>
      </w:r>
      <w:r w:rsidRPr="71A822AF">
        <w:rPr>
          <w:rFonts w:ascii="Calibri" w:eastAsia="Calibri" w:hAnsi="Calibri" w:cs="Calibri"/>
          <w:u w:val="single"/>
        </w:rPr>
        <w:t xml:space="preserve"> </w:t>
      </w:r>
    </w:p>
    <w:p w14:paraId="4424D64A" w14:textId="77777777" w:rsidR="00A760B3" w:rsidRPr="004242E5" w:rsidRDefault="00A760B3" w:rsidP="00A760B3">
      <w:pPr>
        <w:tabs>
          <w:tab w:val="num" w:pos="360"/>
        </w:tabs>
        <w:spacing w:after="120" w:line="240" w:lineRule="auto"/>
        <w:rPr>
          <w:rFonts w:ascii="Calibri" w:eastAsia="Calibri" w:hAnsi="Calibri" w:cs="Calibri"/>
        </w:rPr>
      </w:pPr>
      <w:r w:rsidRPr="004426D7">
        <w:rPr>
          <w:rFonts w:ascii="Calibri" w:eastAsia="Calibri" w:hAnsi="Calibri" w:cs="Calibri"/>
        </w:rPr>
        <w:t>Transformational and lasting change across society and the economy will be needed</w:t>
      </w:r>
      <w:r w:rsidRPr="706AA1C7">
        <w:rPr>
          <w:rFonts w:ascii="Calibri" w:eastAsia="Calibri" w:hAnsi="Calibri" w:cs="Calibri"/>
        </w:rPr>
        <w:t>, but</w:t>
      </w:r>
      <w:r>
        <w:rPr>
          <w:rFonts w:ascii="Calibri" w:eastAsia="Calibri" w:hAnsi="Calibri" w:cs="Calibri"/>
        </w:rPr>
        <w:t xml:space="preserve"> </w:t>
      </w:r>
      <w:r w:rsidRPr="706AA1C7">
        <w:rPr>
          <w:rFonts w:ascii="Calibri" w:eastAsia="Calibri" w:hAnsi="Calibri" w:cs="Calibri"/>
        </w:rPr>
        <w:t>the</w:t>
      </w:r>
      <w:r w:rsidRPr="21E9C21C">
        <w:rPr>
          <w:rFonts w:ascii="Calibri" w:eastAsia="Calibri" w:hAnsi="Calibri" w:cs="Calibri"/>
        </w:rPr>
        <w:t xml:space="preserve"> </w:t>
      </w:r>
      <w:r>
        <w:rPr>
          <w:rFonts w:ascii="Calibri" w:eastAsia="Calibri" w:hAnsi="Calibri" w:cs="Calibri"/>
        </w:rPr>
        <w:t xml:space="preserve">Commission’s analysis shows </w:t>
      </w:r>
      <w:r w:rsidRPr="21E9C21C">
        <w:rPr>
          <w:rFonts w:ascii="Calibri" w:eastAsia="Calibri" w:hAnsi="Calibri" w:cs="Calibri"/>
        </w:rPr>
        <w:t>the</w:t>
      </w:r>
      <w:r w:rsidRPr="004426D7">
        <w:rPr>
          <w:rFonts w:ascii="Calibri" w:eastAsia="Calibri" w:hAnsi="Calibri" w:cs="Calibri"/>
        </w:rPr>
        <w:t xml:space="preserve"> tools to start the work to reach our targets and address climate change in Aotearoa already exist.</w:t>
      </w:r>
      <w:r w:rsidRPr="004426D7">
        <w:rPr>
          <w:rFonts w:ascii="Calibri" w:eastAsia="Calibri" w:hAnsi="Calibri" w:cs="Calibri"/>
          <w:u w:val="single"/>
        </w:rPr>
        <w:t xml:space="preserve"> </w:t>
      </w:r>
    </w:p>
    <w:p w14:paraId="543DA6C7" w14:textId="77777777" w:rsidR="00A760B3" w:rsidRPr="0049773D" w:rsidRDefault="00A760B3" w:rsidP="00A760B3">
      <w:pPr>
        <w:tabs>
          <w:tab w:val="num" w:pos="360"/>
        </w:tabs>
        <w:spacing w:after="120" w:line="240" w:lineRule="auto"/>
        <w:rPr>
          <w:rFonts w:ascii="Calibri" w:eastAsia="Calibri" w:hAnsi="Calibri" w:cs="Calibri"/>
          <w:u w:val="single"/>
        </w:rPr>
      </w:pPr>
      <w:r>
        <w:t>To meet the Commission's proposed emissions budgets, Aotearoa does not need to rely on future technologies</w:t>
      </w:r>
      <w:r w:rsidRPr="004426D7">
        <w:t>.</w:t>
      </w:r>
      <w:r>
        <w:t xml:space="preserve"> As new technologies develop, this will allow the country to reduce emissions even faster.</w:t>
      </w:r>
    </w:p>
    <w:p w14:paraId="5C340E96" w14:textId="77777777" w:rsidR="00A760B3" w:rsidRDefault="00A760B3" w:rsidP="00A760B3">
      <w:pPr>
        <w:tabs>
          <w:tab w:val="num" w:pos="360"/>
        </w:tabs>
        <w:spacing w:after="120" w:line="240" w:lineRule="auto"/>
      </w:pPr>
      <w:r>
        <w:t xml:space="preserve">However, the Government must pick up the pace. Aotearoa will not meet its targets without strong and decisive action now to drive low emissions technologies and behaviour change across all sectors. 2050 is not far away – particularly if you consider the life span of infrastructure, vehicles, buildings – and people. </w:t>
      </w:r>
    </w:p>
    <w:p w14:paraId="542078B7" w14:textId="77777777" w:rsidR="00A760B3" w:rsidRDefault="00A760B3" w:rsidP="00A760B3">
      <w:pPr>
        <w:spacing w:after="120" w:line="240" w:lineRule="auto"/>
      </w:pPr>
      <w:r>
        <w:t xml:space="preserve">Aotearoa must focus on decarbonising and reducing emissions at the source. As a country we can no longer rely on forests to meet our climate change targets. </w:t>
      </w:r>
    </w:p>
    <w:p w14:paraId="7CC3F7B7" w14:textId="77777777" w:rsidR="00A760B3" w:rsidRDefault="00A760B3" w:rsidP="00A760B3">
      <w:pPr>
        <w:spacing w:after="120" w:line="240" w:lineRule="auto"/>
      </w:pPr>
      <w:r w:rsidRPr="004426D7">
        <w:t xml:space="preserve">Current </w:t>
      </w:r>
      <w:r>
        <w:t xml:space="preserve">government </w:t>
      </w:r>
      <w:r w:rsidRPr="004426D7">
        <w:t xml:space="preserve">policies do not put Aotearoa on track to meet our recommended emissions budgets and the 2050 targets. </w:t>
      </w:r>
    </w:p>
    <w:p w14:paraId="050335A0" w14:textId="769C6B5D" w:rsidR="00A760B3" w:rsidRPr="004426D7" w:rsidRDefault="00A760B3" w:rsidP="00A760B3">
      <w:pPr>
        <w:spacing w:after="120" w:line="240" w:lineRule="auto"/>
      </w:pPr>
      <w:r>
        <w:t>I</w:t>
      </w:r>
      <w:r w:rsidRPr="7534392C">
        <w:rPr>
          <w:rFonts w:ascii="Calibri" w:eastAsia="Calibri" w:hAnsi="Calibri" w:cs="Calibri"/>
        </w:rPr>
        <w:t>n 2018, gross greenhouse gas emissions in Aotearoa were about 45.5 Mt CO</w:t>
      </w:r>
      <w:r w:rsidRPr="00A2741E">
        <w:rPr>
          <w:rFonts w:ascii="Calibri" w:eastAsia="Calibri" w:hAnsi="Calibri" w:cs="Calibri"/>
          <w:vertAlign w:val="subscript"/>
        </w:rPr>
        <w:t>2</w:t>
      </w:r>
      <w:r>
        <w:rPr>
          <w:rFonts w:ascii="Calibri" w:eastAsia="Calibri" w:hAnsi="Calibri" w:cs="Calibri"/>
          <w:vertAlign w:val="subscript"/>
        </w:rPr>
        <w:t>-</w:t>
      </w:r>
      <w:r w:rsidRPr="7534392C">
        <w:rPr>
          <w:rFonts w:ascii="Calibri" w:eastAsia="Calibri" w:hAnsi="Calibri" w:cs="Calibri"/>
        </w:rPr>
        <w:t>e of long-lived gases, and 1.34 Mt CH</w:t>
      </w:r>
      <w:r w:rsidRPr="007B0D8F">
        <w:rPr>
          <w:rFonts w:ascii="Calibri" w:eastAsia="Calibri" w:hAnsi="Calibri" w:cs="Calibri"/>
          <w:vertAlign w:val="subscript"/>
        </w:rPr>
        <w:t>4</w:t>
      </w:r>
      <w:r w:rsidRPr="7534392C">
        <w:rPr>
          <w:rFonts w:ascii="Calibri" w:eastAsia="Calibri" w:hAnsi="Calibri" w:cs="Calibri"/>
        </w:rPr>
        <w:t xml:space="preserve"> (biogenic methane). Our analysis shows if policy stayed as it is now, Aotearoa would fall short of achieving the 2050 net zero long-lived gas target by 6.</w:t>
      </w:r>
      <w:r w:rsidR="006B6514" w:rsidRPr="7534392C">
        <w:rPr>
          <w:rFonts w:ascii="Calibri" w:eastAsia="Calibri" w:hAnsi="Calibri" w:cs="Calibri"/>
        </w:rPr>
        <w:t>3</w:t>
      </w:r>
      <w:r w:rsidR="00C30842">
        <w:rPr>
          <w:rFonts w:ascii="Calibri" w:eastAsia="Calibri" w:hAnsi="Calibri" w:cs="Calibri"/>
        </w:rPr>
        <w:t xml:space="preserve"> </w:t>
      </w:r>
      <w:r w:rsidR="006B6514" w:rsidRPr="7534392C">
        <w:rPr>
          <w:rFonts w:ascii="Calibri" w:eastAsia="Calibri" w:hAnsi="Calibri" w:cs="Calibri"/>
        </w:rPr>
        <w:t>Mt</w:t>
      </w:r>
      <w:r w:rsidRPr="7534392C">
        <w:rPr>
          <w:rFonts w:ascii="Calibri" w:eastAsia="Calibri" w:hAnsi="Calibri" w:cs="Calibri"/>
        </w:rPr>
        <w:t xml:space="preserve"> CO</w:t>
      </w:r>
      <w:r w:rsidRPr="003B11E2">
        <w:rPr>
          <w:rFonts w:ascii="Calibri" w:eastAsia="Calibri" w:hAnsi="Calibri" w:cs="Calibri"/>
          <w:vertAlign w:val="subscript"/>
        </w:rPr>
        <w:t>2</w:t>
      </w:r>
      <w:r>
        <w:rPr>
          <w:rFonts w:ascii="Calibri" w:eastAsia="Calibri" w:hAnsi="Calibri" w:cs="Calibri"/>
          <w:vertAlign w:val="subscript"/>
        </w:rPr>
        <w:t>-</w:t>
      </w:r>
      <w:r w:rsidRPr="7534392C">
        <w:rPr>
          <w:rFonts w:ascii="Calibri" w:eastAsia="Calibri" w:hAnsi="Calibri" w:cs="Calibri"/>
        </w:rPr>
        <w:t xml:space="preserve">e. Biogenic methane would reduce 12% below 2017 levels and fall short of the current target of 24-47%. </w:t>
      </w:r>
    </w:p>
    <w:p w14:paraId="2F920E22" w14:textId="77777777" w:rsidR="00A760B3" w:rsidRDefault="006B6514" w:rsidP="00A760B3">
      <w:pPr>
        <w:keepNext/>
        <w:spacing w:after="0"/>
        <w:jc w:val="center"/>
      </w:pPr>
      <w:r>
        <w:rPr>
          <w:noProof/>
        </w:rPr>
        <w:lastRenderedPageBreak/>
        <w:drawing>
          <wp:inline distT="0" distB="0" distL="0" distR="0" wp14:anchorId="4A600A98" wp14:editId="6183496D">
            <wp:extent cx="3595522" cy="4094922"/>
            <wp:effectExtent l="0" t="0" r="508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3595522" cy="4094922"/>
                    </a:xfrm>
                    <a:prstGeom prst="rect">
                      <a:avLst/>
                    </a:prstGeom>
                  </pic:spPr>
                </pic:pic>
              </a:graphicData>
            </a:graphic>
          </wp:inline>
        </w:drawing>
      </w:r>
    </w:p>
    <w:p w14:paraId="1134EBCC" w14:textId="6F2444B0" w:rsidR="006B6514" w:rsidRPr="009A7012" w:rsidRDefault="00A760B3" w:rsidP="006B6514">
      <w:pPr>
        <w:pStyle w:val="Caption"/>
      </w:pPr>
      <w:r w:rsidRPr="00A760B3">
        <w:t xml:space="preserve">Figure </w:t>
      </w:r>
      <w:r w:rsidR="00920459">
        <w:t>ES1</w:t>
      </w:r>
      <w:r w:rsidR="006B6514" w:rsidRPr="009A7012">
        <w:t>: Current government policies do not put Aotearoa on track to meet the Commission’s emissions budgets and the 2050 targets. This figure shows how our path to 2035 would reduce emissions of long-lived gases (top figure) and biogenic methane (bottom figure)</w:t>
      </w:r>
    </w:p>
    <w:p w14:paraId="233369A0" w14:textId="77777777" w:rsidR="00A760B3" w:rsidRPr="00277632" w:rsidRDefault="00A760B3" w:rsidP="00A760B3">
      <w:pPr>
        <w:spacing w:after="120" w:line="240" w:lineRule="auto"/>
      </w:pPr>
      <w:r w:rsidRPr="00277632">
        <w:t xml:space="preserve">The </w:t>
      </w:r>
      <w:r>
        <w:t>Emissions Trading Scheme (</w:t>
      </w:r>
      <w:r w:rsidRPr="004426D7">
        <w:t xml:space="preserve">NZ </w:t>
      </w:r>
      <w:r w:rsidRPr="00277632">
        <w:t>ETS</w:t>
      </w:r>
      <w:r>
        <w:t>)</w:t>
      </w:r>
      <w:r w:rsidRPr="00277632">
        <w:t xml:space="preserve"> alone won’t get us to where we need to be. </w:t>
      </w:r>
      <w:r>
        <w:t>Action</w:t>
      </w:r>
      <w:r w:rsidRPr="00277632">
        <w:t xml:space="preserve"> is needed </w:t>
      </w:r>
      <w:r>
        <w:t xml:space="preserve">across </w:t>
      </w:r>
      <w:r w:rsidRPr="00277632">
        <w:t>all sectors</w:t>
      </w:r>
      <w:r>
        <w:t xml:space="preserve"> of the economy</w:t>
      </w:r>
      <w:r w:rsidRPr="00277632">
        <w:t xml:space="preserve">. </w:t>
      </w:r>
    </w:p>
    <w:p w14:paraId="0667E869" w14:textId="77777777" w:rsidR="00A760B3" w:rsidRDefault="00A760B3" w:rsidP="00A760B3">
      <w:pPr>
        <w:spacing w:after="120" w:line="240" w:lineRule="auto"/>
      </w:pPr>
      <w:r>
        <w:t xml:space="preserve">Priority areas for action include increasing the number of electric vehicles on our roads, increasing our total renewable energy, improving farm practices and planting more native trees to provide a long-term carbon sink. </w:t>
      </w:r>
    </w:p>
    <w:p w14:paraId="5B4BA9FB" w14:textId="77777777" w:rsidR="00A760B3" w:rsidRDefault="00A760B3" w:rsidP="00A760B3">
      <w:pPr>
        <w:spacing w:after="120" w:line="240" w:lineRule="auto"/>
      </w:pPr>
      <w:r>
        <w:rPr>
          <w:rStyle w:val="normaltextrun"/>
          <w:rFonts w:ascii="Calibri" w:hAnsi="Calibri" w:cs="Calibri"/>
          <w:color w:val="000000"/>
          <w:shd w:val="clear" w:color="auto" w:fill="FFFFFF"/>
        </w:rPr>
        <w:t>Care should be taken to make sure climate related policies do not further compound historic grievances for Māori. To give effect to the Treaty Partnership, central and local government need to acknowledge iwi/Māori rights to exercise rangatiratanga and </w:t>
      </w:r>
      <w:proofErr w:type="spellStart"/>
      <w:r>
        <w:rPr>
          <w:rStyle w:val="normaltextrun"/>
          <w:rFonts w:ascii="Calibri" w:hAnsi="Calibri" w:cs="Calibri"/>
          <w:color w:val="000000"/>
          <w:shd w:val="clear" w:color="auto" w:fill="FFFFFF"/>
        </w:rPr>
        <w:t>kaitiakitanga</w:t>
      </w:r>
      <w:proofErr w:type="spellEnd"/>
      <w:r>
        <w:rPr>
          <w:rStyle w:val="normaltextrun"/>
          <w:rFonts w:ascii="Calibri" w:hAnsi="Calibri" w:cs="Calibri"/>
          <w:color w:val="000000"/>
          <w:shd w:val="clear" w:color="auto" w:fill="FFFFFF"/>
        </w:rPr>
        <w:t xml:space="preserve"> in a joint plan to reduce emissions. </w:t>
      </w:r>
    </w:p>
    <w:p w14:paraId="00C4F7FA" w14:textId="2E720F11" w:rsidR="00A760B3" w:rsidRDefault="00A760B3" w:rsidP="00A760B3">
      <w:pPr>
        <w:spacing w:after="120" w:line="240" w:lineRule="auto"/>
      </w:pPr>
      <w:r>
        <w:t xml:space="preserve">The speed of this transition needs to be steady – fast enough to make a difference and build momentum but considered, with room to support people through the change. </w:t>
      </w:r>
      <w:r w:rsidR="006B6514" w:rsidRPr="004426D7">
        <w:t xml:space="preserve">An equitable transition means </w:t>
      </w:r>
      <w:r w:rsidR="006B6514">
        <w:t>making sure</w:t>
      </w:r>
      <w:r w:rsidR="006B6514" w:rsidRPr="007A67B1" w:rsidDel="002A372D">
        <w:t xml:space="preserve"> the benefits of climate action are shared across society</w:t>
      </w:r>
      <w:r w:rsidR="006B6514">
        <w:t>, and that the costs of the climate transition do not fall unfairly on certain groups or people.</w:t>
      </w:r>
    </w:p>
    <w:p w14:paraId="1F69D39E" w14:textId="77777777" w:rsidR="00A760B3" w:rsidRDefault="00A760B3" w:rsidP="00A760B3">
      <w:pPr>
        <w:spacing w:after="120" w:line="240" w:lineRule="auto"/>
        <w:rPr>
          <w:rFonts w:ascii="Calibri" w:eastAsia="Calibri" w:hAnsi="Calibri" w:cs="Calibri"/>
        </w:rPr>
      </w:pPr>
      <w:r>
        <w:rPr>
          <w:rFonts w:ascii="Calibri" w:eastAsia="Calibri" w:hAnsi="Calibri" w:cs="Calibri"/>
        </w:rPr>
        <w:t xml:space="preserve">To achieve this, we </w:t>
      </w:r>
      <w:r w:rsidRPr="71A822AF">
        <w:rPr>
          <w:rFonts w:ascii="Calibri" w:eastAsia="Calibri" w:hAnsi="Calibri" w:cs="Calibri"/>
        </w:rPr>
        <w:t xml:space="preserve">need to understand that all things are connected: the people, the land, the atmosphere, the oceans. This connectivity – material and non-material – is central to </w:t>
      </w:r>
      <w:proofErr w:type="spellStart"/>
      <w:r w:rsidRPr="71A822AF">
        <w:rPr>
          <w:rFonts w:ascii="Calibri" w:eastAsia="Calibri" w:hAnsi="Calibri" w:cs="Calibri"/>
        </w:rPr>
        <w:t>Te</w:t>
      </w:r>
      <w:proofErr w:type="spellEnd"/>
      <w:r w:rsidRPr="71A822AF">
        <w:rPr>
          <w:rFonts w:ascii="Calibri" w:eastAsia="Calibri" w:hAnsi="Calibri" w:cs="Calibri"/>
        </w:rPr>
        <w:t xml:space="preserve"> </w:t>
      </w:r>
      <w:proofErr w:type="spellStart"/>
      <w:r w:rsidRPr="71A822AF">
        <w:rPr>
          <w:rFonts w:ascii="Calibri" w:eastAsia="Calibri" w:hAnsi="Calibri" w:cs="Calibri"/>
        </w:rPr>
        <w:t>Ao</w:t>
      </w:r>
      <w:proofErr w:type="spellEnd"/>
      <w:r w:rsidRPr="71A822AF">
        <w:rPr>
          <w:rFonts w:ascii="Calibri" w:eastAsia="Calibri" w:hAnsi="Calibri" w:cs="Calibri"/>
        </w:rPr>
        <w:t xml:space="preserve"> Māori.</w:t>
      </w:r>
      <w:r>
        <w:rPr>
          <w:rFonts w:ascii="Calibri" w:eastAsia="Calibri" w:hAnsi="Calibri" w:cs="Calibri"/>
        </w:rPr>
        <w:t xml:space="preserve"> </w:t>
      </w:r>
      <w:r w:rsidRPr="71A822AF">
        <w:rPr>
          <w:rFonts w:ascii="Calibri" w:eastAsia="Calibri" w:hAnsi="Calibri" w:cs="Calibri"/>
        </w:rPr>
        <w:t xml:space="preserve">It is also essential to understanding how to guide a transition that is fair and equitable for people and the environment. </w:t>
      </w:r>
    </w:p>
    <w:p w14:paraId="39E804CE" w14:textId="77777777" w:rsidR="00A760B3" w:rsidRDefault="00A760B3" w:rsidP="00A760B3">
      <w:pPr>
        <w:spacing w:after="120" w:line="240" w:lineRule="auto"/>
        <w:rPr>
          <w:rFonts w:ascii="Calibri" w:eastAsia="Calibri" w:hAnsi="Calibri" w:cs="Calibri"/>
        </w:rPr>
      </w:pPr>
      <w:r w:rsidRPr="3AC4294B">
        <w:rPr>
          <w:rFonts w:ascii="Calibri" w:eastAsia="Calibri" w:hAnsi="Calibri" w:cs="Calibri"/>
        </w:rPr>
        <w:t>The transition must reduce emissions at pace while allowing the country to continue to grow, so that future generations inherit a thriving, climate-resilient and low emissions Aotearoa.</w:t>
      </w:r>
    </w:p>
    <w:p w14:paraId="150D1EDB" w14:textId="77777777" w:rsidR="00A760B3" w:rsidRDefault="00A760B3" w:rsidP="00A760B3">
      <w:pPr>
        <w:pStyle w:val="Heading2"/>
        <w:spacing w:after="120"/>
        <w:rPr>
          <w:rFonts w:eastAsiaTheme="minorEastAsia"/>
        </w:rPr>
      </w:pPr>
      <w:r w:rsidRPr="004426D7">
        <w:lastRenderedPageBreak/>
        <w:t>Our first package of advice</w:t>
      </w:r>
    </w:p>
    <w:p w14:paraId="3365626B" w14:textId="77777777" w:rsidR="00A760B3" w:rsidRPr="00A760B3" w:rsidRDefault="00A760B3" w:rsidP="00A760B3">
      <w:pPr>
        <w:spacing w:after="120" w:line="240" w:lineRule="auto"/>
        <w:rPr>
          <w:rFonts w:eastAsia="Calibri"/>
        </w:rPr>
      </w:pPr>
      <w:r w:rsidRPr="00A760B3">
        <w:rPr>
          <w:rFonts w:eastAsia="Calibri"/>
        </w:rPr>
        <w:t xml:space="preserve">This advice provides Aotearoa with a comprehensive strategy for tackling climate change. It is also the starting point. It outlines the first in a series of steps that chart the course for reducing emissions. </w:t>
      </w:r>
    </w:p>
    <w:p w14:paraId="6353B46B" w14:textId="77777777" w:rsidR="006B6514" w:rsidRPr="0005175D" w:rsidRDefault="006B6514" w:rsidP="006B6514">
      <w:pPr>
        <w:spacing w:after="120" w:line="240" w:lineRule="auto"/>
        <w:rPr>
          <w:rFonts w:ascii="Calibri" w:eastAsia="Calibri" w:hAnsi="Calibri" w:cs="Calibri"/>
        </w:rPr>
      </w:pPr>
      <w:r w:rsidRPr="0005175D">
        <w:rPr>
          <w:rFonts w:ascii="Calibri" w:eastAsia="Calibri" w:hAnsi="Calibri" w:cs="Calibri"/>
        </w:rPr>
        <w:t>We asked ourselves a series of questions when developing this advice. They are: Is this ambitious enough? Is it fair and equitable? Is it technically and economically feasible? And</w:t>
      </w:r>
      <w:r>
        <w:rPr>
          <w:rFonts w:ascii="Calibri" w:eastAsia="Calibri" w:hAnsi="Calibri" w:cs="Calibri"/>
        </w:rPr>
        <w:t>,</w:t>
      </w:r>
      <w:r w:rsidRPr="0005175D">
        <w:rPr>
          <w:rFonts w:ascii="Calibri" w:eastAsia="Calibri" w:hAnsi="Calibri" w:cs="Calibri"/>
        </w:rPr>
        <w:t xml:space="preserve"> </w:t>
      </w:r>
      <w:r>
        <w:rPr>
          <w:rFonts w:ascii="Calibri" w:eastAsia="Calibri" w:hAnsi="Calibri" w:cs="Calibri"/>
        </w:rPr>
        <w:t>c</w:t>
      </w:r>
      <w:r w:rsidRPr="0005175D">
        <w:rPr>
          <w:rFonts w:ascii="Calibri" w:eastAsia="Calibri" w:hAnsi="Calibri" w:cs="Calibri"/>
        </w:rPr>
        <w:t>an it be achieved through policy?</w:t>
      </w:r>
    </w:p>
    <w:p w14:paraId="0F90AA84" w14:textId="77777777" w:rsidR="00A760B3" w:rsidRPr="004426D7" w:rsidRDefault="00A760B3" w:rsidP="00A760B3">
      <w:pPr>
        <w:spacing w:after="120" w:line="240" w:lineRule="auto"/>
        <w:rPr>
          <w:rFonts w:ascii="Calibri" w:eastAsia="Calibri" w:hAnsi="Calibri" w:cs="Calibri"/>
        </w:rPr>
      </w:pPr>
      <w:r w:rsidRPr="004426D7">
        <w:rPr>
          <w:rFonts w:ascii="Calibri" w:eastAsia="Calibri" w:hAnsi="Calibri" w:cs="Calibri"/>
        </w:rPr>
        <w:t xml:space="preserve">We have used a range of quantitative and qualitative tools, including economic models and analytical frameworks. Our analytical approach used the He Ara </w:t>
      </w:r>
      <w:proofErr w:type="spellStart"/>
      <w:r w:rsidRPr="004426D7">
        <w:rPr>
          <w:rFonts w:ascii="Calibri" w:eastAsia="Calibri" w:hAnsi="Calibri" w:cs="Calibri"/>
        </w:rPr>
        <w:t>Waiora</w:t>
      </w:r>
      <w:proofErr w:type="spellEnd"/>
      <w:r w:rsidRPr="004426D7">
        <w:rPr>
          <w:rFonts w:ascii="Calibri" w:eastAsia="Calibri" w:hAnsi="Calibri" w:cs="Calibri"/>
        </w:rPr>
        <w:t xml:space="preserve"> framework to </w:t>
      </w:r>
      <w:r w:rsidRPr="004426D7">
        <w:rPr>
          <w:rStyle w:val="normaltextrun"/>
          <w:rFonts w:ascii="Calibri" w:hAnsi="Calibri" w:cs="Calibri"/>
          <w:color w:val="000000"/>
          <w:shd w:val="clear" w:color="auto" w:fill="FFFFFF"/>
        </w:rPr>
        <w:t xml:space="preserve">understanding wellbeing </w:t>
      </w:r>
      <w:r w:rsidRPr="00FD054A">
        <w:rPr>
          <w:rFonts w:eastAsia="Calibri"/>
        </w:rPr>
        <w:t xml:space="preserve">from a </w:t>
      </w:r>
      <w:proofErr w:type="spellStart"/>
      <w:r w:rsidRPr="00FD054A">
        <w:rPr>
          <w:rFonts w:eastAsia="Calibri"/>
        </w:rPr>
        <w:t>mātauranga</w:t>
      </w:r>
      <w:proofErr w:type="spellEnd"/>
      <w:r w:rsidRPr="00FD054A">
        <w:rPr>
          <w:rFonts w:eastAsia="Calibri"/>
        </w:rPr>
        <w:t xml:space="preserve"> Māori perspective </w:t>
      </w:r>
      <w:r w:rsidRPr="004426D7">
        <w:rPr>
          <w:rFonts w:ascii="Calibri" w:eastAsia="Calibri" w:hAnsi="Calibri" w:cs="Calibri"/>
        </w:rPr>
        <w:t>and form an anchor for our analysis.</w:t>
      </w:r>
    </w:p>
    <w:p w14:paraId="3BEA5375" w14:textId="77777777" w:rsidR="00A760B3" w:rsidRPr="004426D7" w:rsidRDefault="00A760B3" w:rsidP="00A760B3">
      <w:pPr>
        <w:spacing w:after="120" w:line="240" w:lineRule="auto"/>
        <w:rPr>
          <w:rFonts w:ascii="Calibri" w:eastAsia="Calibri" w:hAnsi="Calibri" w:cs="Calibri"/>
        </w:rPr>
      </w:pPr>
      <w:r w:rsidRPr="004426D7">
        <w:rPr>
          <w:rFonts w:ascii="Calibri" w:eastAsia="Calibri" w:hAnsi="Calibri" w:cs="Calibri"/>
        </w:rPr>
        <w:t>Our advice</w:t>
      </w:r>
      <w:r>
        <w:rPr>
          <w:rFonts w:ascii="Calibri" w:eastAsia="Calibri" w:hAnsi="Calibri" w:cs="Calibri"/>
        </w:rPr>
        <w:t xml:space="preserve"> </w:t>
      </w:r>
      <w:r w:rsidRPr="004426D7">
        <w:rPr>
          <w:rFonts w:ascii="Calibri" w:eastAsia="Calibri" w:hAnsi="Calibri" w:cs="Calibri"/>
        </w:rPr>
        <w:t>includes recommendations on the level of the first three emissions budgets</w:t>
      </w:r>
      <w:r>
        <w:rPr>
          <w:rFonts w:ascii="Calibri" w:eastAsia="Calibri" w:hAnsi="Calibri" w:cs="Calibri"/>
        </w:rPr>
        <w:t xml:space="preserve">. It also provides advice on strategic policy direction for </w:t>
      </w:r>
      <w:r w:rsidRPr="00A760B3">
        <w:rPr>
          <w:rFonts w:eastAsia="Calibri"/>
        </w:rPr>
        <w:t>meeting the emissions budgets, looking at what’s needed across different sectors.</w:t>
      </w:r>
      <w:r>
        <w:rPr>
          <w:rFonts w:ascii="Calibri" w:eastAsia="Calibri" w:hAnsi="Calibri" w:cs="Calibri"/>
        </w:rPr>
        <w:t xml:space="preserve"> We recommend</w:t>
      </w:r>
      <w:r w:rsidRPr="004426D7">
        <w:rPr>
          <w:rFonts w:ascii="Calibri" w:eastAsia="Calibri" w:hAnsi="Calibri" w:cs="Calibri"/>
        </w:rPr>
        <w:t xml:space="preserve"> 17 critical actions the Government must take to reach its climate goals. </w:t>
      </w:r>
    </w:p>
    <w:p w14:paraId="2790909D" w14:textId="77777777" w:rsidR="00A760B3" w:rsidRPr="004426D7" w:rsidRDefault="00A760B3" w:rsidP="00A760B3">
      <w:pPr>
        <w:spacing w:after="120" w:line="240" w:lineRule="auto"/>
        <w:rPr>
          <w:rFonts w:ascii="Calibri" w:eastAsia="Calibri" w:hAnsi="Calibri" w:cs="Calibri"/>
        </w:rPr>
      </w:pPr>
      <w:r w:rsidRPr="004426D7">
        <w:rPr>
          <w:rFonts w:ascii="Calibri" w:eastAsia="Calibri" w:hAnsi="Calibri" w:cs="Calibri"/>
        </w:rPr>
        <w:t xml:space="preserve">Many recommendations include indicators the Commission will use to monitor the Government’s progress. </w:t>
      </w:r>
    </w:p>
    <w:p w14:paraId="70089A18" w14:textId="77777777" w:rsidR="00A760B3" w:rsidRPr="00A760B3" w:rsidRDefault="00A760B3" w:rsidP="00A760B3">
      <w:pPr>
        <w:spacing w:after="120" w:line="240" w:lineRule="auto"/>
        <w:rPr>
          <w:rFonts w:eastAsia="Calibri"/>
        </w:rPr>
      </w:pPr>
      <w:r w:rsidRPr="00A760B3">
        <w:rPr>
          <w:rFonts w:eastAsia="Calibri"/>
        </w:rPr>
        <w:t xml:space="preserve">In developing our advice, we focused on key sectors across the economy, identifying where the greatest opportunities to reduce emissions are, and working with experts and stakeholders to understand the barriers for change. Some key findings from these sectors include: </w:t>
      </w:r>
    </w:p>
    <w:p w14:paraId="150C7A5D" w14:textId="77777777" w:rsidR="00A760B3" w:rsidRPr="004426D7" w:rsidRDefault="00A760B3" w:rsidP="00A760B3">
      <w:pPr>
        <w:pStyle w:val="Heading3"/>
      </w:pPr>
      <w:r w:rsidRPr="004426D7">
        <w:t>Land</w:t>
      </w:r>
    </w:p>
    <w:p w14:paraId="0C1A5B2C" w14:textId="77777777" w:rsidR="006B6514" w:rsidRPr="004426D7" w:rsidRDefault="006B6514" w:rsidP="006B6514">
      <w:pPr>
        <w:pStyle w:val="ListParagraph"/>
        <w:numPr>
          <w:ilvl w:val="0"/>
          <w:numId w:val="95"/>
        </w:numPr>
        <w:spacing w:before="0" w:line="240" w:lineRule="auto"/>
        <w:ind w:left="714" w:hanging="357"/>
        <w:contextualSpacing w:val="0"/>
      </w:pPr>
      <w:r w:rsidRPr="004426D7">
        <w:t>Agriculture has a large role to play</w:t>
      </w:r>
      <w:r>
        <w:t xml:space="preserve"> in reducing emissions, and farming needs to become even more efficient</w:t>
      </w:r>
      <w:r w:rsidRPr="004426D7">
        <w:t xml:space="preserve">. There have been improvements in the last few decades, but more </w:t>
      </w:r>
      <w:r>
        <w:t>can happen</w:t>
      </w:r>
      <w:r w:rsidRPr="004426D7">
        <w:t>.</w:t>
      </w:r>
    </w:p>
    <w:p w14:paraId="2E8E3214" w14:textId="77777777" w:rsidR="00A760B3" w:rsidRPr="004426D7" w:rsidRDefault="00A760B3" w:rsidP="006B6514">
      <w:pPr>
        <w:pStyle w:val="ListParagraph"/>
        <w:numPr>
          <w:ilvl w:val="0"/>
          <w:numId w:val="96"/>
        </w:numPr>
        <w:spacing w:before="0" w:line="240" w:lineRule="auto"/>
        <w:contextualSpacing w:val="0"/>
      </w:pPr>
      <w:r>
        <w:t xml:space="preserve">Aotearoa has been an agricultural world leader over recent decades. We must adapt and improve our use of our land to keep this status. This means developing, adopting and using practices and technologies that lower emissions and address climate change. </w:t>
      </w:r>
    </w:p>
    <w:p w14:paraId="2023E92F" w14:textId="77777777" w:rsidR="00A760B3" w:rsidRPr="00556484" w:rsidRDefault="00A760B3" w:rsidP="006B6514">
      <w:pPr>
        <w:pStyle w:val="ListParagraph"/>
        <w:numPr>
          <w:ilvl w:val="0"/>
          <w:numId w:val="96"/>
        </w:numPr>
        <w:spacing w:before="0" w:line="240" w:lineRule="auto"/>
        <w:contextualSpacing w:val="0"/>
      </w:pPr>
      <w:r>
        <w:t xml:space="preserve">Forests have a role to play, but we can’t plant our way out of climate change. </w:t>
      </w:r>
    </w:p>
    <w:p w14:paraId="1CB5613B" w14:textId="77777777" w:rsidR="00A760B3" w:rsidRPr="004426D7" w:rsidRDefault="00A760B3" w:rsidP="00A760B3">
      <w:pPr>
        <w:pStyle w:val="Heading4"/>
        <w:spacing w:before="120" w:after="120"/>
      </w:pPr>
      <w:r w:rsidRPr="004426D7">
        <w:t xml:space="preserve">What are we recommending? </w:t>
      </w:r>
    </w:p>
    <w:p w14:paraId="755FCDE7" w14:textId="77777777" w:rsidR="00A760B3" w:rsidRDefault="00A760B3" w:rsidP="006B6514">
      <w:pPr>
        <w:pStyle w:val="ListParagraph"/>
        <w:numPr>
          <w:ilvl w:val="0"/>
          <w:numId w:val="96"/>
        </w:numPr>
        <w:spacing w:before="0" w:line="240" w:lineRule="auto"/>
        <w:contextualSpacing w:val="0"/>
      </w:pPr>
      <w:r>
        <w:t>The Government needs a cohesive strategy that includes water, biodiversity and climate. There are multiple benefits to taking a holistic view of how we use and protect our land.</w:t>
      </w:r>
    </w:p>
    <w:p w14:paraId="776AFCF8" w14:textId="77777777" w:rsidR="00A760B3" w:rsidRPr="004426D7" w:rsidRDefault="00A760B3" w:rsidP="006B6514">
      <w:pPr>
        <w:pStyle w:val="ListParagraph"/>
        <w:numPr>
          <w:ilvl w:val="0"/>
          <w:numId w:val="96"/>
        </w:numPr>
        <w:spacing w:before="0" w:line="240" w:lineRule="auto"/>
        <w:contextualSpacing w:val="0"/>
      </w:pPr>
      <w:r w:rsidRPr="004426D7">
        <w:t>There are changes farmers can make now to reduce emissions on their farms while maintaining, or even improving, productivity. This includes reducing animal numbers</w:t>
      </w:r>
      <w:r w:rsidRPr="0046675E">
        <w:t xml:space="preserve"> </w:t>
      </w:r>
      <w:r w:rsidRPr="004426D7">
        <w:t xml:space="preserve">and better animal, pasture and feed management. Policy support is needed to make this happen. </w:t>
      </w:r>
    </w:p>
    <w:p w14:paraId="5E779F37" w14:textId="77777777" w:rsidR="00A760B3" w:rsidRPr="004426D7" w:rsidRDefault="00A760B3" w:rsidP="006B6514">
      <w:pPr>
        <w:pStyle w:val="ListParagraph"/>
        <w:numPr>
          <w:ilvl w:val="0"/>
          <w:numId w:val="96"/>
        </w:numPr>
        <w:spacing w:before="0" w:line="240" w:lineRule="auto"/>
        <w:contextualSpacing w:val="0"/>
      </w:pPr>
      <w:r w:rsidRPr="004426D7">
        <w:t xml:space="preserve">Our advice advocates for a long-term plan for targeted research and development of new technologies to reduce emissions from agriculture. </w:t>
      </w:r>
    </w:p>
    <w:p w14:paraId="2E23FB31" w14:textId="77777777" w:rsidR="00A760B3" w:rsidRPr="0046675E" w:rsidRDefault="00A760B3" w:rsidP="006B6514">
      <w:pPr>
        <w:pStyle w:val="ListParagraph"/>
        <w:numPr>
          <w:ilvl w:val="0"/>
          <w:numId w:val="96"/>
        </w:numPr>
        <w:spacing w:before="0" w:line="240" w:lineRule="auto"/>
        <w:contextualSpacing w:val="0"/>
      </w:pPr>
      <w:r w:rsidRPr="004426D7">
        <w:t xml:space="preserve">Pine trees will still play an important role in getting to 2050 and could support a future bioeconomy, as bioenergy to replace fossil fuels and as timber for building. </w:t>
      </w:r>
    </w:p>
    <w:p w14:paraId="35684418" w14:textId="77777777" w:rsidR="00A760B3" w:rsidRDefault="00A760B3" w:rsidP="006B6514">
      <w:pPr>
        <w:pStyle w:val="ListParagraph"/>
        <w:numPr>
          <w:ilvl w:val="0"/>
          <w:numId w:val="96"/>
        </w:numPr>
        <w:spacing w:before="0" w:line="240" w:lineRule="auto"/>
        <w:contextualSpacing w:val="0"/>
      </w:pPr>
      <w:r>
        <w:t xml:space="preserve">Existing forests, small blocks of trees, soils and wetlands can all store more carbon. Work is needed to better understand this potential and how to include this in accounting systems. </w:t>
      </w:r>
    </w:p>
    <w:p w14:paraId="7C091685" w14:textId="77777777" w:rsidR="00A760B3" w:rsidRDefault="00A760B3" w:rsidP="006B6514">
      <w:pPr>
        <w:pStyle w:val="ListParagraph"/>
        <w:numPr>
          <w:ilvl w:val="0"/>
          <w:numId w:val="96"/>
        </w:numPr>
        <w:spacing w:before="0" w:line="240" w:lineRule="auto"/>
        <w:contextualSpacing w:val="0"/>
      </w:pPr>
      <w:r>
        <w:t xml:space="preserve">Native forests can create a long-term carbon sink while providing a range of other benefits, like improving biodiversity and erosion control. </w:t>
      </w:r>
      <w:r w:rsidRPr="004426D7">
        <w:t>Incentives are needed to get more native trees planted</w:t>
      </w:r>
      <w:r>
        <w:t>.</w:t>
      </w:r>
    </w:p>
    <w:p w14:paraId="11BA9BAF" w14:textId="77777777" w:rsidR="00CB1FDA" w:rsidRDefault="00CB1FDA" w:rsidP="00CB1FDA">
      <w:pPr>
        <w:pStyle w:val="ListParagraph"/>
        <w:spacing w:before="0" w:line="240" w:lineRule="auto"/>
        <w:contextualSpacing w:val="0"/>
      </w:pPr>
    </w:p>
    <w:tbl>
      <w:tblPr>
        <w:tblStyle w:val="TableGrid"/>
        <w:tblW w:w="8930" w:type="dxa"/>
        <w:tblInd w:w="279" w:type="dxa"/>
        <w:tblLook w:val="04A0" w:firstRow="1" w:lastRow="0" w:firstColumn="1" w:lastColumn="0" w:noHBand="0" w:noVBand="1"/>
      </w:tblPr>
      <w:tblGrid>
        <w:gridCol w:w="8930"/>
      </w:tblGrid>
      <w:tr w:rsidR="00A760B3" w14:paraId="1E2322C4" w14:textId="77777777" w:rsidTr="00900729">
        <w:tc>
          <w:tcPr>
            <w:tcW w:w="8930" w:type="dxa"/>
          </w:tcPr>
          <w:p w14:paraId="03B1E94D" w14:textId="77777777" w:rsidR="00A760B3" w:rsidRPr="00743ACE" w:rsidRDefault="00A760B3" w:rsidP="00636CFB">
            <w:pPr>
              <w:spacing w:before="120" w:after="120"/>
              <w:rPr>
                <w:b/>
                <w:bCs/>
                <w:sz w:val="24"/>
                <w:szCs w:val="24"/>
              </w:rPr>
            </w:pPr>
            <w:r w:rsidRPr="00743ACE">
              <w:rPr>
                <w:b/>
                <w:bCs/>
                <w:sz w:val="24"/>
                <w:szCs w:val="24"/>
              </w:rPr>
              <w:lastRenderedPageBreak/>
              <w:t>Agriculture</w:t>
            </w:r>
          </w:p>
          <w:p w14:paraId="5B4FE18C" w14:textId="77777777" w:rsidR="00A760B3" w:rsidRDefault="00A760B3" w:rsidP="00900729">
            <w:pPr>
              <w:spacing w:after="120"/>
              <w:rPr>
                <w:b/>
                <w:bCs/>
              </w:rPr>
            </w:pPr>
            <w:r>
              <w:rPr>
                <w:b/>
                <w:bCs/>
              </w:rPr>
              <w:t>What is the sector’s c</w:t>
            </w:r>
            <w:r w:rsidRPr="00CD12FB">
              <w:rPr>
                <w:b/>
                <w:bCs/>
              </w:rPr>
              <w:t>urrent emissions profile</w:t>
            </w:r>
            <w:r>
              <w:rPr>
                <w:b/>
                <w:bCs/>
              </w:rPr>
              <w:t>?</w:t>
            </w:r>
          </w:p>
          <w:p w14:paraId="228CA901" w14:textId="77777777" w:rsidR="00A760B3" w:rsidRDefault="00A760B3" w:rsidP="00900729">
            <w:pPr>
              <w:spacing w:after="120"/>
            </w:pPr>
            <w:r>
              <w:t>In 2018, agriculture emissions made up about 90% of biogenic methane and 18% of long-lived gas emissions. This is 1.2 Mt CH</w:t>
            </w:r>
            <w:r w:rsidRPr="00CD12FB">
              <w:rPr>
                <w:vertAlign w:val="subscript"/>
              </w:rPr>
              <w:t>4</w:t>
            </w:r>
            <w:r>
              <w:t xml:space="preserve"> and 8.3 Mt CO</w:t>
            </w:r>
            <w:r w:rsidRPr="00CD12FB">
              <w:rPr>
                <w:vertAlign w:val="subscript"/>
              </w:rPr>
              <w:t>2</w:t>
            </w:r>
            <w:r>
              <w:t>-e, respectively.</w:t>
            </w:r>
          </w:p>
          <w:p w14:paraId="093C497C" w14:textId="77777777" w:rsidR="00A760B3" w:rsidRDefault="00A760B3" w:rsidP="00900729">
            <w:pPr>
              <w:spacing w:after="120"/>
              <w:rPr>
                <w:b/>
                <w:bCs/>
              </w:rPr>
            </w:pPr>
            <w:r>
              <w:rPr>
                <w:b/>
                <w:bCs/>
              </w:rPr>
              <w:t xml:space="preserve">Where does this </w:t>
            </w:r>
            <w:r w:rsidRPr="00CD12FB">
              <w:rPr>
                <w:b/>
                <w:bCs/>
              </w:rPr>
              <w:t>come from</w:t>
            </w:r>
            <w:r>
              <w:rPr>
                <w:b/>
                <w:bCs/>
              </w:rPr>
              <w:t>?</w:t>
            </w:r>
          </w:p>
          <w:p w14:paraId="68DBBD69" w14:textId="77777777" w:rsidR="00A760B3" w:rsidRDefault="00A760B3" w:rsidP="00900729">
            <w:pPr>
              <w:spacing w:after="120"/>
            </w:pPr>
            <w:r>
              <w:t>Long-lived gases from agriculture are largely nitrous oxide, coming from animal urine and synthetic fertiliser use. Smaller amounts of carbon dioxide are emitted through other types of fertiliser.</w:t>
            </w:r>
          </w:p>
          <w:p w14:paraId="50FE5B28" w14:textId="77777777" w:rsidR="00A760B3" w:rsidRDefault="00A760B3" w:rsidP="00900729">
            <w:pPr>
              <w:spacing w:after="120"/>
            </w:pPr>
            <w:r>
              <w:t>Biogenic methane emissions from agriculture are primarily from deer, sheep, beef and dairy cow burps.</w:t>
            </w:r>
          </w:p>
          <w:p w14:paraId="48FBEA98" w14:textId="77777777" w:rsidR="00A760B3" w:rsidRDefault="00A760B3" w:rsidP="00900729">
            <w:pPr>
              <w:spacing w:after="120"/>
              <w:rPr>
                <w:b/>
                <w:bCs/>
              </w:rPr>
            </w:pPr>
            <w:r>
              <w:rPr>
                <w:b/>
                <w:bCs/>
              </w:rPr>
              <w:t>What does our path show for this sector?</w:t>
            </w:r>
            <w:r w:rsidRPr="00CD12FB">
              <w:rPr>
                <w:b/>
                <w:bCs/>
              </w:rPr>
              <w:t xml:space="preserve"> </w:t>
            </w:r>
          </w:p>
          <w:p w14:paraId="036393A0" w14:textId="77777777" w:rsidR="00A760B3" w:rsidRDefault="00A760B3" w:rsidP="00900729">
            <w:pPr>
              <w:spacing w:after="120"/>
            </w:pPr>
            <w:r w:rsidRPr="00F44CF2">
              <w:t>By 2035,</w:t>
            </w:r>
            <w:r>
              <w:t xml:space="preserve"> our path shows that biogenic methane emissions from agriculture reduce to 0.97 Mt CH</w:t>
            </w:r>
            <w:r w:rsidRPr="00CD12FB">
              <w:rPr>
                <w:vertAlign w:val="subscript"/>
              </w:rPr>
              <w:t>4</w:t>
            </w:r>
            <w:r>
              <w:rPr>
                <w:vertAlign w:val="subscript"/>
              </w:rPr>
              <w:t xml:space="preserve">, </w:t>
            </w:r>
            <w:r>
              <w:t>and long-lived gases reach 6.9 Mt CO</w:t>
            </w:r>
            <w:r w:rsidRPr="00CD12FB">
              <w:rPr>
                <w:vertAlign w:val="subscript"/>
              </w:rPr>
              <w:t>2</w:t>
            </w:r>
            <w:r>
              <w:t xml:space="preserve">-e. </w:t>
            </w:r>
            <w:r w:rsidRPr="00CF3DB7">
              <w:t>This puts</w:t>
            </w:r>
            <w:r>
              <w:t xml:space="preserve"> us on track to meeting our 2050 target.</w:t>
            </w:r>
          </w:p>
        </w:tc>
      </w:tr>
    </w:tbl>
    <w:p w14:paraId="44F9712D" w14:textId="77777777" w:rsidR="00A760B3" w:rsidRPr="004426D7" w:rsidRDefault="00A760B3" w:rsidP="00A760B3">
      <w:pPr>
        <w:pStyle w:val="ListParagraph"/>
        <w:spacing w:after="120" w:line="240" w:lineRule="auto"/>
        <w:ind w:left="714"/>
        <w:contextualSpacing w:val="0"/>
      </w:pPr>
    </w:p>
    <w:tbl>
      <w:tblPr>
        <w:tblStyle w:val="TableGrid"/>
        <w:tblW w:w="8925" w:type="dxa"/>
        <w:tblInd w:w="284" w:type="dxa"/>
        <w:tblLook w:val="04A0" w:firstRow="1" w:lastRow="0" w:firstColumn="1" w:lastColumn="0" w:noHBand="0" w:noVBand="1"/>
      </w:tblPr>
      <w:tblGrid>
        <w:gridCol w:w="8925"/>
      </w:tblGrid>
      <w:tr w:rsidR="006B6514" w14:paraId="37E887E2" w14:textId="77777777" w:rsidTr="00636CFB">
        <w:tc>
          <w:tcPr>
            <w:tcW w:w="8925" w:type="dxa"/>
          </w:tcPr>
          <w:p w14:paraId="1E2BF79A" w14:textId="77777777" w:rsidR="006B6514" w:rsidRPr="00176ACB" w:rsidRDefault="006B6514" w:rsidP="00636CFB">
            <w:pPr>
              <w:spacing w:before="120" w:after="120"/>
              <w:rPr>
                <w:b/>
                <w:bCs/>
                <w:sz w:val="24"/>
                <w:szCs w:val="24"/>
              </w:rPr>
            </w:pPr>
            <w:r w:rsidRPr="00176ACB">
              <w:rPr>
                <w:b/>
                <w:bCs/>
                <w:sz w:val="24"/>
                <w:szCs w:val="24"/>
              </w:rPr>
              <w:t>Forestry</w:t>
            </w:r>
          </w:p>
          <w:p w14:paraId="17C683EC" w14:textId="77777777" w:rsidR="006B6514" w:rsidRDefault="006B6514" w:rsidP="00636CFB">
            <w:pPr>
              <w:spacing w:after="120"/>
              <w:rPr>
                <w:b/>
                <w:bCs/>
              </w:rPr>
            </w:pPr>
            <w:r>
              <w:rPr>
                <w:b/>
                <w:bCs/>
              </w:rPr>
              <w:t>What is the sector’s c</w:t>
            </w:r>
            <w:r w:rsidRPr="00CD12FB">
              <w:rPr>
                <w:b/>
                <w:bCs/>
              </w:rPr>
              <w:t>urrent emissions profile</w:t>
            </w:r>
            <w:r>
              <w:rPr>
                <w:b/>
                <w:bCs/>
              </w:rPr>
              <w:t>?</w:t>
            </w:r>
          </w:p>
          <w:p w14:paraId="35BFB852" w14:textId="77777777" w:rsidR="006B6514" w:rsidRDefault="006B6514" w:rsidP="00636CFB">
            <w:pPr>
              <w:spacing w:after="120"/>
            </w:pPr>
            <w:r>
              <w:t xml:space="preserve">In 2018, forests removed </w:t>
            </w:r>
            <w:r w:rsidRPr="0088796C">
              <w:t>9.5</w:t>
            </w:r>
            <w:r>
              <w:t xml:space="preserve"> </w:t>
            </w:r>
            <w:r w:rsidRPr="0088796C">
              <w:t>Mt</w:t>
            </w:r>
            <w:r>
              <w:t xml:space="preserve"> CO</w:t>
            </w:r>
            <w:r w:rsidRPr="0088796C">
              <w:rPr>
                <w:vertAlign w:val="subscript"/>
              </w:rPr>
              <w:t>2</w:t>
            </w:r>
            <w:r>
              <w:t xml:space="preserve"> from the atmosphere. Our emissions would be 14% higher without this.  </w:t>
            </w:r>
          </w:p>
          <w:p w14:paraId="170EF57D" w14:textId="77777777" w:rsidR="006B6514" w:rsidRDefault="006B6514" w:rsidP="00636CFB">
            <w:pPr>
              <w:spacing w:after="120"/>
              <w:rPr>
                <w:b/>
                <w:bCs/>
              </w:rPr>
            </w:pPr>
            <w:r>
              <w:rPr>
                <w:b/>
                <w:bCs/>
              </w:rPr>
              <w:t xml:space="preserve">Where does this </w:t>
            </w:r>
            <w:r w:rsidRPr="00CD12FB">
              <w:rPr>
                <w:b/>
                <w:bCs/>
              </w:rPr>
              <w:t>come from</w:t>
            </w:r>
            <w:r>
              <w:rPr>
                <w:b/>
                <w:bCs/>
              </w:rPr>
              <w:t>?</w:t>
            </w:r>
          </w:p>
          <w:p w14:paraId="33EC6BC4" w14:textId="77777777" w:rsidR="006B6514" w:rsidRDefault="006B6514" w:rsidP="00636CFB">
            <w:pPr>
              <w:spacing w:after="120"/>
            </w:pPr>
            <w:r>
              <w:t xml:space="preserve">Forests remove carbon dioxide from the atmosphere as they grow and emit it when they burn or decompose after harvest or clearance. </w:t>
            </w:r>
          </w:p>
          <w:p w14:paraId="0FEF1041" w14:textId="77777777" w:rsidR="006B6514" w:rsidRDefault="006B6514" w:rsidP="00636CFB">
            <w:pPr>
              <w:spacing w:after="120"/>
              <w:rPr>
                <w:b/>
                <w:bCs/>
              </w:rPr>
            </w:pPr>
            <w:r>
              <w:rPr>
                <w:b/>
                <w:bCs/>
              </w:rPr>
              <w:t>What does our path show for this sector?</w:t>
            </w:r>
            <w:r w:rsidRPr="00CD12FB">
              <w:rPr>
                <w:b/>
                <w:bCs/>
              </w:rPr>
              <w:t xml:space="preserve"> </w:t>
            </w:r>
          </w:p>
          <w:p w14:paraId="614F3D1E" w14:textId="77777777" w:rsidR="006B6514" w:rsidRPr="00CD12FB" w:rsidRDefault="006B6514" w:rsidP="00636CFB">
            <w:pPr>
              <w:spacing w:after="120"/>
            </w:pPr>
            <w:r w:rsidRPr="00AC1F7F">
              <w:t>By 2035, our path shows that</w:t>
            </w:r>
            <w:r>
              <w:t xml:space="preserve"> </w:t>
            </w:r>
            <w:r w:rsidRPr="00F47B77">
              <w:t>net forestry removals</w:t>
            </w:r>
            <w:r w:rsidRPr="00F47B77">
              <w:rPr>
                <w:b/>
                <w:bCs/>
              </w:rPr>
              <w:t xml:space="preserve"> </w:t>
            </w:r>
            <w:r w:rsidRPr="00CF3DB7">
              <w:t>reach</w:t>
            </w:r>
            <w:r>
              <w:t xml:space="preserve"> </w:t>
            </w:r>
            <w:r w:rsidRPr="00C256E3">
              <w:t>14.5</w:t>
            </w:r>
            <w:r>
              <w:t xml:space="preserve"> </w:t>
            </w:r>
            <w:r w:rsidRPr="00C256E3">
              <w:t>Mt</w:t>
            </w:r>
            <w:r>
              <w:t xml:space="preserve"> CO</w:t>
            </w:r>
            <w:r w:rsidRPr="0088796C">
              <w:rPr>
                <w:vertAlign w:val="subscript"/>
              </w:rPr>
              <w:t>2</w:t>
            </w:r>
            <w:r>
              <w:t>. This puts us on track to meeting our 2050 target.</w:t>
            </w:r>
          </w:p>
        </w:tc>
      </w:tr>
    </w:tbl>
    <w:p w14:paraId="0272E494" w14:textId="77777777" w:rsidR="00A760B3" w:rsidRPr="00D944D3" w:rsidRDefault="00A760B3" w:rsidP="00A760B3">
      <w:pPr>
        <w:pStyle w:val="Heading3"/>
      </w:pPr>
      <w:r w:rsidRPr="00D944D3">
        <w:t xml:space="preserve">Waste </w:t>
      </w:r>
    </w:p>
    <w:p w14:paraId="0CB7A18A" w14:textId="77777777" w:rsidR="00A760B3" w:rsidRPr="0046675E" w:rsidRDefault="00A760B3" w:rsidP="006B6514">
      <w:pPr>
        <w:pStyle w:val="ListParagraph"/>
        <w:numPr>
          <w:ilvl w:val="0"/>
          <w:numId w:val="96"/>
        </w:numPr>
        <w:spacing w:before="0" w:line="240" w:lineRule="auto"/>
        <w:contextualSpacing w:val="0"/>
      </w:pPr>
      <w:r w:rsidRPr="0046675E">
        <w:t xml:space="preserve">Aotearoa needs to fundamentally change the way it deals with and thinks about waste. A transformation to this sector will not only reduce emissions but move us from a throw away culture to one that values our resources. </w:t>
      </w:r>
    </w:p>
    <w:p w14:paraId="7BBCDF35" w14:textId="77777777" w:rsidR="00A760B3" w:rsidRPr="00D944D3" w:rsidRDefault="00A760B3" w:rsidP="00A760B3">
      <w:pPr>
        <w:pStyle w:val="Heading4"/>
        <w:spacing w:before="120" w:after="120"/>
      </w:pPr>
      <w:r w:rsidRPr="00D944D3">
        <w:t>What are we recommending?</w:t>
      </w:r>
    </w:p>
    <w:p w14:paraId="17CBEE4E" w14:textId="77777777" w:rsidR="00A760B3" w:rsidRPr="0046675E" w:rsidRDefault="00A760B3" w:rsidP="006B6514">
      <w:pPr>
        <w:pStyle w:val="ListParagraph"/>
        <w:numPr>
          <w:ilvl w:val="0"/>
          <w:numId w:val="96"/>
        </w:numPr>
        <w:spacing w:before="0" w:line="240" w:lineRule="auto"/>
        <w:contextualSpacing w:val="0"/>
      </w:pPr>
      <w:r w:rsidRPr="0046675E">
        <w:t>Creating a circular, self-sustaining economy will reduce Aotearoa’s waste emissions and cut biogenic methane emissions. Strengthened product stewardship and a commitment to resource recovery and reuse must be part of this approach.</w:t>
      </w:r>
    </w:p>
    <w:p w14:paraId="0581ECD9" w14:textId="77777777" w:rsidR="00A760B3" w:rsidRPr="0046675E" w:rsidRDefault="00A760B3" w:rsidP="006B6514">
      <w:pPr>
        <w:pStyle w:val="ListParagraph"/>
        <w:numPr>
          <w:ilvl w:val="0"/>
          <w:numId w:val="96"/>
        </w:numPr>
        <w:spacing w:before="0" w:line="240" w:lineRule="auto"/>
        <w:contextualSpacing w:val="0"/>
      </w:pPr>
      <w:r w:rsidRPr="0046675E">
        <w:t xml:space="preserve">Capturing methane from any remaining waste that makes it to landfill will further emissions reduction. </w:t>
      </w:r>
    </w:p>
    <w:p w14:paraId="6467F162" w14:textId="77777777" w:rsidR="00A760B3" w:rsidRDefault="00A760B3" w:rsidP="00A760B3">
      <w:pPr>
        <w:pStyle w:val="ListParagraph"/>
        <w:spacing w:after="0" w:line="240" w:lineRule="auto"/>
        <w:ind w:left="714"/>
        <w:contextualSpacing w:val="0"/>
        <w:rPr>
          <w:rFonts w:eastAsia="Times New Roman"/>
        </w:rPr>
      </w:pPr>
    </w:p>
    <w:tbl>
      <w:tblPr>
        <w:tblStyle w:val="TableGrid"/>
        <w:tblW w:w="8930" w:type="dxa"/>
        <w:tblInd w:w="279" w:type="dxa"/>
        <w:tblLook w:val="04A0" w:firstRow="1" w:lastRow="0" w:firstColumn="1" w:lastColumn="0" w:noHBand="0" w:noVBand="1"/>
      </w:tblPr>
      <w:tblGrid>
        <w:gridCol w:w="8930"/>
      </w:tblGrid>
      <w:tr w:rsidR="00A760B3" w14:paraId="06C05647" w14:textId="77777777" w:rsidTr="00900729">
        <w:tc>
          <w:tcPr>
            <w:tcW w:w="8930" w:type="dxa"/>
          </w:tcPr>
          <w:p w14:paraId="02A4316B" w14:textId="77777777" w:rsidR="00A760B3" w:rsidRPr="00D07B39" w:rsidRDefault="00A760B3" w:rsidP="00636CFB">
            <w:pPr>
              <w:spacing w:before="120" w:after="120"/>
              <w:rPr>
                <w:b/>
                <w:bCs/>
                <w:sz w:val="24"/>
                <w:szCs w:val="24"/>
              </w:rPr>
            </w:pPr>
            <w:r w:rsidRPr="00D07B39">
              <w:rPr>
                <w:b/>
                <w:bCs/>
                <w:sz w:val="24"/>
                <w:szCs w:val="24"/>
              </w:rPr>
              <w:t>Waste and F-Gases</w:t>
            </w:r>
          </w:p>
          <w:p w14:paraId="7008902A" w14:textId="77777777" w:rsidR="00A760B3" w:rsidRDefault="00A760B3" w:rsidP="00900729">
            <w:pPr>
              <w:spacing w:after="120"/>
              <w:rPr>
                <w:b/>
                <w:bCs/>
              </w:rPr>
            </w:pPr>
            <w:r>
              <w:rPr>
                <w:b/>
                <w:bCs/>
              </w:rPr>
              <w:t>What is the sector’s c</w:t>
            </w:r>
            <w:r w:rsidRPr="00CD12FB">
              <w:rPr>
                <w:b/>
                <w:bCs/>
              </w:rPr>
              <w:t>urrent emissions profile</w:t>
            </w:r>
            <w:r>
              <w:rPr>
                <w:b/>
                <w:bCs/>
              </w:rPr>
              <w:t>?</w:t>
            </w:r>
          </w:p>
          <w:p w14:paraId="138F813E" w14:textId="77777777" w:rsidR="00A760B3" w:rsidRPr="008D4E40" w:rsidRDefault="00A760B3" w:rsidP="00900729">
            <w:pPr>
              <w:spacing w:after="120"/>
            </w:pPr>
            <w:r>
              <w:t xml:space="preserve">In 2018, waste emissions made up </w:t>
            </w:r>
            <w:r w:rsidRPr="008D4E40">
              <w:t xml:space="preserve">10% of total </w:t>
            </w:r>
            <w:r>
              <w:t>biogenic methane</w:t>
            </w:r>
            <w:r w:rsidRPr="008D4E40">
              <w:t>. This is 0.1</w:t>
            </w:r>
            <w:r>
              <w:t>4</w:t>
            </w:r>
            <w:r w:rsidRPr="008D4E40">
              <w:t xml:space="preserve"> Mt</w:t>
            </w:r>
            <w:r>
              <w:t xml:space="preserve"> </w:t>
            </w:r>
            <w:r w:rsidRPr="008D4E40">
              <w:t>CH</w:t>
            </w:r>
            <w:r w:rsidRPr="00CD12FB">
              <w:rPr>
                <w:vertAlign w:val="subscript"/>
              </w:rPr>
              <w:t>4</w:t>
            </w:r>
            <w:r>
              <w:rPr>
                <w:vertAlign w:val="subscript"/>
              </w:rPr>
              <w:t>.</w:t>
            </w:r>
            <w:r w:rsidRPr="008D4E40">
              <w:t xml:space="preserve"> </w:t>
            </w:r>
            <w:r>
              <w:t xml:space="preserve">The sector also emitted </w:t>
            </w:r>
            <w:r w:rsidRPr="008D4E40">
              <w:t>0</w:t>
            </w:r>
            <w:r>
              <w:t>.22</w:t>
            </w:r>
            <w:r w:rsidRPr="008D4E40">
              <w:t xml:space="preserve"> </w:t>
            </w:r>
            <w:r w:rsidRPr="00971D40">
              <w:t>Mt</w:t>
            </w:r>
            <w:r>
              <w:t xml:space="preserve"> CO</w:t>
            </w:r>
            <w:r w:rsidRPr="00CD12FB">
              <w:rPr>
                <w:vertAlign w:val="subscript"/>
              </w:rPr>
              <w:t>2</w:t>
            </w:r>
            <w:r w:rsidRPr="00555CDA">
              <w:t>-</w:t>
            </w:r>
            <w:r>
              <w:t>e of long-lived gases. Emissions of hydrofluorocarbons (HFCs) were 1.8 Mt CO</w:t>
            </w:r>
            <w:r w:rsidRPr="00CD12FB">
              <w:rPr>
                <w:vertAlign w:val="subscript"/>
              </w:rPr>
              <w:t>2</w:t>
            </w:r>
            <w:r w:rsidRPr="00555CDA">
              <w:t>-</w:t>
            </w:r>
            <w:r>
              <w:t>e.</w:t>
            </w:r>
          </w:p>
          <w:p w14:paraId="035DD3CF" w14:textId="77777777" w:rsidR="00A760B3" w:rsidRDefault="00A760B3" w:rsidP="00900729">
            <w:pPr>
              <w:spacing w:after="120"/>
              <w:rPr>
                <w:b/>
                <w:bCs/>
              </w:rPr>
            </w:pPr>
            <w:r>
              <w:rPr>
                <w:b/>
                <w:bCs/>
              </w:rPr>
              <w:t xml:space="preserve">Where does this </w:t>
            </w:r>
            <w:r w:rsidRPr="00CD12FB">
              <w:rPr>
                <w:b/>
                <w:bCs/>
              </w:rPr>
              <w:t>come from</w:t>
            </w:r>
            <w:r>
              <w:rPr>
                <w:b/>
                <w:bCs/>
              </w:rPr>
              <w:t>?</w:t>
            </w:r>
          </w:p>
          <w:p w14:paraId="41936D16" w14:textId="77777777" w:rsidR="00A760B3" w:rsidRPr="008D4E40" w:rsidRDefault="00A760B3" w:rsidP="00900729">
            <w:pPr>
              <w:spacing w:after="120"/>
            </w:pPr>
            <w:r w:rsidRPr="00D07B39">
              <w:t>Most waste emissions are from</w:t>
            </w:r>
            <w:r>
              <w:t xml:space="preserve"> solid waste decomposing at landfill</w:t>
            </w:r>
            <w:r w:rsidRPr="008D4E40">
              <w:t xml:space="preserve"> (90%)</w:t>
            </w:r>
            <w:r>
              <w:t>,</w:t>
            </w:r>
            <w:r w:rsidRPr="008D4E40">
              <w:t xml:space="preserve"> with </w:t>
            </w:r>
            <w:r>
              <w:t>smaller</w:t>
            </w:r>
            <w:r w:rsidRPr="008D4E40">
              <w:t xml:space="preserve"> porti</w:t>
            </w:r>
            <w:r>
              <w:t>o</w:t>
            </w:r>
            <w:r w:rsidRPr="008D4E40">
              <w:t>n</w:t>
            </w:r>
            <w:r>
              <w:t>s</w:t>
            </w:r>
            <w:r w:rsidRPr="008D4E40">
              <w:t xml:space="preserve"> from wastewater treatment (9%) and burning and composting emissions (1%). </w:t>
            </w:r>
            <w:r w:rsidRPr="007F44A8">
              <w:t>F-gas emissions are largely from the leakage of HFCs used in refrigeration and air conditioning systems</w:t>
            </w:r>
            <w:r>
              <w:t>.</w:t>
            </w:r>
          </w:p>
          <w:p w14:paraId="4FCCCA5F" w14:textId="77777777" w:rsidR="00A760B3" w:rsidRDefault="00A760B3" w:rsidP="00900729">
            <w:pPr>
              <w:spacing w:after="120"/>
              <w:rPr>
                <w:b/>
                <w:bCs/>
              </w:rPr>
            </w:pPr>
            <w:r>
              <w:rPr>
                <w:b/>
                <w:bCs/>
              </w:rPr>
              <w:t>What does our path show for this sector?</w:t>
            </w:r>
            <w:r w:rsidRPr="00CD12FB">
              <w:rPr>
                <w:b/>
                <w:bCs/>
              </w:rPr>
              <w:t xml:space="preserve"> </w:t>
            </w:r>
          </w:p>
          <w:p w14:paraId="7E7C6F22" w14:textId="77777777" w:rsidR="00A760B3" w:rsidRPr="00CD12FB" w:rsidRDefault="00A760B3" w:rsidP="00900729">
            <w:pPr>
              <w:spacing w:after="120"/>
            </w:pPr>
            <w:r w:rsidRPr="00BF6DEA">
              <w:t>By 2035, our path shows</w:t>
            </w:r>
            <w:r w:rsidRPr="00CD12FB">
              <w:rPr>
                <w:b/>
                <w:bCs/>
              </w:rPr>
              <w:t xml:space="preserve"> </w:t>
            </w:r>
            <w:r w:rsidRPr="00F47B77">
              <w:t xml:space="preserve">waste emissions </w:t>
            </w:r>
            <w:r>
              <w:t xml:space="preserve">reduce to 0.12 Mt of biogenic methane. </w:t>
            </w:r>
            <w:r w:rsidRPr="007F44A8">
              <w:t xml:space="preserve">HFC emissions </w:t>
            </w:r>
            <w:r>
              <w:t>reduce to</w:t>
            </w:r>
            <w:r w:rsidRPr="007F44A8">
              <w:t xml:space="preserve"> </w:t>
            </w:r>
            <w:r>
              <w:t>1.2</w:t>
            </w:r>
            <w:r w:rsidRPr="007F44A8">
              <w:t xml:space="preserve"> Mt</w:t>
            </w:r>
            <w:r>
              <w:t xml:space="preserve"> CO</w:t>
            </w:r>
            <w:r w:rsidRPr="00CD12FB">
              <w:rPr>
                <w:vertAlign w:val="subscript"/>
              </w:rPr>
              <w:t>2</w:t>
            </w:r>
            <w:r w:rsidRPr="00555CDA">
              <w:t>-</w:t>
            </w:r>
            <w:r>
              <w:t>e.</w:t>
            </w:r>
          </w:p>
        </w:tc>
      </w:tr>
    </w:tbl>
    <w:p w14:paraId="61283C49" w14:textId="77777777" w:rsidR="00A760B3" w:rsidRPr="00D944D3" w:rsidRDefault="00A760B3" w:rsidP="00A760B3">
      <w:pPr>
        <w:pStyle w:val="Heading3"/>
      </w:pPr>
      <w:r w:rsidRPr="00D944D3">
        <w:t>Transport</w:t>
      </w:r>
    </w:p>
    <w:p w14:paraId="5F9DB5AD" w14:textId="77777777" w:rsidR="00A760B3" w:rsidRPr="004426D7" w:rsidRDefault="00A760B3" w:rsidP="006B6514">
      <w:pPr>
        <w:pStyle w:val="ListParagraph"/>
        <w:numPr>
          <w:ilvl w:val="0"/>
          <w:numId w:val="96"/>
        </w:numPr>
        <w:spacing w:before="0" w:line="240" w:lineRule="auto"/>
        <w:contextualSpacing w:val="0"/>
      </w:pPr>
      <w:r w:rsidRPr="0046675E">
        <w:t xml:space="preserve">Reducing transport emissions is crucial to meeting our climate targets. Action here will have an immediate and lasting impact. Aotearoa can cut almost all transport emissions by 2050. The technology already exists and is improving fast. </w:t>
      </w:r>
    </w:p>
    <w:p w14:paraId="404FA309" w14:textId="77777777" w:rsidR="00A760B3" w:rsidRPr="004426D7" w:rsidRDefault="00A760B3" w:rsidP="006B6514">
      <w:pPr>
        <w:pStyle w:val="ListParagraph"/>
        <w:numPr>
          <w:ilvl w:val="0"/>
          <w:numId w:val="96"/>
        </w:numPr>
        <w:spacing w:before="0" w:line="240" w:lineRule="auto"/>
        <w:contextualSpacing w:val="0"/>
      </w:pPr>
      <w:r w:rsidRPr="0046675E">
        <w:t xml:space="preserve">In Aotearoa we need to change the way we build and plan our towns and cities and the way people and products move around. This includes making walking and cycling easier with good cycleways and footpaths. It means moving freight off the road and onto rail and shipping. It means reliable and affordable public and shared transport systems. And it means an electric or low emissions transport fleet. </w:t>
      </w:r>
    </w:p>
    <w:p w14:paraId="4A2E6D68" w14:textId="77777777" w:rsidR="00A760B3" w:rsidRPr="00D944D3" w:rsidRDefault="00A760B3" w:rsidP="00A760B3">
      <w:pPr>
        <w:pStyle w:val="Heading4"/>
        <w:spacing w:before="120" w:after="120"/>
      </w:pPr>
      <w:r w:rsidRPr="004426D7">
        <w:t>What are we recommending?</w:t>
      </w:r>
    </w:p>
    <w:p w14:paraId="72280027" w14:textId="77777777" w:rsidR="00A760B3" w:rsidRPr="00D109F0" w:rsidRDefault="00A760B3" w:rsidP="006B6514">
      <w:pPr>
        <w:pStyle w:val="ListParagraph"/>
        <w:numPr>
          <w:ilvl w:val="0"/>
          <w:numId w:val="96"/>
        </w:numPr>
        <w:spacing w:before="0" w:line="240" w:lineRule="auto"/>
        <w:contextualSpacing w:val="0"/>
      </w:pPr>
      <w:r>
        <w:t>An integrated national transport network should be developed to reduce travel by private car. There needs to be much more walking, cycling and use of public and shared transport.</w:t>
      </w:r>
    </w:p>
    <w:tbl>
      <w:tblPr>
        <w:tblStyle w:val="TableGrid"/>
        <w:tblpPr w:leftFromText="180" w:rightFromText="180" w:vertAnchor="text" w:horzAnchor="margin" w:tblpXSpec="right" w:tblpY="462"/>
        <w:tblW w:w="8930" w:type="dxa"/>
        <w:tblLook w:val="04A0" w:firstRow="1" w:lastRow="0" w:firstColumn="1" w:lastColumn="0" w:noHBand="0" w:noVBand="1"/>
      </w:tblPr>
      <w:tblGrid>
        <w:gridCol w:w="8930"/>
      </w:tblGrid>
      <w:tr w:rsidR="00CB1FDA" w14:paraId="0404AFA6" w14:textId="77777777" w:rsidTr="00CB1FDA">
        <w:tc>
          <w:tcPr>
            <w:tcW w:w="8930" w:type="dxa"/>
          </w:tcPr>
          <w:p w14:paraId="1978620A" w14:textId="77777777" w:rsidR="00CB1FDA" w:rsidRPr="007B2781" w:rsidRDefault="00CB1FDA" w:rsidP="00CB1FDA">
            <w:pPr>
              <w:spacing w:before="120" w:after="120"/>
              <w:rPr>
                <w:b/>
                <w:bCs/>
                <w:sz w:val="24"/>
                <w:szCs w:val="24"/>
              </w:rPr>
            </w:pPr>
            <w:r w:rsidRPr="007B2781">
              <w:rPr>
                <w:b/>
                <w:bCs/>
                <w:sz w:val="24"/>
                <w:szCs w:val="24"/>
              </w:rPr>
              <w:t>Transport</w:t>
            </w:r>
          </w:p>
          <w:p w14:paraId="3A55DC78" w14:textId="77777777" w:rsidR="00CB1FDA" w:rsidRDefault="00CB1FDA" w:rsidP="00CB1FDA">
            <w:pPr>
              <w:spacing w:after="120"/>
              <w:rPr>
                <w:b/>
                <w:bCs/>
              </w:rPr>
            </w:pPr>
            <w:r>
              <w:rPr>
                <w:b/>
                <w:bCs/>
              </w:rPr>
              <w:t>What is the sector’s c</w:t>
            </w:r>
            <w:r w:rsidRPr="00CD12FB">
              <w:rPr>
                <w:b/>
                <w:bCs/>
              </w:rPr>
              <w:t>urrent emissions profile</w:t>
            </w:r>
            <w:r>
              <w:rPr>
                <w:b/>
                <w:bCs/>
              </w:rPr>
              <w:t>?</w:t>
            </w:r>
          </w:p>
          <w:p w14:paraId="0AF7C256" w14:textId="77777777" w:rsidR="00CB1FDA" w:rsidRDefault="00CB1FDA" w:rsidP="00CB1FDA">
            <w:pPr>
              <w:spacing w:after="120"/>
            </w:pPr>
            <w:r>
              <w:t xml:space="preserve">In 2018, transport emissions made up 36.3% of total long-lived gases. This is 16.6 </w:t>
            </w:r>
            <w:r w:rsidRPr="00971D40">
              <w:t>Mt</w:t>
            </w:r>
            <w:r>
              <w:t xml:space="preserve"> CO</w:t>
            </w:r>
            <w:r w:rsidRPr="0088796C">
              <w:rPr>
                <w:vertAlign w:val="subscript"/>
              </w:rPr>
              <w:t>2</w:t>
            </w:r>
            <w:r w:rsidRPr="00555CDA">
              <w:t>-</w:t>
            </w:r>
            <w:r>
              <w:t>e.</w:t>
            </w:r>
          </w:p>
          <w:p w14:paraId="5DE70F71" w14:textId="77777777" w:rsidR="00CB1FDA" w:rsidRDefault="00CB1FDA" w:rsidP="00CB1FDA">
            <w:pPr>
              <w:spacing w:after="120"/>
              <w:rPr>
                <w:b/>
                <w:bCs/>
              </w:rPr>
            </w:pPr>
            <w:r>
              <w:rPr>
                <w:b/>
                <w:bCs/>
              </w:rPr>
              <w:t xml:space="preserve">Where does this </w:t>
            </w:r>
            <w:r w:rsidRPr="00CD12FB">
              <w:rPr>
                <w:b/>
                <w:bCs/>
              </w:rPr>
              <w:t>come from</w:t>
            </w:r>
            <w:r>
              <w:rPr>
                <w:b/>
                <w:bCs/>
              </w:rPr>
              <w:t>?</w:t>
            </w:r>
          </w:p>
          <w:p w14:paraId="044856B8" w14:textId="77777777" w:rsidR="00CB1FDA" w:rsidRDefault="00CB1FDA" w:rsidP="00CB1FDA">
            <w:pPr>
              <w:spacing w:after="120"/>
            </w:pPr>
            <w:r w:rsidRPr="007B2781">
              <w:t>Most</w:t>
            </w:r>
            <w:r>
              <w:t xml:space="preserve"> transport emissions</w:t>
            </w:r>
            <w:r w:rsidRPr="007B2781">
              <w:t xml:space="preserve"> are from</w:t>
            </w:r>
            <w:r>
              <w:t xml:space="preserve"> fossil fuels used to power vehicles. For example, petrol and diesel used by cars, SUVs and trucks (91%), domestic flights (7%) and rail and coastal shipping (2%).</w:t>
            </w:r>
          </w:p>
          <w:p w14:paraId="66337D33" w14:textId="77777777" w:rsidR="00CB1FDA" w:rsidRDefault="00CB1FDA" w:rsidP="00CB1FDA">
            <w:pPr>
              <w:keepNext/>
              <w:spacing w:after="120"/>
              <w:rPr>
                <w:b/>
                <w:bCs/>
              </w:rPr>
            </w:pPr>
            <w:r>
              <w:rPr>
                <w:b/>
                <w:bCs/>
              </w:rPr>
              <w:t>What does our path show for this sector?</w:t>
            </w:r>
            <w:r w:rsidRPr="00CD12FB">
              <w:rPr>
                <w:b/>
                <w:bCs/>
              </w:rPr>
              <w:t xml:space="preserve"> </w:t>
            </w:r>
          </w:p>
          <w:p w14:paraId="6056FBBF" w14:textId="77777777" w:rsidR="00CB1FDA" w:rsidRDefault="00CB1FDA" w:rsidP="00CB1FDA">
            <w:pPr>
              <w:spacing w:after="120"/>
            </w:pPr>
            <w:r w:rsidRPr="007B2781">
              <w:t>By 2035, our path shows</w:t>
            </w:r>
            <w:r>
              <w:rPr>
                <w:b/>
                <w:bCs/>
              </w:rPr>
              <w:t xml:space="preserve"> </w:t>
            </w:r>
            <w:r>
              <w:t xml:space="preserve">transport </w:t>
            </w:r>
            <w:r w:rsidRPr="00F47B77">
              <w:t>emissions</w:t>
            </w:r>
            <w:r w:rsidRPr="00F47B77">
              <w:rPr>
                <w:b/>
                <w:bCs/>
              </w:rPr>
              <w:t xml:space="preserve"> </w:t>
            </w:r>
            <w:r>
              <w:t>reduce to</w:t>
            </w:r>
            <w:r>
              <w:rPr>
                <w:b/>
                <w:bCs/>
              </w:rPr>
              <w:t xml:space="preserve"> </w:t>
            </w:r>
            <w:r>
              <w:t xml:space="preserve">8.8 </w:t>
            </w:r>
            <w:r w:rsidRPr="00971D40">
              <w:t>Mt</w:t>
            </w:r>
            <w:r>
              <w:t xml:space="preserve"> CO</w:t>
            </w:r>
            <w:r w:rsidRPr="0088796C">
              <w:rPr>
                <w:vertAlign w:val="subscript"/>
              </w:rPr>
              <w:t>2</w:t>
            </w:r>
            <w:r w:rsidRPr="00555CDA">
              <w:t>-</w:t>
            </w:r>
            <w:r>
              <w:t>e. This puts us on track to meet our 2050 target.</w:t>
            </w:r>
          </w:p>
        </w:tc>
      </w:tr>
    </w:tbl>
    <w:p w14:paraId="039ABC0D" w14:textId="68B8C621" w:rsidR="00A760B3" w:rsidRPr="00432D11" w:rsidRDefault="00A760B3" w:rsidP="006B6514">
      <w:pPr>
        <w:pStyle w:val="ListParagraph"/>
        <w:numPr>
          <w:ilvl w:val="0"/>
          <w:numId w:val="96"/>
        </w:numPr>
        <w:spacing w:before="0" w:line="240" w:lineRule="auto"/>
        <w:contextualSpacing w:val="0"/>
      </w:pPr>
      <w:r w:rsidRPr="004426D7">
        <w:lastRenderedPageBreak/>
        <w:t xml:space="preserve">Electric vehicles are key </w:t>
      </w:r>
      <w:r w:rsidRPr="0046675E">
        <w:t xml:space="preserve">and need to be widely adopted. We want to see the majority of the vehicles </w:t>
      </w:r>
      <w:r w:rsidR="006B6514">
        <w:t>coming into</w:t>
      </w:r>
      <w:r w:rsidR="006B6514" w:rsidRPr="0046675E">
        <w:t xml:space="preserve"> New Zealand</w:t>
      </w:r>
      <w:r w:rsidR="006B6514">
        <w:t xml:space="preserve"> for </w:t>
      </w:r>
      <w:r w:rsidRPr="0046675E">
        <w:t xml:space="preserve">everyday </w:t>
      </w:r>
      <w:r w:rsidR="006B6514">
        <w:t>use</w:t>
      </w:r>
      <w:r w:rsidR="006B6514" w:rsidRPr="0046675E">
        <w:t xml:space="preserve"> </w:t>
      </w:r>
      <w:r w:rsidRPr="0046675E">
        <w:t xml:space="preserve">electric by 2035. The government will need to provide support and incentives to make this happen. </w:t>
      </w:r>
    </w:p>
    <w:p w14:paraId="622CF724" w14:textId="77777777" w:rsidR="00A760B3" w:rsidRDefault="00A760B3" w:rsidP="006B6514">
      <w:pPr>
        <w:pStyle w:val="ListParagraph"/>
        <w:numPr>
          <w:ilvl w:val="0"/>
          <w:numId w:val="96"/>
        </w:numPr>
        <w:spacing w:before="0" w:after="120" w:line="240" w:lineRule="auto"/>
        <w:ind w:left="714" w:hanging="357"/>
        <w:contextualSpacing w:val="0"/>
      </w:pPr>
      <w:r w:rsidRPr="004426D7">
        <w:t>Use of low carbon fuels, such as biofuels and hydrogen, needs to increase, particularly in heavy trucks, trains, plane</w:t>
      </w:r>
      <w:r>
        <w:t>s</w:t>
      </w:r>
      <w:r w:rsidRPr="004426D7">
        <w:t>, and ships.</w:t>
      </w:r>
    </w:p>
    <w:p w14:paraId="6B5584B3" w14:textId="77777777" w:rsidR="00A760B3" w:rsidRDefault="00A760B3" w:rsidP="00A760B3">
      <w:pPr>
        <w:pStyle w:val="Heading3"/>
        <w:rPr>
          <w:b/>
          <w:bCs/>
        </w:rPr>
      </w:pPr>
      <w:r w:rsidRPr="00D944D3">
        <w:t>Heat, industry and power</w:t>
      </w:r>
    </w:p>
    <w:p w14:paraId="4AD0C20F" w14:textId="77777777" w:rsidR="00A760B3" w:rsidRPr="0046675E" w:rsidRDefault="00A760B3" w:rsidP="006B6514">
      <w:pPr>
        <w:pStyle w:val="ListParagraph"/>
        <w:numPr>
          <w:ilvl w:val="0"/>
          <w:numId w:val="96"/>
        </w:numPr>
        <w:spacing w:before="0" w:line="240" w:lineRule="auto"/>
        <w:contextualSpacing w:val="0"/>
      </w:pPr>
      <w:r w:rsidRPr="0046675E">
        <w:t xml:space="preserve">Aotearoa needs to decarbonise how we produce and use energy. </w:t>
      </w:r>
      <w:r w:rsidRPr="004426D7">
        <w:t xml:space="preserve">We need to move towards a set of diverse and low emission energy sources by 2050. </w:t>
      </w:r>
    </w:p>
    <w:p w14:paraId="45B19D2E" w14:textId="1395E0B8" w:rsidR="00A760B3" w:rsidRPr="0046675E" w:rsidRDefault="00A760B3" w:rsidP="006B6514">
      <w:pPr>
        <w:pStyle w:val="ListParagraph"/>
        <w:numPr>
          <w:ilvl w:val="0"/>
          <w:numId w:val="96"/>
        </w:numPr>
        <w:spacing w:before="0" w:line="240" w:lineRule="auto"/>
        <w:contextualSpacing w:val="0"/>
      </w:pPr>
      <w:r w:rsidRPr="0046675E">
        <w:t>Aotearoa will</w:t>
      </w:r>
      <w:r w:rsidRPr="004426D7">
        <w:t xml:space="preserve"> need to maximise the use of electricity. This means generating and using more low emissions electricity for vehicles and for process heat. </w:t>
      </w:r>
      <w:r w:rsidR="006B6514" w:rsidRPr="004426D7">
        <w:t xml:space="preserve"> </w:t>
      </w:r>
      <w:r w:rsidRPr="004426D7">
        <w:t xml:space="preserve">Building more renewable generation such as wind, solar and geothermal will be required. </w:t>
      </w:r>
    </w:p>
    <w:p w14:paraId="49E7BE7C" w14:textId="77DAA890" w:rsidR="00A760B3" w:rsidRPr="0046675E" w:rsidRDefault="00A760B3" w:rsidP="006B6514">
      <w:pPr>
        <w:pStyle w:val="ListParagraph"/>
        <w:numPr>
          <w:ilvl w:val="0"/>
          <w:numId w:val="96"/>
        </w:numPr>
        <w:spacing w:before="0" w:line="240" w:lineRule="auto"/>
        <w:contextualSpacing w:val="0"/>
      </w:pPr>
      <w:r w:rsidRPr="004426D7">
        <w:t xml:space="preserve">Reducing emissions from process heat is key. Other low emission energy sources, such as bioenergy, will be needed. </w:t>
      </w:r>
      <w:r w:rsidR="006B6514" w:rsidRPr="004426D7">
        <w:t xml:space="preserve"> </w:t>
      </w:r>
    </w:p>
    <w:p w14:paraId="5A836D8B" w14:textId="77777777" w:rsidR="00A760B3" w:rsidRPr="0046675E" w:rsidRDefault="00A760B3" w:rsidP="006B6514">
      <w:pPr>
        <w:pStyle w:val="ListParagraph"/>
        <w:numPr>
          <w:ilvl w:val="0"/>
          <w:numId w:val="96"/>
        </w:numPr>
        <w:spacing w:before="0" w:line="240" w:lineRule="auto"/>
        <w:contextualSpacing w:val="0"/>
      </w:pPr>
      <w:r w:rsidRPr="0046675E">
        <w:t>Emissions must be reduced at pace while allowing the country to continue to grow. P</w:t>
      </w:r>
      <w:r w:rsidRPr="00E70BE9">
        <w:t>lan</w:t>
      </w:r>
      <w:r>
        <w:t>ning</w:t>
      </w:r>
      <w:r w:rsidRPr="00E70BE9">
        <w:t xml:space="preserve"> ahead so that technologies, assets and infrastructure can be replaced with low emissions </w:t>
      </w:r>
      <w:r>
        <w:t>choices</w:t>
      </w:r>
      <w:r w:rsidRPr="00E70BE9">
        <w:t xml:space="preserve"> on as natural a cycle as possible</w:t>
      </w:r>
      <w:r>
        <w:t xml:space="preserve"> will help business and industry keep pace with the transition.</w:t>
      </w:r>
      <w:r w:rsidRPr="0046675E">
        <w:t xml:space="preserve"> </w:t>
      </w:r>
    </w:p>
    <w:p w14:paraId="7F0E46CF" w14:textId="77777777" w:rsidR="00A760B3" w:rsidRPr="00D944D3" w:rsidRDefault="00A760B3" w:rsidP="00A760B3">
      <w:pPr>
        <w:pStyle w:val="Heading4"/>
        <w:spacing w:before="120" w:after="120"/>
      </w:pPr>
      <w:r w:rsidRPr="00D944D3">
        <w:t xml:space="preserve">What are we recommending? </w:t>
      </w:r>
    </w:p>
    <w:p w14:paraId="61BF60D1" w14:textId="77777777" w:rsidR="00A760B3" w:rsidRPr="0046675E" w:rsidRDefault="00A760B3" w:rsidP="006B6514">
      <w:pPr>
        <w:pStyle w:val="ListParagraph"/>
        <w:numPr>
          <w:ilvl w:val="0"/>
          <w:numId w:val="96"/>
        </w:numPr>
        <w:spacing w:before="0" w:line="240" w:lineRule="auto"/>
        <w:contextualSpacing w:val="0"/>
      </w:pPr>
      <w:r w:rsidRPr="0046675E">
        <w:t xml:space="preserve">We need to almost eliminate fossil fuels. This means ending the use of coal. </w:t>
      </w:r>
    </w:p>
    <w:p w14:paraId="05F2283E" w14:textId="77777777" w:rsidR="00A760B3" w:rsidRPr="0046675E" w:rsidRDefault="00A760B3" w:rsidP="006B6514">
      <w:pPr>
        <w:pStyle w:val="ListParagraph"/>
        <w:numPr>
          <w:ilvl w:val="0"/>
          <w:numId w:val="96"/>
        </w:numPr>
        <w:spacing w:before="0" w:line="240" w:lineRule="auto"/>
        <w:contextualSpacing w:val="0"/>
      </w:pPr>
      <w:r w:rsidRPr="0046675E">
        <w:t>The homes, buildings and infrastructure we build now will still be here in 2050. We need to think about our choices with climate change in mind. That means using low emissions technologies and prioritising energy efficiency.</w:t>
      </w:r>
    </w:p>
    <w:p w14:paraId="35FE7EBB" w14:textId="1A81A595" w:rsidR="00A760B3" w:rsidRPr="0046675E" w:rsidRDefault="00A760B3" w:rsidP="006B6514">
      <w:pPr>
        <w:pStyle w:val="ListParagraph"/>
        <w:numPr>
          <w:ilvl w:val="0"/>
          <w:numId w:val="96"/>
        </w:numPr>
        <w:spacing w:before="0" w:line="240" w:lineRule="auto"/>
        <w:contextualSpacing w:val="0"/>
      </w:pPr>
      <w:r w:rsidRPr="0046675E">
        <w:t xml:space="preserve">In the long-term, we will need to reduce how much </w:t>
      </w:r>
      <w:r w:rsidR="006B6514" w:rsidRPr="00556484">
        <w:t xml:space="preserve">natural </w:t>
      </w:r>
      <w:r w:rsidRPr="0046675E">
        <w:t>gas we use in homes and businesses.</w:t>
      </w:r>
    </w:p>
    <w:p w14:paraId="65924F10" w14:textId="77777777" w:rsidR="006B6514" w:rsidRPr="00CF1D1A" w:rsidRDefault="006B6514" w:rsidP="006B6514">
      <w:pPr>
        <w:pStyle w:val="ListParagraph"/>
        <w:spacing w:before="0" w:after="0" w:line="240" w:lineRule="auto"/>
        <w:contextualSpacing w:val="0"/>
        <w:rPr>
          <w:rFonts w:eastAsia="Times New Roman"/>
        </w:rPr>
      </w:pPr>
      <w:r w:rsidRPr="004426D7">
        <w:rPr>
          <w:rFonts w:eastAsia="Times New Roman"/>
        </w:rPr>
        <w:t xml:space="preserve"> </w:t>
      </w:r>
    </w:p>
    <w:tbl>
      <w:tblPr>
        <w:tblStyle w:val="TableGrid"/>
        <w:tblW w:w="8930" w:type="dxa"/>
        <w:tblInd w:w="279" w:type="dxa"/>
        <w:tblLook w:val="04A0" w:firstRow="1" w:lastRow="0" w:firstColumn="1" w:lastColumn="0" w:noHBand="0" w:noVBand="1"/>
      </w:tblPr>
      <w:tblGrid>
        <w:gridCol w:w="8930"/>
      </w:tblGrid>
      <w:tr w:rsidR="00A760B3" w14:paraId="63EEF74C" w14:textId="77777777" w:rsidTr="00900729">
        <w:tc>
          <w:tcPr>
            <w:tcW w:w="8930" w:type="dxa"/>
          </w:tcPr>
          <w:p w14:paraId="54EBA37B" w14:textId="77777777" w:rsidR="00A760B3" w:rsidRPr="007B2781" w:rsidRDefault="00A760B3" w:rsidP="00636CFB">
            <w:pPr>
              <w:spacing w:before="120" w:after="120"/>
              <w:rPr>
                <w:b/>
                <w:bCs/>
                <w:sz w:val="24"/>
                <w:szCs w:val="24"/>
              </w:rPr>
            </w:pPr>
            <w:r w:rsidRPr="007B2781">
              <w:rPr>
                <w:b/>
                <w:bCs/>
                <w:sz w:val="24"/>
                <w:szCs w:val="24"/>
              </w:rPr>
              <w:t>Heat, Industry and Power</w:t>
            </w:r>
          </w:p>
          <w:p w14:paraId="6EEB75EE" w14:textId="77777777" w:rsidR="00A760B3" w:rsidRDefault="00A760B3" w:rsidP="00900729">
            <w:pPr>
              <w:spacing w:after="120"/>
              <w:rPr>
                <w:b/>
                <w:bCs/>
              </w:rPr>
            </w:pPr>
            <w:r>
              <w:rPr>
                <w:b/>
                <w:bCs/>
              </w:rPr>
              <w:t>What is the sector’s c</w:t>
            </w:r>
            <w:r w:rsidRPr="00CD12FB">
              <w:rPr>
                <w:b/>
                <w:bCs/>
              </w:rPr>
              <w:t>urrent emissions profile</w:t>
            </w:r>
            <w:r>
              <w:rPr>
                <w:b/>
                <w:bCs/>
              </w:rPr>
              <w:t>?</w:t>
            </w:r>
          </w:p>
          <w:p w14:paraId="5A1819E7" w14:textId="77777777" w:rsidR="00A760B3" w:rsidRDefault="00A760B3" w:rsidP="00900729">
            <w:pPr>
              <w:spacing w:after="120"/>
            </w:pPr>
            <w:r>
              <w:t xml:space="preserve">In 2018, heat, industry and power emissions made up </w:t>
            </w:r>
            <w:r w:rsidRPr="00971D40">
              <w:t>41% of total long</w:t>
            </w:r>
            <w:r>
              <w:t>-</w:t>
            </w:r>
            <w:r w:rsidRPr="00971D40">
              <w:t>lived</w:t>
            </w:r>
            <w:r>
              <w:t xml:space="preserve"> gases. </w:t>
            </w:r>
            <w:r w:rsidRPr="00AE6A98">
              <w:t xml:space="preserve">This </w:t>
            </w:r>
            <w:r w:rsidRPr="00971D40">
              <w:t>is 18.8</w:t>
            </w:r>
            <w:r>
              <w:t xml:space="preserve"> </w:t>
            </w:r>
            <w:r w:rsidRPr="00971D40">
              <w:t>Mt</w:t>
            </w:r>
            <w:r>
              <w:t xml:space="preserve"> CO</w:t>
            </w:r>
            <w:r w:rsidRPr="0088796C">
              <w:rPr>
                <w:vertAlign w:val="subscript"/>
              </w:rPr>
              <w:t>2</w:t>
            </w:r>
            <w:r w:rsidRPr="00555CDA">
              <w:t>-</w:t>
            </w:r>
            <w:r>
              <w:t>e</w:t>
            </w:r>
            <w:r w:rsidRPr="00971D40">
              <w:t>.</w:t>
            </w:r>
          </w:p>
          <w:p w14:paraId="69A6A93A" w14:textId="77777777" w:rsidR="00A760B3" w:rsidRDefault="00A760B3" w:rsidP="00900729">
            <w:pPr>
              <w:spacing w:after="120"/>
              <w:rPr>
                <w:b/>
                <w:bCs/>
              </w:rPr>
            </w:pPr>
            <w:r>
              <w:rPr>
                <w:b/>
                <w:bCs/>
              </w:rPr>
              <w:t xml:space="preserve">Where does this </w:t>
            </w:r>
            <w:r w:rsidRPr="00CD12FB">
              <w:rPr>
                <w:b/>
                <w:bCs/>
              </w:rPr>
              <w:t>come from</w:t>
            </w:r>
            <w:r>
              <w:rPr>
                <w:b/>
                <w:bCs/>
              </w:rPr>
              <w:t>?</w:t>
            </w:r>
          </w:p>
          <w:p w14:paraId="39B70F01" w14:textId="77777777" w:rsidR="00A760B3" w:rsidRPr="00ED6A83" w:rsidRDefault="00A760B3" w:rsidP="00900729">
            <w:pPr>
              <w:spacing w:after="120"/>
              <w:rPr>
                <w:lang w:val="en-US"/>
              </w:rPr>
            </w:pPr>
            <w:r>
              <w:t>Heat, industry and power</w:t>
            </w:r>
            <w:r w:rsidRPr="007B2781">
              <w:t xml:space="preserve"> emissions come from</w:t>
            </w:r>
            <w:r>
              <w:rPr>
                <w:b/>
                <w:bCs/>
              </w:rPr>
              <w:t xml:space="preserve"> </w:t>
            </w:r>
            <w:r w:rsidRPr="002E1151">
              <w:t xml:space="preserve">using </w:t>
            </w:r>
            <w:r w:rsidRPr="00236B2A">
              <w:t>fossil fuels</w:t>
            </w:r>
            <w:r>
              <w:t>, such as coal and gas,</w:t>
            </w:r>
            <w:r>
              <w:rPr>
                <w:lang w:val="en-US"/>
              </w:rPr>
              <w:t xml:space="preserve"> to generate electricity (22%); producing</w:t>
            </w:r>
            <w:r w:rsidRPr="00106D04">
              <w:rPr>
                <w:lang w:val="en-US"/>
              </w:rPr>
              <w:t xml:space="preserve"> heat</w:t>
            </w:r>
            <w:r>
              <w:rPr>
                <w:lang w:val="en-US"/>
              </w:rPr>
              <w:t xml:space="preserve"> and</w:t>
            </w:r>
            <w:r w:rsidRPr="00106D04">
              <w:rPr>
                <w:lang w:val="en-US"/>
              </w:rPr>
              <w:t xml:space="preserve"> chemical reactions</w:t>
            </w:r>
            <w:r>
              <w:rPr>
                <w:lang w:val="en-US"/>
              </w:rPr>
              <w:t xml:space="preserve"> to manufacture products (47%); fossil fuels used in our buildings and homes (7%);</w:t>
            </w:r>
            <w:r w:rsidRPr="004D5F78">
              <w:rPr>
                <w:lang w:val="en-US"/>
              </w:rPr>
              <w:t xml:space="preserve"> oil refining, oil and natural gas production and the operation of coal mines</w:t>
            </w:r>
            <w:r>
              <w:rPr>
                <w:lang w:val="en-US"/>
              </w:rPr>
              <w:t xml:space="preserve"> (12%); and the use of off-road vehicles and machinery (11%). </w:t>
            </w:r>
          </w:p>
          <w:p w14:paraId="3EC779A6" w14:textId="77777777" w:rsidR="00A760B3" w:rsidRDefault="00A760B3" w:rsidP="00900729">
            <w:pPr>
              <w:spacing w:after="120"/>
              <w:rPr>
                <w:b/>
                <w:bCs/>
              </w:rPr>
            </w:pPr>
            <w:r>
              <w:rPr>
                <w:b/>
                <w:bCs/>
              </w:rPr>
              <w:t>What does our path show for this sector?</w:t>
            </w:r>
            <w:r w:rsidRPr="00CD12FB">
              <w:rPr>
                <w:b/>
                <w:bCs/>
              </w:rPr>
              <w:t xml:space="preserve"> </w:t>
            </w:r>
          </w:p>
          <w:p w14:paraId="05929872" w14:textId="77777777" w:rsidR="00A760B3" w:rsidRPr="00CD12FB" w:rsidRDefault="00A760B3" w:rsidP="00900729">
            <w:pPr>
              <w:spacing w:after="120"/>
            </w:pPr>
            <w:r w:rsidRPr="007B2781">
              <w:t>By 2035</w:t>
            </w:r>
            <w:r>
              <w:t>,</w:t>
            </w:r>
            <w:r w:rsidRPr="007B2781">
              <w:t xml:space="preserve"> our path shows</w:t>
            </w:r>
            <w:r>
              <w:rPr>
                <w:b/>
                <w:bCs/>
              </w:rPr>
              <w:t xml:space="preserve"> </w:t>
            </w:r>
            <w:r w:rsidRPr="00F47B77">
              <w:t>emissions</w:t>
            </w:r>
            <w:r>
              <w:t xml:space="preserve"> from heat, industry and power</w:t>
            </w:r>
            <w:r w:rsidRPr="00F47B77">
              <w:t xml:space="preserve"> </w:t>
            </w:r>
            <w:r>
              <w:t>reduce to</w:t>
            </w:r>
            <w:r>
              <w:rPr>
                <w:b/>
                <w:bCs/>
              </w:rPr>
              <w:t xml:space="preserve"> </w:t>
            </w:r>
            <w:r>
              <w:t>10.4</w:t>
            </w:r>
            <w:r w:rsidRPr="004628CE">
              <w:t xml:space="preserve"> </w:t>
            </w:r>
            <w:r w:rsidRPr="00971D40">
              <w:t>Mt</w:t>
            </w:r>
            <w:r>
              <w:t xml:space="preserve"> CO</w:t>
            </w:r>
            <w:r w:rsidRPr="0088796C">
              <w:rPr>
                <w:vertAlign w:val="subscript"/>
              </w:rPr>
              <w:t>2</w:t>
            </w:r>
            <w:r>
              <w:t>-e. This puts us on track to meet our 2050 target.</w:t>
            </w:r>
          </w:p>
        </w:tc>
      </w:tr>
    </w:tbl>
    <w:p w14:paraId="3B0BA1E3" w14:textId="77777777" w:rsidR="00A760B3" w:rsidRDefault="00A760B3" w:rsidP="006B6514">
      <w:pPr>
        <w:pStyle w:val="Heading3"/>
        <w:spacing w:before="120" w:after="120" w:line="240" w:lineRule="auto"/>
        <w:rPr>
          <w:rFonts w:eastAsia="Times New Roman"/>
        </w:rPr>
      </w:pPr>
      <w:r>
        <w:rPr>
          <w:rFonts w:eastAsia="Times New Roman"/>
        </w:rPr>
        <w:lastRenderedPageBreak/>
        <w:t>Emissions budgets</w:t>
      </w:r>
    </w:p>
    <w:p w14:paraId="484E4619" w14:textId="77777777" w:rsidR="00A760B3" w:rsidRPr="00A760B3" w:rsidRDefault="00A760B3" w:rsidP="00A760B3">
      <w:pPr>
        <w:spacing w:after="120" w:line="240" w:lineRule="auto"/>
        <w:rPr>
          <w:rFonts w:eastAsia="Calibri"/>
        </w:rPr>
      </w:pPr>
      <w:r w:rsidRPr="00A760B3">
        <w:rPr>
          <w:rFonts w:eastAsia="Calibri"/>
        </w:rPr>
        <w:t xml:space="preserve">We have proposed the first three emissions budgets for Aotearoa. These budgets set the maximum amount of greenhouse gases Aotearoa can emit over a five-year period and chart the course for stepping down emissions. </w:t>
      </w:r>
    </w:p>
    <w:p w14:paraId="7DE4159B" w14:textId="77777777" w:rsidR="00A760B3" w:rsidRPr="00A760B3" w:rsidRDefault="00A760B3" w:rsidP="00A760B3">
      <w:pPr>
        <w:spacing w:after="120" w:line="240" w:lineRule="auto"/>
        <w:rPr>
          <w:rFonts w:eastAsia="Calibri"/>
        </w:rPr>
      </w:pPr>
      <w:r w:rsidRPr="00A760B3">
        <w:rPr>
          <w:rFonts w:eastAsia="Calibri"/>
        </w:rPr>
        <w:t xml:space="preserve">We have looked at opportunities and barriers for reducing emissions across the whole economy. The budgets are based on how far and how fast our analysis tells us Aotearoa can go towards the 2050 targets. </w:t>
      </w:r>
    </w:p>
    <w:p w14:paraId="321DC40F" w14:textId="77777777" w:rsidR="00A760B3" w:rsidRPr="00A760B3" w:rsidRDefault="00A760B3" w:rsidP="00A760B3">
      <w:pPr>
        <w:spacing w:after="120" w:line="240" w:lineRule="auto"/>
        <w:rPr>
          <w:rFonts w:eastAsia="Calibri"/>
        </w:rPr>
      </w:pPr>
      <w:r w:rsidRPr="004426D7">
        <w:rPr>
          <w:rStyle w:val="normaltextrun"/>
          <w:rFonts w:ascii="Calibri" w:hAnsi="Calibri" w:cs="Calibri"/>
          <w:color w:val="000000"/>
          <w:shd w:val="clear" w:color="auto" w:fill="FFFFFF"/>
        </w:rPr>
        <w:t>Our recommended budgets are consistent with putting Aotearoa on track to meeting the 2050 target under a wide range of future circumstances.</w:t>
      </w:r>
      <w:r w:rsidRPr="00A760B3">
        <w:rPr>
          <w:rFonts w:eastAsia="Calibri"/>
        </w:rPr>
        <w:t xml:space="preserve"> </w:t>
      </w:r>
    </w:p>
    <w:p w14:paraId="3AF74AE4" w14:textId="77777777" w:rsidR="00A760B3" w:rsidRPr="00A760B3" w:rsidRDefault="00A760B3" w:rsidP="00A760B3">
      <w:pPr>
        <w:spacing w:after="120" w:line="240" w:lineRule="auto"/>
        <w:rPr>
          <w:rFonts w:eastAsia="Calibri"/>
        </w:rPr>
      </w:pPr>
      <w:r w:rsidRPr="00A760B3">
        <w:rPr>
          <w:rFonts w:eastAsia="Calibri"/>
        </w:rPr>
        <w:t>The budgets are ambitious, but achievable. They represent a significant reduction on current levels of emissions, and step down considerably over time.</w:t>
      </w:r>
    </w:p>
    <w:p w14:paraId="3A075B22" w14:textId="77777777" w:rsidR="00A760B3" w:rsidRDefault="006B6514" w:rsidP="00A760B3">
      <w:pPr>
        <w:keepNext/>
        <w:spacing w:after="0"/>
      </w:pPr>
      <w:r>
        <w:rPr>
          <w:noProof/>
        </w:rPr>
        <w:lastRenderedPageBreak/>
        <w:drawing>
          <wp:inline distT="0" distB="0" distL="0" distR="0" wp14:anchorId="04A4BD22" wp14:editId="3EF86F5C">
            <wp:extent cx="5478449" cy="265326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5478449" cy="2653265"/>
                    </a:xfrm>
                    <a:prstGeom prst="rect">
                      <a:avLst/>
                    </a:prstGeom>
                  </pic:spPr>
                </pic:pic>
              </a:graphicData>
            </a:graphic>
          </wp:inline>
        </w:drawing>
      </w:r>
    </w:p>
    <w:p w14:paraId="47400D67" w14:textId="3FDECBFE" w:rsidR="00A760B3" w:rsidRPr="000B1BCA" w:rsidRDefault="00A760B3" w:rsidP="006B6514">
      <w:pPr>
        <w:pStyle w:val="Caption"/>
        <w:spacing w:after="120"/>
      </w:pPr>
      <w:r w:rsidRPr="000B1BCA">
        <w:t xml:space="preserve">Figure </w:t>
      </w:r>
      <w:r w:rsidR="00920459">
        <w:t>ES</w:t>
      </w:r>
      <w:r w:rsidR="00982BBB">
        <w:fldChar w:fldCharType="begin"/>
      </w:r>
      <w:r w:rsidR="00982BBB">
        <w:instrText xml:space="preserve"> SEQ Figure \* ARABIC </w:instrText>
      </w:r>
      <w:r w:rsidR="00982BBB">
        <w:fldChar w:fldCharType="separate"/>
      </w:r>
      <w:r w:rsidR="00A22B54">
        <w:rPr>
          <w:noProof/>
        </w:rPr>
        <w:t>2</w:t>
      </w:r>
      <w:r w:rsidR="00982BBB">
        <w:rPr>
          <w:noProof/>
        </w:rPr>
        <w:fldChar w:fldCharType="end"/>
      </w:r>
      <w:r w:rsidRPr="000B1BCA">
        <w:t>: Our proposed emissions budgets. The figure shows all gases combined as CO</w:t>
      </w:r>
      <w:r w:rsidRPr="00D41030">
        <w:rPr>
          <w:vertAlign w:val="subscript"/>
        </w:rPr>
        <w:t>2</w:t>
      </w:r>
      <w:r w:rsidRPr="000B1BCA">
        <w:t xml:space="preserve"> equivalent – grey is emissions of long-lived gases, orange is biogenic methane emissions.</w:t>
      </w:r>
    </w:p>
    <w:p w14:paraId="7F4F1164" w14:textId="77777777" w:rsidR="00A760B3" w:rsidRDefault="006B6514" w:rsidP="00A760B3">
      <w:pPr>
        <w:keepNext/>
        <w:spacing w:after="0"/>
        <w:jc w:val="center"/>
      </w:pPr>
      <w:r>
        <w:rPr>
          <w:noProof/>
        </w:rPr>
        <w:drawing>
          <wp:inline distT="0" distB="0" distL="0" distR="0" wp14:anchorId="5BD4E420" wp14:editId="11409950">
            <wp:extent cx="4495800" cy="25391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4">
                      <a:extLst>
                        <a:ext uri="{28A0092B-C50C-407E-A947-70E740481C1C}">
                          <a14:useLocalDpi xmlns:a14="http://schemas.microsoft.com/office/drawing/2010/main" val="0"/>
                        </a:ext>
                      </a:extLst>
                    </a:blip>
                    <a:stretch>
                      <a:fillRect/>
                    </a:stretch>
                  </pic:blipFill>
                  <pic:spPr>
                    <a:xfrm>
                      <a:off x="0" y="0"/>
                      <a:ext cx="4495800" cy="2539155"/>
                    </a:xfrm>
                    <a:prstGeom prst="rect">
                      <a:avLst/>
                    </a:prstGeom>
                  </pic:spPr>
                </pic:pic>
              </a:graphicData>
            </a:graphic>
          </wp:inline>
        </w:drawing>
      </w:r>
    </w:p>
    <w:p w14:paraId="175B1587" w14:textId="2283016D" w:rsidR="00A760B3" w:rsidRPr="00985B63" w:rsidRDefault="00A760B3" w:rsidP="006B6514">
      <w:pPr>
        <w:pStyle w:val="Caption"/>
      </w:pPr>
      <w:r w:rsidRPr="00B0793D">
        <w:t xml:space="preserve">Figure </w:t>
      </w:r>
      <w:r w:rsidR="00920459">
        <w:t>ES</w:t>
      </w:r>
      <w:r w:rsidR="00982BBB">
        <w:fldChar w:fldCharType="begin"/>
      </w:r>
      <w:r w:rsidR="00982BBB">
        <w:instrText xml:space="preserve"> SEQ Figure \* ARABIC </w:instrText>
      </w:r>
      <w:r w:rsidR="00982BBB">
        <w:fldChar w:fldCharType="separate"/>
      </w:r>
      <w:r w:rsidR="00A22B54">
        <w:rPr>
          <w:noProof/>
        </w:rPr>
        <w:t>3</w:t>
      </w:r>
      <w:r w:rsidR="00982BBB">
        <w:rPr>
          <w:noProof/>
        </w:rPr>
        <w:fldChar w:fldCharType="end"/>
      </w:r>
      <w:r>
        <w:t xml:space="preserve">: </w:t>
      </w:r>
      <w:r w:rsidRPr="00B0793D">
        <w:t>How our path would reduce emissions across all sectors by 2035. Note that long-lived gases from agriculture are mainly nitrous oxide and some carbon dioxide.</w:t>
      </w:r>
    </w:p>
    <w:p w14:paraId="1C559A9C" w14:textId="5802C51A" w:rsidR="006B6514" w:rsidRDefault="00A760B3" w:rsidP="006B6514">
      <w:pPr>
        <w:pStyle w:val="Caption"/>
      </w:pPr>
      <w:r w:rsidRPr="000E556A">
        <w:t xml:space="preserve">Table </w:t>
      </w:r>
      <w:r w:rsidR="00920459">
        <w:t>ES</w:t>
      </w:r>
      <w:r w:rsidR="00982BBB">
        <w:fldChar w:fldCharType="begin"/>
      </w:r>
      <w:r w:rsidR="00982BBB">
        <w:instrText xml:space="preserve"> SEQ Table \* ARABIC </w:instrText>
      </w:r>
      <w:r w:rsidR="00982BBB">
        <w:fldChar w:fldCharType="separate"/>
      </w:r>
      <w:r w:rsidR="00A22B54">
        <w:rPr>
          <w:noProof/>
        </w:rPr>
        <w:t>1</w:t>
      </w:r>
      <w:r w:rsidR="00982BBB">
        <w:rPr>
          <w:noProof/>
        </w:rPr>
        <w:fldChar w:fldCharType="end"/>
      </w:r>
      <w:r w:rsidR="006B6514">
        <w:t xml:space="preserve">: </w:t>
      </w:r>
      <w:r w:rsidR="006B6514" w:rsidRPr="002D7BBB">
        <w:t>Our proposed emissions budgets</w:t>
      </w:r>
      <w:r w:rsidR="006B6514">
        <w:t>. A</w:t>
      </w:r>
      <w:r w:rsidR="006B6514" w:rsidRPr="000B1BCA">
        <w:t>ll gases</w:t>
      </w:r>
      <w:r w:rsidR="006B6514">
        <w:t xml:space="preserve"> are</w:t>
      </w:r>
      <w:r w:rsidR="006B6514" w:rsidRPr="000B1BCA">
        <w:t xml:space="preserve"> combined as CO</w:t>
      </w:r>
      <w:r w:rsidR="006B6514" w:rsidRPr="000E556A">
        <w:rPr>
          <w:vertAlign w:val="subscript"/>
        </w:rPr>
        <w:t>2</w:t>
      </w:r>
      <w:r w:rsidR="006B6514" w:rsidRPr="000B1BCA">
        <w:t xml:space="preserve"> equivalent</w:t>
      </w:r>
    </w:p>
    <w:tbl>
      <w:tblPr>
        <w:tblStyle w:val="GridTable5Dark-Accent3"/>
        <w:tblW w:w="9209" w:type="dxa"/>
        <w:tblLook w:val="04A0" w:firstRow="1" w:lastRow="0" w:firstColumn="1" w:lastColumn="0" w:noHBand="0" w:noVBand="1"/>
      </w:tblPr>
      <w:tblGrid>
        <w:gridCol w:w="2405"/>
        <w:gridCol w:w="1276"/>
        <w:gridCol w:w="1701"/>
        <w:gridCol w:w="1843"/>
        <w:gridCol w:w="1984"/>
      </w:tblGrid>
      <w:tr w:rsidR="00A760B3" w14:paraId="354BE0E8" w14:textId="77777777" w:rsidTr="00636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right w:val="none" w:sz="0" w:space="0" w:color="auto"/>
            </w:tcBorders>
            <w:shd w:val="clear" w:color="auto" w:fill="EDEDED" w:themeFill="accent3" w:themeFillTint="33"/>
          </w:tcPr>
          <w:p w14:paraId="19A28F67" w14:textId="77777777" w:rsidR="00A760B3" w:rsidRPr="005F5D24" w:rsidRDefault="00A760B3" w:rsidP="00900729">
            <w:pPr>
              <w:spacing w:before="60"/>
              <w:rPr>
                <w:color w:val="auto"/>
                <w:sz w:val="20"/>
                <w:szCs w:val="20"/>
              </w:rPr>
            </w:pPr>
          </w:p>
        </w:tc>
        <w:tc>
          <w:tcPr>
            <w:tcW w:w="1276" w:type="dxa"/>
            <w:tcBorders>
              <w:top w:val="none" w:sz="0" w:space="0" w:color="auto"/>
              <w:left w:val="none" w:sz="0" w:space="0" w:color="auto"/>
              <w:right w:val="none" w:sz="0" w:space="0" w:color="auto"/>
            </w:tcBorders>
            <w:shd w:val="clear" w:color="auto" w:fill="EDEDED" w:themeFill="accent3" w:themeFillTint="33"/>
          </w:tcPr>
          <w:p w14:paraId="0C6426D5" w14:textId="77777777" w:rsidR="00A760B3" w:rsidRPr="005F5D24" w:rsidRDefault="00A760B3" w:rsidP="00900729">
            <w:pPr>
              <w:spacing w:before="60"/>
              <w:jc w:val="center"/>
              <w:cnfStyle w:val="100000000000" w:firstRow="1" w:lastRow="0" w:firstColumn="0" w:lastColumn="0" w:oddVBand="0" w:evenVBand="0" w:oddHBand="0" w:evenHBand="0" w:firstRowFirstColumn="0" w:firstRowLastColumn="0" w:lastRowFirstColumn="0" w:lastRowLastColumn="0"/>
              <w:rPr>
                <w:b w:val="0"/>
                <w:color w:val="auto"/>
                <w:sz w:val="18"/>
                <w:szCs w:val="18"/>
                <w:highlight w:val="green"/>
              </w:rPr>
            </w:pPr>
          </w:p>
          <w:p w14:paraId="793266A2" w14:textId="77777777" w:rsidR="00A760B3" w:rsidRPr="005F5D24" w:rsidRDefault="00A760B3" w:rsidP="00900729">
            <w:pPr>
              <w:spacing w:before="60"/>
              <w:jc w:val="center"/>
              <w:cnfStyle w:val="100000000000" w:firstRow="1" w:lastRow="0" w:firstColumn="0" w:lastColumn="0" w:oddVBand="0" w:evenVBand="0" w:oddHBand="0" w:evenHBand="0" w:firstRowFirstColumn="0" w:firstRowLastColumn="0" w:lastRowFirstColumn="0" w:lastRowLastColumn="0"/>
              <w:rPr>
                <w:b w:val="0"/>
                <w:color w:val="auto"/>
                <w:sz w:val="18"/>
                <w:szCs w:val="18"/>
                <w:highlight w:val="green"/>
              </w:rPr>
            </w:pPr>
            <w:r w:rsidRPr="005F5D24">
              <w:rPr>
                <w:b w:val="0"/>
                <w:color w:val="auto"/>
                <w:sz w:val="18"/>
                <w:szCs w:val="18"/>
              </w:rPr>
              <w:t>2018</w:t>
            </w:r>
          </w:p>
        </w:tc>
        <w:tc>
          <w:tcPr>
            <w:tcW w:w="1701" w:type="dxa"/>
            <w:tcBorders>
              <w:top w:val="none" w:sz="0" w:space="0" w:color="auto"/>
              <w:left w:val="none" w:sz="0" w:space="0" w:color="auto"/>
              <w:right w:val="none" w:sz="0" w:space="0" w:color="auto"/>
            </w:tcBorders>
            <w:shd w:val="clear" w:color="auto" w:fill="EDEDED" w:themeFill="accent3" w:themeFillTint="33"/>
          </w:tcPr>
          <w:p w14:paraId="1D9849F8" w14:textId="77777777" w:rsidR="00A760B3" w:rsidRPr="005F5D24" w:rsidRDefault="00A760B3" w:rsidP="00900729">
            <w:pPr>
              <w:spacing w:before="60"/>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5F5D24">
              <w:rPr>
                <w:b w:val="0"/>
                <w:color w:val="auto"/>
                <w:sz w:val="18"/>
                <w:szCs w:val="18"/>
              </w:rPr>
              <w:t xml:space="preserve">Emissions </w:t>
            </w:r>
            <w:r w:rsidRPr="005F5D24">
              <w:rPr>
                <w:b w:val="0"/>
                <w:color w:val="auto"/>
                <w:sz w:val="18"/>
                <w:szCs w:val="18"/>
              </w:rPr>
              <w:br/>
              <w:t>budget 1</w:t>
            </w:r>
            <w:r w:rsidRPr="005F5D24">
              <w:rPr>
                <w:b w:val="0"/>
                <w:color w:val="auto"/>
                <w:sz w:val="18"/>
                <w:szCs w:val="18"/>
              </w:rPr>
              <w:br/>
              <w:t>(2022 – 2025)</w:t>
            </w:r>
          </w:p>
        </w:tc>
        <w:tc>
          <w:tcPr>
            <w:tcW w:w="1843" w:type="dxa"/>
            <w:tcBorders>
              <w:top w:val="none" w:sz="0" w:space="0" w:color="auto"/>
              <w:left w:val="none" w:sz="0" w:space="0" w:color="auto"/>
              <w:right w:val="none" w:sz="0" w:space="0" w:color="auto"/>
            </w:tcBorders>
            <w:shd w:val="clear" w:color="auto" w:fill="EDEDED" w:themeFill="accent3" w:themeFillTint="33"/>
          </w:tcPr>
          <w:p w14:paraId="765A5EF8" w14:textId="77777777" w:rsidR="00A760B3" w:rsidRPr="005F5D24" w:rsidRDefault="00A760B3" w:rsidP="00900729">
            <w:pPr>
              <w:spacing w:before="60"/>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5F5D24">
              <w:rPr>
                <w:b w:val="0"/>
                <w:color w:val="auto"/>
                <w:sz w:val="18"/>
                <w:szCs w:val="18"/>
              </w:rPr>
              <w:t xml:space="preserve">Emissions </w:t>
            </w:r>
            <w:r w:rsidRPr="005F5D24">
              <w:rPr>
                <w:b w:val="0"/>
                <w:color w:val="auto"/>
                <w:sz w:val="18"/>
                <w:szCs w:val="18"/>
              </w:rPr>
              <w:br/>
              <w:t>budget 2</w:t>
            </w:r>
            <w:r w:rsidRPr="005F5D24">
              <w:rPr>
                <w:b w:val="0"/>
                <w:color w:val="auto"/>
                <w:sz w:val="18"/>
                <w:szCs w:val="18"/>
              </w:rPr>
              <w:br/>
              <w:t>(2026 – 2030)</w:t>
            </w:r>
          </w:p>
        </w:tc>
        <w:tc>
          <w:tcPr>
            <w:tcW w:w="1984" w:type="dxa"/>
            <w:tcBorders>
              <w:top w:val="none" w:sz="0" w:space="0" w:color="auto"/>
              <w:left w:val="none" w:sz="0" w:space="0" w:color="auto"/>
              <w:right w:val="none" w:sz="0" w:space="0" w:color="auto"/>
            </w:tcBorders>
            <w:shd w:val="clear" w:color="auto" w:fill="EDEDED" w:themeFill="accent3" w:themeFillTint="33"/>
          </w:tcPr>
          <w:p w14:paraId="03FA52EC" w14:textId="77777777" w:rsidR="00A760B3" w:rsidRPr="005F5D24" w:rsidRDefault="00A760B3" w:rsidP="00900729">
            <w:pPr>
              <w:spacing w:before="60"/>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5F5D24">
              <w:rPr>
                <w:b w:val="0"/>
                <w:color w:val="auto"/>
                <w:sz w:val="18"/>
                <w:szCs w:val="18"/>
              </w:rPr>
              <w:t xml:space="preserve">Emissions </w:t>
            </w:r>
            <w:r w:rsidRPr="005F5D24">
              <w:rPr>
                <w:b w:val="0"/>
                <w:color w:val="auto"/>
                <w:sz w:val="18"/>
                <w:szCs w:val="18"/>
              </w:rPr>
              <w:br/>
              <w:t>budget 3</w:t>
            </w:r>
            <w:r w:rsidRPr="005F5D24">
              <w:rPr>
                <w:b w:val="0"/>
                <w:color w:val="auto"/>
                <w:sz w:val="18"/>
                <w:szCs w:val="18"/>
              </w:rPr>
              <w:br/>
              <w:t>(2031 – 2035)</w:t>
            </w:r>
          </w:p>
        </w:tc>
      </w:tr>
      <w:tr w:rsidR="00A760B3" w14:paraId="778E5C41" w14:textId="77777777" w:rsidTr="00636C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none" w:sz="0" w:space="0" w:color="auto"/>
            </w:tcBorders>
            <w:shd w:val="clear" w:color="auto" w:fill="EDEDED" w:themeFill="accent3" w:themeFillTint="33"/>
          </w:tcPr>
          <w:p w14:paraId="3AFFEE76" w14:textId="77777777" w:rsidR="00A760B3" w:rsidRPr="005F5D24" w:rsidRDefault="00A760B3" w:rsidP="00900729">
            <w:pPr>
              <w:spacing w:before="60"/>
              <w:rPr>
                <w:b w:val="0"/>
                <w:color w:val="auto"/>
                <w:sz w:val="18"/>
                <w:szCs w:val="18"/>
              </w:rPr>
            </w:pPr>
            <w:r w:rsidRPr="005F5D24">
              <w:rPr>
                <w:color w:val="auto"/>
                <w:sz w:val="18"/>
                <w:szCs w:val="18"/>
              </w:rPr>
              <w:t>All gases, net</w:t>
            </w:r>
            <w:r w:rsidRPr="005F5D24">
              <w:rPr>
                <w:b w:val="0"/>
                <w:color w:val="auto"/>
                <w:sz w:val="18"/>
                <w:szCs w:val="18"/>
              </w:rPr>
              <w:t xml:space="preserve"> (AR4) (Mt CO</w:t>
            </w:r>
            <w:r w:rsidRPr="005F5D24">
              <w:rPr>
                <w:b w:val="0"/>
                <w:color w:val="auto"/>
                <w:sz w:val="18"/>
                <w:szCs w:val="18"/>
                <w:vertAlign w:val="subscript"/>
              </w:rPr>
              <w:t>2</w:t>
            </w:r>
            <w:r w:rsidRPr="005F5D24">
              <w:rPr>
                <w:b w:val="0"/>
                <w:color w:val="auto"/>
                <w:sz w:val="18"/>
                <w:szCs w:val="18"/>
              </w:rPr>
              <w:t>e)</w:t>
            </w:r>
          </w:p>
        </w:tc>
        <w:tc>
          <w:tcPr>
            <w:tcW w:w="1276" w:type="dxa"/>
            <w:shd w:val="clear" w:color="auto" w:fill="EDEDED" w:themeFill="accent3" w:themeFillTint="33"/>
            <w:vAlign w:val="center"/>
          </w:tcPr>
          <w:p w14:paraId="076BF7F7" w14:textId="77777777" w:rsidR="00A760B3" w:rsidRPr="0073531B" w:rsidRDefault="00A760B3" w:rsidP="00900729">
            <w:pPr>
              <w:spacing w:before="60"/>
              <w:jc w:val="center"/>
              <w:cnfStyle w:val="000000100000" w:firstRow="0" w:lastRow="0" w:firstColumn="0" w:lastColumn="0" w:oddVBand="0" w:evenVBand="0" w:oddHBand="1" w:evenHBand="0" w:firstRowFirstColumn="0" w:firstRowLastColumn="0" w:lastRowFirstColumn="0" w:lastRowLastColumn="0"/>
              <w:rPr>
                <w:sz w:val="20"/>
                <w:szCs w:val="20"/>
                <w:highlight w:val="green"/>
              </w:rPr>
            </w:pPr>
          </w:p>
        </w:tc>
        <w:tc>
          <w:tcPr>
            <w:tcW w:w="1701" w:type="dxa"/>
            <w:shd w:val="clear" w:color="auto" w:fill="EDEDED" w:themeFill="accent3" w:themeFillTint="33"/>
            <w:vAlign w:val="center"/>
          </w:tcPr>
          <w:p w14:paraId="54148310" w14:textId="77777777" w:rsidR="00A760B3" w:rsidRPr="0073531B" w:rsidRDefault="00A760B3" w:rsidP="00900729">
            <w:pPr>
              <w:spacing w:before="60"/>
              <w:jc w:val="center"/>
              <w:cnfStyle w:val="000000100000" w:firstRow="0" w:lastRow="0" w:firstColumn="0" w:lastColumn="0" w:oddVBand="0" w:evenVBand="0" w:oddHBand="1" w:evenHBand="0" w:firstRowFirstColumn="0" w:firstRowLastColumn="0" w:lastRowFirstColumn="0" w:lastRowLastColumn="0"/>
              <w:rPr>
                <w:sz w:val="20"/>
                <w:szCs w:val="20"/>
              </w:rPr>
            </w:pPr>
            <w:r w:rsidRPr="0073531B">
              <w:rPr>
                <w:sz w:val="20"/>
                <w:szCs w:val="20"/>
              </w:rPr>
              <w:t>271</w:t>
            </w:r>
          </w:p>
        </w:tc>
        <w:tc>
          <w:tcPr>
            <w:tcW w:w="1843" w:type="dxa"/>
            <w:shd w:val="clear" w:color="auto" w:fill="EDEDED" w:themeFill="accent3" w:themeFillTint="33"/>
            <w:vAlign w:val="center"/>
          </w:tcPr>
          <w:p w14:paraId="31F4EFD4" w14:textId="77777777" w:rsidR="00A760B3" w:rsidRPr="0073531B" w:rsidRDefault="00A760B3" w:rsidP="00900729">
            <w:pPr>
              <w:spacing w:before="60"/>
              <w:jc w:val="center"/>
              <w:cnfStyle w:val="000000100000" w:firstRow="0" w:lastRow="0" w:firstColumn="0" w:lastColumn="0" w:oddVBand="0" w:evenVBand="0" w:oddHBand="1" w:evenHBand="0" w:firstRowFirstColumn="0" w:firstRowLastColumn="0" w:lastRowFirstColumn="0" w:lastRowLastColumn="0"/>
              <w:rPr>
                <w:sz w:val="20"/>
                <w:szCs w:val="20"/>
              </w:rPr>
            </w:pPr>
            <w:r w:rsidRPr="0073531B">
              <w:rPr>
                <w:sz w:val="20"/>
                <w:szCs w:val="20"/>
              </w:rPr>
              <w:t>286</w:t>
            </w:r>
          </w:p>
        </w:tc>
        <w:tc>
          <w:tcPr>
            <w:tcW w:w="1984" w:type="dxa"/>
            <w:shd w:val="clear" w:color="auto" w:fill="EDEDED" w:themeFill="accent3" w:themeFillTint="33"/>
            <w:vAlign w:val="center"/>
          </w:tcPr>
          <w:p w14:paraId="1CA16AE4" w14:textId="77777777" w:rsidR="00A760B3" w:rsidRPr="0073531B" w:rsidRDefault="00A760B3" w:rsidP="00900729">
            <w:pPr>
              <w:spacing w:before="60"/>
              <w:jc w:val="center"/>
              <w:cnfStyle w:val="000000100000" w:firstRow="0" w:lastRow="0" w:firstColumn="0" w:lastColumn="0" w:oddVBand="0" w:evenVBand="0" w:oddHBand="1" w:evenHBand="0" w:firstRowFirstColumn="0" w:firstRowLastColumn="0" w:lastRowFirstColumn="0" w:lastRowLastColumn="0"/>
              <w:rPr>
                <w:sz w:val="20"/>
                <w:szCs w:val="20"/>
              </w:rPr>
            </w:pPr>
            <w:r w:rsidRPr="0073531B">
              <w:rPr>
                <w:sz w:val="20"/>
                <w:szCs w:val="20"/>
              </w:rPr>
              <w:t>223</w:t>
            </w:r>
          </w:p>
        </w:tc>
      </w:tr>
      <w:tr w:rsidR="00A760B3" w14:paraId="1DAC1B4E" w14:textId="77777777" w:rsidTr="00636CFB">
        <w:tc>
          <w:tcPr>
            <w:cnfStyle w:val="001000000000" w:firstRow="0" w:lastRow="0" w:firstColumn="1" w:lastColumn="0" w:oddVBand="0" w:evenVBand="0" w:oddHBand="0" w:evenHBand="0" w:firstRowFirstColumn="0" w:firstRowLastColumn="0" w:lastRowFirstColumn="0" w:lastRowLastColumn="0"/>
            <w:tcW w:w="2405" w:type="dxa"/>
            <w:tcBorders>
              <w:left w:val="none" w:sz="0" w:space="0" w:color="auto"/>
            </w:tcBorders>
            <w:shd w:val="clear" w:color="auto" w:fill="EDEDED" w:themeFill="accent3" w:themeFillTint="33"/>
          </w:tcPr>
          <w:p w14:paraId="2B7628FE" w14:textId="77777777" w:rsidR="00A760B3" w:rsidRPr="005F5D24" w:rsidRDefault="00A760B3" w:rsidP="00900729">
            <w:pPr>
              <w:spacing w:before="60"/>
              <w:rPr>
                <w:color w:val="auto"/>
                <w:sz w:val="18"/>
                <w:szCs w:val="18"/>
              </w:rPr>
            </w:pPr>
            <w:r w:rsidRPr="005F5D24">
              <w:rPr>
                <w:color w:val="auto"/>
                <w:sz w:val="18"/>
                <w:szCs w:val="18"/>
              </w:rPr>
              <w:t xml:space="preserve">Annual average </w:t>
            </w:r>
            <w:r w:rsidRPr="005F5D24">
              <w:rPr>
                <w:b w:val="0"/>
                <w:color w:val="auto"/>
                <w:sz w:val="18"/>
                <w:szCs w:val="18"/>
              </w:rPr>
              <w:t>(Mt CO</w:t>
            </w:r>
            <w:r w:rsidRPr="005F5D24">
              <w:rPr>
                <w:b w:val="0"/>
                <w:color w:val="auto"/>
                <w:sz w:val="18"/>
                <w:szCs w:val="18"/>
                <w:vertAlign w:val="subscript"/>
              </w:rPr>
              <w:t>2</w:t>
            </w:r>
            <w:r w:rsidRPr="005F5D24">
              <w:rPr>
                <w:b w:val="0"/>
                <w:color w:val="auto"/>
                <w:sz w:val="18"/>
                <w:szCs w:val="18"/>
              </w:rPr>
              <w:t>e/year)</w:t>
            </w:r>
          </w:p>
        </w:tc>
        <w:tc>
          <w:tcPr>
            <w:tcW w:w="1276" w:type="dxa"/>
            <w:vAlign w:val="center"/>
          </w:tcPr>
          <w:p w14:paraId="6F0F6A05" w14:textId="77777777" w:rsidR="00A760B3" w:rsidRPr="0073531B" w:rsidRDefault="00A760B3" w:rsidP="00900729">
            <w:pPr>
              <w:spacing w:before="60"/>
              <w:jc w:val="center"/>
              <w:cnfStyle w:val="000000000000" w:firstRow="0" w:lastRow="0" w:firstColumn="0" w:lastColumn="0" w:oddVBand="0" w:evenVBand="0" w:oddHBand="0" w:evenHBand="0" w:firstRowFirstColumn="0" w:firstRowLastColumn="0" w:lastRowFirstColumn="0" w:lastRowLastColumn="0"/>
              <w:rPr>
                <w:sz w:val="20"/>
                <w:szCs w:val="20"/>
              </w:rPr>
            </w:pPr>
            <w:r w:rsidRPr="0073531B">
              <w:rPr>
                <w:sz w:val="20"/>
                <w:szCs w:val="20"/>
              </w:rPr>
              <w:t>69.2</w:t>
            </w:r>
          </w:p>
        </w:tc>
        <w:tc>
          <w:tcPr>
            <w:tcW w:w="1701" w:type="dxa"/>
            <w:vAlign w:val="center"/>
          </w:tcPr>
          <w:p w14:paraId="3D63222D" w14:textId="77777777" w:rsidR="00A760B3" w:rsidRPr="0073531B" w:rsidRDefault="00A760B3" w:rsidP="00900729">
            <w:pPr>
              <w:spacing w:before="60"/>
              <w:jc w:val="center"/>
              <w:cnfStyle w:val="000000000000" w:firstRow="0" w:lastRow="0" w:firstColumn="0" w:lastColumn="0" w:oddVBand="0" w:evenVBand="0" w:oddHBand="0" w:evenHBand="0" w:firstRowFirstColumn="0" w:firstRowLastColumn="0" w:lastRowFirstColumn="0" w:lastRowLastColumn="0"/>
              <w:rPr>
                <w:sz w:val="20"/>
                <w:szCs w:val="20"/>
              </w:rPr>
            </w:pPr>
            <w:r w:rsidRPr="0073531B">
              <w:rPr>
                <w:sz w:val="20"/>
                <w:szCs w:val="20"/>
              </w:rPr>
              <w:t>67.7</w:t>
            </w:r>
          </w:p>
        </w:tc>
        <w:tc>
          <w:tcPr>
            <w:tcW w:w="1843" w:type="dxa"/>
            <w:vAlign w:val="center"/>
          </w:tcPr>
          <w:p w14:paraId="1F22E29B" w14:textId="77777777" w:rsidR="00A760B3" w:rsidRPr="0073531B" w:rsidRDefault="00A760B3" w:rsidP="00900729">
            <w:pPr>
              <w:spacing w:before="60"/>
              <w:jc w:val="center"/>
              <w:cnfStyle w:val="000000000000" w:firstRow="0" w:lastRow="0" w:firstColumn="0" w:lastColumn="0" w:oddVBand="0" w:evenVBand="0" w:oddHBand="0" w:evenHBand="0" w:firstRowFirstColumn="0" w:firstRowLastColumn="0" w:lastRowFirstColumn="0" w:lastRowLastColumn="0"/>
              <w:rPr>
                <w:sz w:val="20"/>
                <w:szCs w:val="20"/>
              </w:rPr>
            </w:pPr>
            <w:r w:rsidRPr="0073531B">
              <w:rPr>
                <w:sz w:val="20"/>
                <w:szCs w:val="20"/>
              </w:rPr>
              <w:t>57.3</w:t>
            </w:r>
          </w:p>
        </w:tc>
        <w:tc>
          <w:tcPr>
            <w:tcW w:w="1984" w:type="dxa"/>
            <w:vAlign w:val="center"/>
          </w:tcPr>
          <w:p w14:paraId="185C0803" w14:textId="77777777" w:rsidR="00A760B3" w:rsidRPr="0073531B" w:rsidRDefault="00A760B3" w:rsidP="00900729">
            <w:pPr>
              <w:spacing w:before="60"/>
              <w:jc w:val="center"/>
              <w:cnfStyle w:val="000000000000" w:firstRow="0" w:lastRow="0" w:firstColumn="0" w:lastColumn="0" w:oddVBand="0" w:evenVBand="0" w:oddHBand="0" w:evenHBand="0" w:firstRowFirstColumn="0" w:firstRowLastColumn="0" w:lastRowFirstColumn="0" w:lastRowLastColumn="0"/>
              <w:rPr>
                <w:sz w:val="20"/>
                <w:szCs w:val="20"/>
              </w:rPr>
            </w:pPr>
            <w:r w:rsidRPr="0073531B">
              <w:rPr>
                <w:sz w:val="20"/>
                <w:szCs w:val="20"/>
              </w:rPr>
              <w:t>44.6</w:t>
            </w:r>
          </w:p>
        </w:tc>
      </w:tr>
      <w:tr w:rsidR="00A760B3" w14:paraId="39DF2EDE" w14:textId="77777777" w:rsidTr="00636C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none" w:sz="0" w:space="0" w:color="auto"/>
              <w:bottom w:val="none" w:sz="0" w:space="0" w:color="auto"/>
            </w:tcBorders>
            <w:shd w:val="clear" w:color="auto" w:fill="EDEDED" w:themeFill="accent3" w:themeFillTint="33"/>
          </w:tcPr>
          <w:p w14:paraId="6EA04C5C" w14:textId="77777777" w:rsidR="00A760B3" w:rsidRPr="005F5D24" w:rsidRDefault="00A760B3" w:rsidP="00900729">
            <w:pPr>
              <w:spacing w:before="60"/>
              <w:rPr>
                <w:color w:val="auto"/>
                <w:sz w:val="18"/>
                <w:szCs w:val="18"/>
              </w:rPr>
            </w:pPr>
            <w:r w:rsidRPr="005F5D24">
              <w:rPr>
                <w:color w:val="auto"/>
                <w:sz w:val="18"/>
                <w:szCs w:val="18"/>
              </w:rPr>
              <w:t>Average reductions on 2018 levels</w:t>
            </w:r>
          </w:p>
        </w:tc>
        <w:tc>
          <w:tcPr>
            <w:tcW w:w="1276" w:type="dxa"/>
            <w:shd w:val="clear" w:color="auto" w:fill="EDEDED" w:themeFill="accent3" w:themeFillTint="33"/>
            <w:vAlign w:val="center"/>
          </w:tcPr>
          <w:p w14:paraId="169E5B23" w14:textId="77777777" w:rsidR="00A760B3" w:rsidRPr="0073531B" w:rsidRDefault="00A760B3" w:rsidP="00900729">
            <w:pPr>
              <w:spacing w:before="6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701" w:type="dxa"/>
            <w:shd w:val="clear" w:color="auto" w:fill="EDEDED" w:themeFill="accent3" w:themeFillTint="33"/>
            <w:vAlign w:val="center"/>
          </w:tcPr>
          <w:p w14:paraId="541B0EFA" w14:textId="77777777" w:rsidR="00A760B3" w:rsidRPr="0073531B" w:rsidRDefault="00A760B3" w:rsidP="00900729">
            <w:pPr>
              <w:spacing w:before="60"/>
              <w:jc w:val="center"/>
              <w:cnfStyle w:val="000000100000" w:firstRow="0" w:lastRow="0" w:firstColumn="0" w:lastColumn="0" w:oddVBand="0" w:evenVBand="0" w:oddHBand="1" w:evenHBand="0" w:firstRowFirstColumn="0" w:firstRowLastColumn="0" w:lastRowFirstColumn="0" w:lastRowLastColumn="0"/>
              <w:rPr>
                <w:sz w:val="20"/>
                <w:szCs w:val="20"/>
              </w:rPr>
            </w:pPr>
            <w:r w:rsidRPr="0073531B">
              <w:rPr>
                <w:sz w:val="20"/>
                <w:szCs w:val="20"/>
              </w:rPr>
              <w:t>2%</w:t>
            </w:r>
          </w:p>
        </w:tc>
        <w:tc>
          <w:tcPr>
            <w:tcW w:w="1843" w:type="dxa"/>
            <w:shd w:val="clear" w:color="auto" w:fill="EDEDED" w:themeFill="accent3" w:themeFillTint="33"/>
            <w:vAlign w:val="center"/>
          </w:tcPr>
          <w:p w14:paraId="2D1A6EAE" w14:textId="77777777" w:rsidR="00A760B3" w:rsidRPr="0073531B" w:rsidRDefault="00A760B3" w:rsidP="00900729">
            <w:pPr>
              <w:spacing w:before="60"/>
              <w:jc w:val="center"/>
              <w:cnfStyle w:val="000000100000" w:firstRow="0" w:lastRow="0" w:firstColumn="0" w:lastColumn="0" w:oddVBand="0" w:evenVBand="0" w:oddHBand="1" w:evenHBand="0" w:firstRowFirstColumn="0" w:firstRowLastColumn="0" w:lastRowFirstColumn="0" w:lastRowLastColumn="0"/>
              <w:rPr>
                <w:sz w:val="20"/>
                <w:szCs w:val="20"/>
              </w:rPr>
            </w:pPr>
            <w:r w:rsidRPr="0073531B">
              <w:rPr>
                <w:sz w:val="20"/>
                <w:szCs w:val="20"/>
              </w:rPr>
              <w:t>17%</w:t>
            </w:r>
          </w:p>
        </w:tc>
        <w:tc>
          <w:tcPr>
            <w:tcW w:w="1984" w:type="dxa"/>
            <w:shd w:val="clear" w:color="auto" w:fill="EDEDED" w:themeFill="accent3" w:themeFillTint="33"/>
            <w:vAlign w:val="center"/>
          </w:tcPr>
          <w:p w14:paraId="6A14C53A" w14:textId="77777777" w:rsidR="00A760B3" w:rsidRPr="0073531B" w:rsidRDefault="00A760B3" w:rsidP="00636CFB">
            <w:pPr>
              <w:spacing w:before="60"/>
              <w:jc w:val="center"/>
              <w:cnfStyle w:val="000000100000" w:firstRow="0" w:lastRow="0" w:firstColumn="0" w:lastColumn="0" w:oddVBand="0" w:evenVBand="0" w:oddHBand="1" w:evenHBand="0" w:firstRowFirstColumn="0" w:firstRowLastColumn="0" w:lastRowFirstColumn="0" w:lastRowLastColumn="0"/>
              <w:rPr>
                <w:sz w:val="20"/>
                <w:szCs w:val="20"/>
              </w:rPr>
            </w:pPr>
            <w:r w:rsidRPr="0073531B">
              <w:rPr>
                <w:sz w:val="20"/>
                <w:szCs w:val="20"/>
              </w:rPr>
              <w:t>36%</w:t>
            </w:r>
          </w:p>
        </w:tc>
      </w:tr>
    </w:tbl>
    <w:p w14:paraId="7A83E990" w14:textId="77777777" w:rsidR="006B6514" w:rsidRPr="004426D7" w:rsidRDefault="006B6514" w:rsidP="006B6514">
      <w:pPr>
        <w:pStyle w:val="CommentText"/>
        <w:spacing w:before="120" w:after="120"/>
        <w:rPr>
          <w:sz w:val="22"/>
          <w:szCs w:val="22"/>
        </w:rPr>
      </w:pPr>
      <w:r w:rsidRPr="004426D7">
        <w:rPr>
          <w:sz w:val="22"/>
          <w:szCs w:val="22"/>
        </w:rPr>
        <w:t>E</w:t>
      </w:r>
      <w:r w:rsidRPr="004426D7">
        <w:rPr>
          <w:rStyle w:val="normaltextrun"/>
          <w:rFonts w:ascii="Calibri" w:hAnsi="Calibri" w:cs="Calibri"/>
          <w:color w:val="000000"/>
          <w:sz w:val="22"/>
          <w:szCs w:val="22"/>
          <w:shd w:val="clear" w:color="auto" w:fill="FFFFFF"/>
        </w:rPr>
        <w:t xml:space="preserve">ach budget must be met, as far as possible, through reducing and removing emissions here in Aotearoa. </w:t>
      </w:r>
      <w:r w:rsidRPr="004426D7">
        <w:rPr>
          <w:sz w:val="22"/>
          <w:szCs w:val="22"/>
        </w:rPr>
        <w:t xml:space="preserve"> Gross emissions must be reduced to meet and sustain the country’s emissions targets, and to avoid pushing the burden to future generations</w:t>
      </w:r>
      <w:r w:rsidRPr="004426D7">
        <w:rPr>
          <w:rStyle w:val="normaltextrun"/>
          <w:rFonts w:ascii="Calibri" w:hAnsi="Calibri" w:cs="Calibri"/>
          <w:color w:val="000000"/>
          <w:sz w:val="22"/>
          <w:szCs w:val="22"/>
          <w:shd w:val="clear" w:color="auto" w:fill="FFFFFF"/>
        </w:rPr>
        <w:t>. </w:t>
      </w:r>
      <w:r w:rsidRPr="004426D7">
        <w:rPr>
          <w:rStyle w:val="eop"/>
          <w:rFonts w:ascii="Calibri" w:hAnsi="Calibri" w:cs="Calibri"/>
          <w:color w:val="000000"/>
          <w:sz w:val="22"/>
          <w:szCs w:val="22"/>
          <w:shd w:val="clear" w:color="auto" w:fill="FFFFFF"/>
        </w:rPr>
        <w:t> </w:t>
      </w:r>
    </w:p>
    <w:p w14:paraId="590A2227" w14:textId="77777777" w:rsidR="00A760B3" w:rsidRPr="004426D7" w:rsidRDefault="00A760B3" w:rsidP="006B6514">
      <w:pPr>
        <w:pStyle w:val="CommentText"/>
        <w:spacing w:after="120"/>
        <w:rPr>
          <w:sz w:val="22"/>
          <w:szCs w:val="22"/>
        </w:rPr>
      </w:pPr>
      <w:r w:rsidRPr="004426D7">
        <w:rPr>
          <w:sz w:val="22"/>
          <w:szCs w:val="22"/>
        </w:rPr>
        <w:lastRenderedPageBreak/>
        <w:t xml:space="preserve">Relying heavily on forestry before 2050 is likely to make maintaining net zero long-lived greenhouse gas emissions after 2050 </w:t>
      </w:r>
      <w:r w:rsidRPr="004426D7" w:rsidDel="000D7653">
        <w:rPr>
          <w:sz w:val="22"/>
          <w:szCs w:val="22"/>
        </w:rPr>
        <w:t>difficult.</w:t>
      </w:r>
      <w:r w:rsidRPr="004426D7">
        <w:rPr>
          <w:sz w:val="22"/>
          <w:szCs w:val="22"/>
        </w:rPr>
        <w:t xml:space="preserve"> It would delay action, lead to higher cumulative emissions and make the job ahead of us more difficult. </w:t>
      </w:r>
    </w:p>
    <w:p w14:paraId="74CD1273" w14:textId="77777777" w:rsidR="00A760B3" w:rsidRPr="00517B27" w:rsidRDefault="00A760B3" w:rsidP="00A760B3">
      <w:pPr>
        <w:pStyle w:val="Heading3"/>
        <w:spacing w:after="160"/>
        <w:rPr>
          <w:rFonts w:eastAsia="Times New Roman"/>
        </w:rPr>
      </w:pPr>
      <w:r w:rsidRPr="3AC4294B">
        <w:rPr>
          <w:rFonts w:eastAsia="Times New Roman"/>
        </w:rPr>
        <w:t>How to meet the emissions budgets – direction of the emissions reduction plan</w:t>
      </w:r>
    </w:p>
    <w:p w14:paraId="7A49AF46" w14:textId="77777777" w:rsidR="00A760B3" w:rsidRPr="0012228E" w:rsidRDefault="00A760B3" w:rsidP="00A760B3">
      <w:pPr>
        <w:spacing w:after="120" w:line="240" w:lineRule="auto"/>
        <w:rPr>
          <w:rStyle w:val="normaltextrun"/>
          <w:rFonts w:ascii="Calibri" w:eastAsia="Times New Roman" w:hAnsi="Calibri" w:cs="Calibri"/>
          <w:lang w:eastAsia="en-NZ"/>
        </w:rPr>
      </w:pPr>
      <w:r w:rsidRPr="0012228E">
        <w:rPr>
          <w:rStyle w:val="normaltextrun"/>
          <w:rFonts w:ascii="Calibri" w:eastAsia="Times New Roman" w:hAnsi="Calibri" w:cs="Calibri"/>
          <w:lang w:eastAsia="en-NZ"/>
        </w:rPr>
        <w:t xml:space="preserve">Meeting our proposed emissions budgets and 2050 targets requires transformational change across all sectors of the economy. </w:t>
      </w:r>
    </w:p>
    <w:p w14:paraId="77D6070A" w14:textId="77777777" w:rsidR="00A760B3" w:rsidRPr="0012228E" w:rsidRDefault="00A760B3" w:rsidP="00A760B3">
      <w:pPr>
        <w:spacing w:after="120" w:line="240" w:lineRule="auto"/>
        <w:rPr>
          <w:rStyle w:val="normaltextrun"/>
          <w:rFonts w:ascii="Calibri" w:eastAsia="Times New Roman" w:hAnsi="Calibri" w:cs="Calibri"/>
          <w:lang w:eastAsia="en-NZ"/>
        </w:rPr>
      </w:pPr>
      <w:r w:rsidRPr="0012228E">
        <w:rPr>
          <w:rStyle w:val="normaltextrun"/>
          <w:rFonts w:ascii="Calibri" w:eastAsia="Times New Roman" w:hAnsi="Calibri" w:cs="Calibri"/>
          <w:lang w:eastAsia="en-NZ"/>
        </w:rPr>
        <w:t>Our analysis shows that reducing transport emissions is crucial to meeting our emissions budgets and reaching net zero by 2050 – this will have an immediate and lasting impact. </w:t>
      </w:r>
    </w:p>
    <w:p w14:paraId="68D8F926" w14:textId="7ABA15F9" w:rsidR="00A760B3" w:rsidRPr="0012228E" w:rsidRDefault="00A760B3" w:rsidP="00A760B3">
      <w:pPr>
        <w:spacing w:after="120" w:line="240" w:lineRule="auto"/>
        <w:rPr>
          <w:rStyle w:val="normaltextrun"/>
          <w:rFonts w:ascii="Calibri" w:eastAsia="Times New Roman" w:hAnsi="Calibri" w:cs="Calibri"/>
          <w:lang w:eastAsia="en-NZ"/>
        </w:rPr>
      </w:pPr>
      <w:r w:rsidRPr="0012228E">
        <w:rPr>
          <w:rStyle w:val="normaltextrun"/>
          <w:rFonts w:ascii="Calibri" w:eastAsia="Times New Roman" w:hAnsi="Calibri" w:cs="Calibri"/>
          <w:lang w:eastAsia="en-NZ"/>
        </w:rPr>
        <w:t>This means changing the way we travel and move goods. New Zealanders should be able to walk and cycle more. Freight will need to come off the road and onto rail and shipping.</w:t>
      </w:r>
      <w:r w:rsidR="006B6514" w:rsidRPr="0012228E">
        <w:rPr>
          <w:rStyle w:val="normaltextrun"/>
          <w:rFonts w:ascii="Calibri" w:eastAsia="Times New Roman" w:hAnsi="Calibri" w:cs="Calibri"/>
          <w:lang w:eastAsia="en-NZ"/>
        </w:rPr>
        <w:t> </w:t>
      </w:r>
      <w:r w:rsidR="006B6514" w:rsidRPr="0012228E">
        <w:rPr>
          <w:rStyle w:val="normaltextrun"/>
          <w:rFonts w:eastAsia="Times New Roman"/>
          <w:lang w:eastAsia="en-NZ"/>
        </w:rPr>
        <w:t> </w:t>
      </w:r>
    </w:p>
    <w:p w14:paraId="66DB2402" w14:textId="77777777" w:rsidR="00A760B3" w:rsidRPr="0012228E" w:rsidRDefault="00A760B3" w:rsidP="00A760B3">
      <w:pPr>
        <w:spacing w:after="120" w:line="240" w:lineRule="auto"/>
        <w:rPr>
          <w:rStyle w:val="normaltextrun"/>
          <w:rFonts w:eastAsia="Times New Roman"/>
          <w:lang w:eastAsia="en-NZ"/>
        </w:rPr>
      </w:pPr>
      <w:r w:rsidRPr="0012228E">
        <w:rPr>
          <w:rStyle w:val="normaltextrun"/>
          <w:rFonts w:ascii="Calibri" w:eastAsia="Times New Roman" w:hAnsi="Calibri" w:cs="Calibri"/>
          <w:lang w:eastAsia="en-NZ"/>
        </w:rPr>
        <w:t>To lower emissions we will need to change the way we plan and build our cities to make it faster and easier to get around. Having an integrated public and shared transport system both locally and across Aotearoa will encourage a shift in the way we live and travel.</w:t>
      </w:r>
      <w:r w:rsidRPr="0012228E">
        <w:rPr>
          <w:rStyle w:val="normaltextrun"/>
          <w:rFonts w:eastAsia="Times New Roman"/>
          <w:lang w:eastAsia="en-NZ"/>
        </w:rPr>
        <w:t> </w:t>
      </w:r>
    </w:p>
    <w:p w14:paraId="00014E93" w14:textId="77777777" w:rsidR="00A760B3" w:rsidRPr="0012228E" w:rsidRDefault="00A760B3" w:rsidP="00A760B3">
      <w:pPr>
        <w:spacing w:after="120" w:line="240" w:lineRule="auto"/>
        <w:rPr>
          <w:rStyle w:val="normaltextrun"/>
          <w:rFonts w:ascii="Calibri" w:eastAsia="Times New Roman" w:hAnsi="Calibri" w:cs="Calibri"/>
          <w:lang w:eastAsia="en-NZ"/>
        </w:rPr>
      </w:pPr>
      <w:r w:rsidRPr="0012228E">
        <w:rPr>
          <w:rStyle w:val="normaltextrun"/>
          <w:rFonts w:eastAsia="Times New Roman"/>
          <w:lang w:eastAsia="en-NZ"/>
        </w:rPr>
        <w:t>Our draft advice recommends action to drive change in all sectors, as described above. It also recommends changes that cut across sectors, to support behaviour change and make sure that climate change is factored into government decisions. Changes to the ETS are needed to make sure it drives low emissions choices. We also recommend measures to ensure policy decisions and investments made now do not lock Aotearoa into a high emissions path.</w:t>
      </w:r>
      <w:r w:rsidRPr="0012228E">
        <w:rPr>
          <w:rStyle w:val="normaltextrun"/>
          <w:rFonts w:ascii="Calibri" w:eastAsia="Times New Roman" w:hAnsi="Calibri" w:cs="Calibri"/>
          <w:lang w:eastAsia="en-NZ"/>
        </w:rPr>
        <w:t xml:space="preserve"> </w:t>
      </w:r>
    </w:p>
    <w:p w14:paraId="4D301BD1" w14:textId="77777777" w:rsidR="00A760B3" w:rsidRPr="004426D7" w:rsidRDefault="00A760B3" w:rsidP="00A760B3">
      <w:pPr>
        <w:pStyle w:val="Heading4"/>
        <w:spacing w:after="120"/>
      </w:pPr>
      <w:r w:rsidRPr="004426D7">
        <w:t xml:space="preserve">What will this mean for New Zealanders? </w:t>
      </w:r>
    </w:p>
    <w:p w14:paraId="49A80688" w14:textId="77777777" w:rsidR="00A760B3" w:rsidRPr="0012228E" w:rsidRDefault="00A760B3" w:rsidP="00A760B3">
      <w:pPr>
        <w:spacing w:after="120" w:line="240" w:lineRule="auto"/>
        <w:rPr>
          <w:rStyle w:val="normaltextrun"/>
          <w:rFonts w:ascii="Calibri" w:eastAsia="Times New Roman" w:hAnsi="Calibri" w:cs="Calibri"/>
          <w:lang w:eastAsia="en-NZ"/>
        </w:rPr>
      </w:pPr>
      <w:r w:rsidRPr="0012228E">
        <w:rPr>
          <w:rStyle w:val="normaltextrun"/>
          <w:rFonts w:ascii="Calibri" w:eastAsia="Times New Roman" w:hAnsi="Calibri" w:cs="Calibri"/>
          <w:lang w:eastAsia="en-NZ"/>
        </w:rPr>
        <w:t>Aotearoa must have an equitable and fair transition to a low emissions economy and society with benefits widely shared.</w:t>
      </w:r>
    </w:p>
    <w:p w14:paraId="4E0F5C6F" w14:textId="77777777" w:rsidR="00A760B3" w:rsidRPr="0012228E" w:rsidRDefault="00A760B3" w:rsidP="00A760B3">
      <w:pPr>
        <w:spacing w:after="120" w:line="240" w:lineRule="auto"/>
        <w:rPr>
          <w:rStyle w:val="normaltextrun"/>
          <w:rFonts w:ascii="Calibri" w:eastAsia="Times New Roman" w:hAnsi="Calibri" w:cs="Calibri"/>
          <w:lang w:eastAsia="en-NZ"/>
        </w:rPr>
      </w:pPr>
      <w:r w:rsidRPr="0012228E">
        <w:rPr>
          <w:rStyle w:val="normaltextrun"/>
          <w:rFonts w:ascii="Calibri" w:eastAsia="Times New Roman" w:hAnsi="Calibri" w:cs="Calibri"/>
          <w:lang w:eastAsia="en-NZ"/>
        </w:rPr>
        <w:t>We have looked at the impacts which our budgets could have on the economy and society over the next 15 years. The overall costs of meeting the country’s targets and our proposed emissions budgets are likely to be less than 1% of projected GDP. This is significantly lower than what was estimated when the 2050 targets were set. While the overall costs are small relative to the size of the whole economy, they will not be evenly felt.</w:t>
      </w:r>
    </w:p>
    <w:p w14:paraId="3E59DDAC" w14:textId="77777777" w:rsidR="00A760B3" w:rsidRPr="0012228E" w:rsidRDefault="00A760B3" w:rsidP="00A760B3">
      <w:pPr>
        <w:spacing w:after="120" w:line="240" w:lineRule="auto"/>
        <w:rPr>
          <w:rStyle w:val="normaltextrun"/>
          <w:rFonts w:ascii="Calibri" w:eastAsia="Times New Roman" w:hAnsi="Calibri" w:cs="Calibri"/>
          <w:lang w:eastAsia="en-NZ"/>
        </w:rPr>
      </w:pPr>
      <w:r w:rsidRPr="0012228E">
        <w:rPr>
          <w:rStyle w:val="normaltextrun"/>
          <w:rFonts w:ascii="Calibri" w:eastAsia="Times New Roman" w:hAnsi="Calibri" w:cs="Calibri"/>
          <w:lang w:eastAsia="en-NZ"/>
        </w:rPr>
        <w:t>The transition to a low emissions society will bring opportunities, benefits, challenges and costs. Any change needs to be well-signalled, equitable and inclusive to make sure that it maximises opportunities while minimising disruption and inequities. </w:t>
      </w:r>
    </w:p>
    <w:p w14:paraId="1899F70A" w14:textId="77777777" w:rsidR="00A760B3" w:rsidRPr="0012228E" w:rsidRDefault="00A760B3" w:rsidP="00A760B3">
      <w:pPr>
        <w:spacing w:after="120" w:line="240" w:lineRule="auto"/>
        <w:rPr>
          <w:rStyle w:val="normaltextrun"/>
          <w:rFonts w:ascii="Calibri" w:eastAsia="Times New Roman" w:hAnsi="Calibri" w:cs="Calibri"/>
          <w:lang w:eastAsia="en-NZ"/>
        </w:rPr>
      </w:pPr>
      <w:r w:rsidRPr="0012228E">
        <w:rPr>
          <w:rStyle w:val="normaltextrun"/>
          <w:rFonts w:ascii="Calibri" w:eastAsia="Times New Roman" w:hAnsi="Calibri" w:cs="Calibri"/>
          <w:lang w:eastAsia="en-NZ"/>
        </w:rPr>
        <w:t xml:space="preserve">Different groups of society, regions and sectors will be affected in different ways, and impacts won’t always be evenly distributed. The Government will need to address this through careful policy design and targeted support. At the same time, government will need to recognise and encourage the co-benefits that come from climate action. This includes health improvements, quieter streets, cleaner water and increased biodiversity through more native forests. </w:t>
      </w:r>
    </w:p>
    <w:p w14:paraId="65A6EF28" w14:textId="4FE9F149" w:rsidR="00A760B3" w:rsidRPr="0012228E" w:rsidRDefault="00A760B3" w:rsidP="00A760B3">
      <w:pPr>
        <w:spacing w:after="120" w:line="240" w:lineRule="auto"/>
        <w:rPr>
          <w:rStyle w:val="normaltextrun"/>
          <w:rFonts w:eastAsia="Times New Roman"/>
          <w:lang w:eastAsia="en-NZ"/>
        </w:rPr>
      </w:pPr>
      <w:r w:rsidRPr="0012228E">
        <w:rPr>
          <w:rStyle w:val="normaltextrun"/>
          <w:rFonts w:eastAsia="Times New Roman"/>
          <w:lang w:eastAsia="en-NZ"/>
        </w:rPr>
        <w:t xml:space="preserve">There will inevitably be changes to employment as Aotearoa moves to low emissions. The coal mining and oil and gas sectors, and the services that support them, will be impacted by the transition away from fossil fuels. This will particularly affect regions with lots of workers in these industries. While these industries are already declining, our proposed emissions budgets could speed this up and possibly result in 600-1,100 fewer jobs across both sectors by 2035. </w:t>
      </w:r>
      <w:r w:rsidR="006B6514" w:rsidRPr="0012228E">
        <w:rPr>
          <w:rStyle w:val="normaltextrun"/>
          <w:rFonts w:eastAsia="Times New Roman"/>
          <w:lang w:eastAsia="en-NZ"/>
        </w:rPr>
        <w:t xml:space="preserve"> </w:t>
      </w:r>
    </w:p>
    <w:p w14:paraId="5031B808" w14:textId="77777777" w:rsidR="00A760B3" w:rsidRPr="0012228E" w:rsidRDefault="00A760B3" w:rsidP="00A760B3">
      <w:pPr>
        <w:spacing w:after="120" w:line="240" w:lineRule="auto"/>
        <w:rPr>
          <w:rStyle w:val="normaltextrun"/>
          <w:rFonts w:ascii="Calibri" w:eastAsia="Times New Roman" w:hAnsi="Calibri" w:cs="Calibri"/>
          <w:lang w:eastAsia="en-NZ"/>
        </w:rPr>
      </w:pPr>
      <w:r w:rsidRPr="0012228E">
        <w:rPr>
          <w:rStyle w:val="normaltextrun"/>
          <w:rFonts w:eastAsia="Times New Roman"/>
          <w:lang w:eastAsia="en-NZ"/>
        </w:rPr>
        <w:lastRenderedPageBreak/>
        <w:t xml:space="preserve">It is worth noting that many of these workers have important skills that will be valuable in other sectors and new industries. We expect employment will rise in in the circular economy, development of biofuels and hydrogen, and in deploying and supporting new technologies. A well-signalled transition will allow time to plan and support workers to retrain and redeploy into new areas of work. </w:t>
      </w:r>
    </w:p>
    <w:p w14:paraId="1E6DF754" w14:textId="77777777" w:rsidR="00A760B3" w:rsidRDefault="00A760B3" w:rsidP="006B6514">
      <w:pPr>
        <w:pStyle w:val="paragraph"/>
        <w:spacing w:before="0" w:beforeAutospacing="0" w:after="120" w:afterAutospacing="0"/>
        <w:textAlignment w:val="baseline"/>
        <w:rPr>
          <w:rStyle w:val="normaltextrun"/>
          <w:rFonts w:ascii="Calibri" w:eastAsia="Calibri" w:hAnsi="Calibri" w:cs="Calibri"/>
          <w:sz w:val="22"/>
          <w:szCs w:val="22"/>
        </w:rPr>
      </w:pPr>
      <w:r>
        <w:rPr>
          <w:rStyle w:val="normaltextrun"/>
          <w:rFonts w:ascii="Calibri" w:eastAsia="Calibri" w:hAnsi="Calibri" w:cs="Calibri"/>
          <w:sz w:val="22"/>
          <w:szCs w:val="22"/>
        </w:rPr>
        <w:t xml:space="preserve">We recommend that the </w:t>
      </w:r>
      <w:r w:rsidRPr="004426D7">
        <w:rPr>
          <w:rStyle w:val="normaltextrun"/>
          <w:rFonts w:ascii="Calibri" w:eastAsia="Calibri" w:hAnsi="Calibri" w:cs="Calibri"/>
          <w:sz w:val="22"/>
          <w:szCs w:val="22"/>
        </w:rPr>
        <w:t>Government</w:t>
      </w:r>
      <w:r>
        <w:rPr>
          <w:rStyle w:val="normaltextrun"/>
          <w:rFonts w:ascii="Calibri" w:eastAsia="Calibri" w:hAnsi="Calibri" w:cs="Calibri"/>
          <w:sz w:val="22"/>
          <w:szCs w:val="22"/>
        </w:rPr>
        <w:t xml:space="preserve"> develop an Equitable Transitions Strategy to support an equitable, inclusive and well-planned climate transition.</w:t>
      </w:r>
    </w:p>
    <w:p w14:paraId="7BB624FC" w14:textId="77777777" w:rsidR="00A760B3" w:rsidRPr="004426D7" w:rsidRDefault="00A760B3" w:rsidP="006B6514">
      <w:pPr>
        <w:pStyle w:val="paragraph"/>
        <w:spacing w:before="0" w:beforeAutospacing="0" w:after="120" w:afterAutospacing="0"/>
        <w:textAlignment w:val="baseline"/>
        <w:rPr>
          <w:rFonts w:ascii="Calibri" w:eastAsia="Calibri" w:hAnsi="Calibri" w:cs="Calibri"/>
          <w:sz w:val="22"/>
          <w:szCs w:val="22"/>
        </w:rPr>
      </w:pPr>
      <w:r w:rsidRPr="004426D7">
        <w:rPr>
          <w:rStyle w:val="normaltextrun"/>
          <w:rFonts w:ascii="Calibri" w:eastAsia="Calibri" w:hAnsi="Calibri" w:cs="Calibri"/>
          <w:sz w:val="22"/>
          <w:szCs w:val="22"/>
        </w:rPr>
        <w:t>Government will need to work alongside </w:t>
      </w:r>
      <w:r w:rsidRPr="3AC4294B">
        <w:rPr>
          <w:rStyle w:val="normaltextrun"/>
          <w:rFonts w:ascii="Calibri" w:hAnsi="Calibri" w:cs="Calibri"/>
          <w:sz w:val="22"/>
          <w:szCs w:val="22"/>
          <w:lang w:val="en-AU"/>
        </w:rPr>
        <w:t>people, and ensure they are including young people, regional Aotearoa, low-income communities, some Māori and Pasifika and people with disabilities to make sure they benefit from the opportunities and are not disproportionately impacted.</w:t>
      </w:r>
      <w:r w:rsidRPr="004426D7">
        <w:rPr>
          <w:rStyle w:val="eop"/>
          <w:rFonts w:ascii="Calibri" w:hAnsi="Calibri" w:cs="Calibri"/>
          <w:sz w:val="22"/>
          <w:szCs w:val="22"/>
        </w:rPr>
        <w:t> </w:t>
      </w:r>
    </w:p>
    <w:p w14:paraId="15B5BEBA" w14:textId="77777777" w:rsidR="00A760B3" w:rsidRPr="004426D7" w:rsidRDefault="00A760B3" w:rsidP="006B6514">
      <w:pPr>
        <w:pStyle w:val="paragraph"/>
        <w:spacing w:before="0" w:beforeAutospacing="0" w:after="120" w:afterAutospacing="0"/>
        <w:textAlignment w:val="baseline"/>
        <w:rPr>
          <w:rStyle w:val="normaltextrun"/>
          <w:rFonts w:ascii="Calibri" w:hAnsi="Calibri" w:cs="Calibri"/>
          <w:color w:val="000000"/>
          <w:sz w:val="22"/>
          <w:szCs w:val="22"/>
          <w:bdr w:val="none" w:sz="0" w:space="0" w:color="auto" w:frame="1"/>
        </w:rPr>
      </w:pPr>
      <w:r w:rsidRPr="004426D7">
        <w:rPr>
          <w:rStyle w:val="normaltextrun"/>
          <w:rFonts w:ascii="Calibri" w:eastAsia="Calibri" w:hAnsi="Calibri" w:cs="Calibri"/>
          <w:color w:val="000000"/>
          <w:sz w:val="22"/>
          <w:szCs w:val="22"/>
          <w:bdr w:val="none" w:sz="0" w:space="0" w:color="auto" w:frame="1"/>
        </w:rPr>
        <w:t xml:space="preserve">Central and local </w:t>
      </w:r>
      <w:r w:rsidRPr="004426D7">
        <w:rPr>
          <w:rStyle w:val="normaltextrun"/>
          <w:rFonts w:ascii="Calibri" w:hAnsi="Calibri" w:cs="Calibri"/>
          <w:color w:val="000000"/>
          <w:sz w:val="22"/>
          <w:szCs w:val="22"/>
          <w:bdr w:val="none" w:sz="0" w:space="0" w:color="auto" w:frame="1"/>
        </w:rPr>
        <w:t xml:space="preserve">government should support Māori communities to ensure they are appropriately resourced for the transition to a low emissions Aotearoa. </w:t>
      </w:r>
    </w:p>
    <w:p w14:paraId="78629DB0" w14:textId="77777777" w:rsidR="00A760B3" w:rsidRDefault="00A760B3" w:rsidP="006B6514">
      <w:pPr>
        <w:pStyle w:val="paragraph"/>
        <w:spacing w:before="0" w:beforeAutospacing="0" w:after="120" w:afterAutospacing="0"/>
        <w:textAlignment w:val="baseline"/>
        <w:rPr>
          <w:rStyle w:val="eop"/>
          <w:rFonts w:ascii="Calibri" w:eastAsia="Calibri" w:hAnsi="Calibri" w:cs="Calibri"/>
          <w:sz w:val="22"/>
          <w:szCs w:val="22"/>
        </w:rPr>
      </w:pPr>
      <w:r w:rsidRPr="004426D7">
        <w:rPr>
          <w:rStyle w:val="normaltextrun"/>
          <w:rFonts w:ascii="Calibri" w:eastAsia="Calibri" w:hAnsi="Calibri" w:cs="Calibri"/>
          <w:sz w:val="22"/>
          <w:szCs w:val="22"/>
        </w:rPr>
        <w:t>Government will need to co-develop plans to make this happen and recognise people are the experts – our communities know what actions need to be taken to benefit or empower them.</w:t>
      </w:r>
      <w:r w:rsidRPr="004426D7">
        <w:rPr>
          <w:rStyle w:val="eop"/>
          <w:rFonts w:ascii="Calibri" w:eastAsia="Calibri" w:hAnsi="Calibri" w:cs="Calibri"/>
          <w:sz w:val="22"/>
          <w:szCs w:val="22"/>
        </w:rPr>
        <w:t> </w:t>
      </w:r>
    </w:p>
    <w:p w14:paraId="7A486B03" w14:textId="5CDA52DD" w:rsidR="00A760B3" w:rsidRPr="004426D7" w:rsidRDefault="006B6514" w:rsidP="00A760B3">
      <w:pPr>
        <w:spacing w:after="120" w:line="240" w:lineRule="auto"/>
        <w:rPr>
          <w:rStyle w:val="normaltextrun"/>
          <w:rFonts w:ascii="Calibri" w:eastAsia="Times New Roman" w:hAnsi="Calibri" w:cs="Calibri"/>
          <w:lang w:eastAsia="en-NZ"/>
        </w:rPr>
      </w:pPr>
      <w:r w:rsidRPr="004426D7">
        <w:rPr>
          <w:rStyle w:val="normaltextrun"/>
          <w:rFonts w:ascii="Calibri" w:eastAsia="Times New Roman" w:hAnsi="Calibri" w:cs="Calibri"/>
          <w:lang w:eastAsia="en-NZ"/>
        </w:rPr>
        <w:t xml:space="preserve">While </w:t>
      </w:r>
      <w:r>
        <w:rPr>
          <w:rStyle w:val="normaltextrun"/>
          <w:rFonts w:ascii="Calibri" w:eastAsia="Times New Roman" w:hAnsi="Calibri" w:cs="Calibri"/>
          <w:lang w:eastAsia="en-NZ"/>
        </w:rPr>
        <w:t>some</w:t>
      </w:r>
      <w:r w:rsidR="00A760B3" w:rsidRPr="004426D7">
        <w:rPr>
          <w:rStyle w:val="normaltextrun"/>
          <w:rFonts w:ascii="Calibri" w:eastAsia="Times New Roman" w:hAnsi="Calibri" w:cs="Calibri"/>
          <w:lang w:eastAsia="en-NZ"/>
        </w:rPr>
        <w:t xml:space="preserve"> businesses will need to close there will be many opportunities for new industries, businesses and jobs. </w:t>
      </w:r>
      <w:r w:rsidRPr="004426D7">
        <w:rPr>
          <w:rStyle w:val="normaltextrun"/>
          <w:rFonts w:ascii="Calibri" w:eastAsia="Times New Roman" w:hAnsi="Calibri" w:cs="Calibri"/>
          <w:lang w:eastAsia="en-NZ"/>
        </w:rPr>
        <w:t xml:space="preserve"> </w:t>
      </w:r>
      <w:r w:rsidR="00A760B3" w:rsidRPr="004426D7">
        <w:rPr>
          <w:rStyle w:val="normaltextrun"/>
          <w:rFonts w:ascii="Calibri" w:eastAsia="Times New Roman" w:hAnsi="Calibri" w:cs="Calibri"/>
          <w:lang w:eastAsia="en-NZ"/>
        </w:rPr>
        <w:t>Our analysis suggests that our emissions budgets could result in job losses in the coal mining and oil and gas sectors. At the same time, taking action to meet the budgets is also likely to result in new jobs in other sectors and new industries, such as supporting and deploying new technologies.</w:t>
      </w:r>
    </w:p>
    <w:p w14:paraId="473E3884" w14:textId="77777777" w:rsidR="00A760B3" w:rsidRPr="004426D7" w:rsidRDefault="00A760B3" w:rsidP="00A760B3">
      <w:pPr>
        <w:spacing w:after="120" w:line="240" w:lineRule="auto"/>
        <w:rPr>
          <w:rStyle w:val="eop"/>
          <w:rFonts w:ascii="Calibri" w:hAnsi="Calibri" w:cs="Calibri"/>
        </w:rPr>
      </w:pPr>
      <w:r w:rsidRPr="004426D7">
        <w:rPr>
          <w:rStyle w:val="normaltextrun"/>
          <w:rFonts w:ascii="Calibri" w:eastAsia="Times New Roman" w:hAnsi="Calibri" w:cs="Calibri"/>
          <w:lang w:eastAsia="en-NZ"/>
        </w:rPr>
        <w:t xml:space="preserve">The make-up of the economy will change, and some workers will need to be supported to retrain or move to similar jobs in new industries. </w:t>
      </w:r>
    </w:p>
    <w:p w14:paraId="390B057B" w14:textId="77777777" w:rsidR="00A760B3" w:rsidRDefault="00A760B3" w:rsidP="00A760B3">
      <w:pPr>
        <w:pStyle w:val="Heading3"/>
        <w:spacing w:after="160"/>
        <w:rPr>
          <w:rFonts w:eastAsia="Times New Roman"/>
        </w:rPr>
      </w:pPr>
      <w:r w:rsidRPr="0052111E">
        <w:rPr>
          <w:rFonts w:eastAsia="Times New Roman"/>
        </w:rPr>
        <w:t>Reduction</w:t>
      </w:r>
      <w:r>
        <w:rPr>
          <w:rFonts w:eastAsia="Times New Roman"/>
        </w:rPr>
        <w:t>s</w:t>
      </w:r>
      <w:r w:rsidRPr="0052111E">
        <w:rPr>
          <w:rFonts w:eastAsia="Times New Roman"/>
        </w:rPr>
        <w:t xml:space="preserve"> in biogenic methane</w:t>
      </w:r>
    </w:p>
    <w:p w14:paraId="1AF7D8B2" w14:textId="77777777" w:rsidR="006B6514" w:rsidRPr="004426D7" w:rsidRDefault="006B6514" w:rsidP="006B6514">
      <w:pPr>
        <w:spacing w:after="120" w:line="240" w:lineRule="auto"/>
      </w:pPr>
      <w:r w:rsidRPr="004426D7">
        <w:t xml:space="preserve">Current Aotearoa targets require </w:t>
      </w:r>
      <w:r>
        <w:t xml:space="preserve">biogenic </w:t>
      </w:r>
      <w:r w:rsidRPr="004426D7">
        <w:t xml:space="preserve">methane emissions to reduce by 10% below 2017 levels by 2030 and between 24-47% by 2050. </w:t>
      </w:r>
    </w:p>
    <w:p w14:paraId="423B1334" w14:textId="3EA9BDDB" w:rsidR="00A760B3" w:rsidRDefault="00A760B3" w:rsidP="00A760B3">
      <w:pPr>
        <w:spacing w:after="120" w:line="240" w:lineRule="auto"/>
      </w:pPr>
      <w:r>
        <w:t xml:space="preserve">The Commission has been asked to provide advice on how much biogenic methane emissions may need to be reduced by in the future for Aotearoa to meet its international obligations. </w:t>
      </w:r>
      <w:r w:rsidR="006B6514" w:rsidRPr="004426D7">
        <w:t xml:space="preserve"> </w:t>
      </w:r>
    </w:p>
    <w:p w14:paraId="6F5C9445" w14:textId="77777777" w:rsidR="00A760B3" w:rsidRDefault="00A760B3" w:rsidP="00A760B3">
      <w:pPr>
        <w:spacing w:after="120" w:line="240" w:lineRule="auto"/>
      </w:pPr>
      <w:r>
        <w:t xml:space="preserve">Our analysis shows that by 2100, Aotearoa could need to reduce methane emissions by 49-60% below 2017 levels. </w:t>
      </w:r>
    </w:p>
    <w:p w14:paraId="4DB107DD" w14:textId="77777777" w:rsidR="00A760B3" w:rsidRDefault="00A760B3" w:rsidP="00A760B3">
      <w:pPr>
        <w:spacing w:after="120" w:line="240" w:lineRule="auto"/>
      </w:pPr>
      <w:r>
        <w:t>Our country’s world-leading agricultural sector has made big advances over the last 60 years, and improvements can and should continue.</w:t>
      </w:r>
    </w:p>
    <w:p w14:paraId="1B87793C" w14:textId="10E53EAC" w:rsidR="00A760B3" w:rsidRDefault="00A760B3" w:rsidP="00A760B3">
      <w:pPr>
        <w:spacing w:after="120" w:line="240" w:lineRule="auto"/>
      </w:pPr>
      <w:r>
        <w:t xml:space="preserve">Our analysis for our emissions budgets shows Aotearoa can achieve methane reductions of 24% by 2050 without any technology developments, such as vaccines or inhibitors. It is likely these technologies will become available, and this would increase the speed and efficiency of reducing methane emissions. </w:t>
      </w:r>
    </w:p>
    <w:p w14:paraId="3742C55E" w14:textId="77777777" w:rsidR="00A760B3" w:rsidRDefault="00A760B3" w:rsidP="00A760B3">
      <w:pPr>
        <w:pStyle w:val="Heading3"/>
        <w:spacing w:after="160"/>
        <w:rPr>
          <w:rFonts w:eastAsia="Times New Roman"/>
        </w:rPr>
      </w:pPr>
      <w:r w:rsidRPr="00A96FDB">
        <w:rPr>
          <w:rFonts w:eastAsia="Times New Roman"/>
        </w:rPr>
        <w:t>Our Nationally Determined Contribution (NDC)</w:t>
      </w:r>
    </w:p>
    <w:p w14:paraId="179A876F" w14:textId="77777777" w:rsidR="00A760B3" w:rsidRPr="004F356D" w:rsidRDefault="00A760B3" w:rsidP="00A760B3">
      <w:pPr>
        <w:spacing w:after="120" w:line="240" w:lineRule="auto"/>
      </w:pPr>
      <w:r w:rsidRPr="004F356D">
        <w:t xml:space="preserve">The Commission was asked to determine if the first NDC for Aotearoa is compatible with </w:t>
      </w:r>
      <w:r>
        <w:t xml:space="preserve">contributing to </w:t>
      </w:r>
      <w:r w:rsidRPr="004F356D">
        <w:t xml:space="preserve">global efforts to limit global warming to 1.5°C above pre-industrial levels. </w:t>
      </w:r>
    </w:p>
    <w:p w14:paraId="1E4A7076" w14:textId="77777777" w:rsidR="00A760B3" w:rsidRPr="004F356D" w:rsidRDefault="00A760B3" w:rsidP="00A760B3">
      <w:pPr>
        <w:spacing w:after="120" w:line="240" w:lineRule="auto"/>
      </w:pPr>
      <w:r>
        <w:t xml:space="preserve">Our analysis has found that the Government’s commitment to reduce net emissions by an average of 30% from 2005 emissions levels over the 2021-2030 period is not compatible with global efforts. </w:t>
      </w:r>
    </w:p>
    <w:p w14:paraId="28C92F1E" w14:textId="77777777" w:rsidR="00A760B3" w:rsidRPr="00CC2BBC" w:rsidRDefault="00A760B3" w:rsidP="00A760B3">
      <w:pPr>
        <w:spacing w:after="120" w:line="240" w:lineRule="auto"/>
      </w:pPr>
      <w:r w:rsidRPr="00CC2BBC">
        <w:lastRenderedPageBreak/>
        <w:t>If Aotearoa is to play its part as a developed nation, the NDC would need to be strengthened to reflect emission reductions of much more than 35% below 2005 levels by 2030.</w:t>
      </w:r>
    </w:p>
    <w:p w14:paraId="492159FB" w14:textId="77777777" w:rsidR="00A760B3" w:rsidRDefault="00A760B3" w:rsidP="00A760B3">
      <w:pPr>
        <w:spacing w:after="120" w:line="240" w:lineRule="auto"/>
      </w:pPr>
      <w:r>
        <w:t>The Commission’s proposed emissions budgets are already ambitious – but the NDC goes further.</w:t>
      </w:r>
    </w:p>
    <w:p w14:paraId="1F85C1FC" w14:textId="77777777" w:rsidR="00A760B3" w:rsidRDefault="00A760B3" w:rsidP="00A760B3">
      <w:pPr>
        <w:spacing w:after="120" w:line="240" w:lineRule="auto"/>
      </w:pPr>
      <w:r>
        <w:t xml:space="preserve">To achieve our NDC, Aotearoa will need some offshore mitigation. We are not using this to do less domestically – but to </w:t>
      </w:r>
      <w:r w:rsidRPr="232757CC">
        <w:t>increase</w:t>
      </w:r>
      <w:r>
        <w:t xml:space="preserve"> our </w:t>
      </w:r>
      <w:r w:rsidRPr="232757CC">
        <w:t>contribution beyond what is possible</w:t>
      </w:r>
      <w:r>
        <w:t xml:space="preserve"> at home. </w:t>
      </w:r>
    </w:p>
    <w:p w14:paraId="696FA52E" w14:textId="77777777" w:rsidR="00A760B3" w:rsidRDefault="00A760B3" w:rsidP="00A760B3">
      <w:pPr>
        <w:pStyle w:val="Heading2"/>
        <w:spacing w:after="160"/>
        <w:rPr>
          <w:rFonts w:eastAsia="Times New Roman"/>
        </w:rPr>
      </w:pPr>
      <w:r w:rsidRPr="00A96FDB">
        <w:rPr>
          <w:rFonts w:eastAsia="Times New Roman"/>
        </w:rPr>
        <w:t>Conclusion</w:t>
      </w:r>
    </w:p>
    <w:p w14:paraId="7B20BE3C" w14:textId="45A2043B" w:rsidR="00A760B3" w:rsidRPr="004426D7" w:rsidRDefault="00A760B3" w:rsidP="00A760B3">
      <w:pPr>
        <w:spacing w:after="120" w:line="240" w:lineRule="auto"/>
      </w:pPr>
      <w:r w:rsidRPr="004426D7">
        <w:t xml:space="preserve">This document contains the Commission’s first draft advice to government, for input and consideration by the people of Aotearoa. </w:t>
      </w:r>
      <w:r w:rsidR="006B6514" w:rsidRPr="004426D7">
        <w:t xml:space="preserve"> </w:t>
      </w:r>
    </w:p>
    <w:p w14:paraId="322EEC8C" w14:textId="77777777" w:rsidR="00A760B3" w:rsidRPr="004426D7" w:rsidRDefault="00A760B3" w:rsidP="00A760B3">
      <w:pPr>
        <w:spacing w:after="120" w:line="240" w:lineRule="auto"/>
      </w:pPr>
      <w:r w:rsidRPr="004426D7">
        <w:t xml:space="preserve">The advice and recommendations contained in this report draw on robust evidence and expert analysis. It incorporates knowledge and wisdom from a wide range of people and organisations to ensure it is sound and reflects our diverse experiences. </w:t>
      </w:r>
    </w:p>
    <w:p w14:paraId="4D358E4D" w14:textId="73892AAA" w:rsidR="00A760B3" w:rsidRPr="004426D7" w:rsidRDefault="00A760B3" w:rsidP="00A760B3">
      <w:pPr>
        <w:spacing w:after="120" w:line="240" w:lineRule="auto"/>
      </w:pPr>
      <w:r w:rsidRPr="004426D7">
        <w:t>But this is draft advice. We are committed to true consultation and want to hear your feedback. We will consider all evidence we receive during consultation and are prepared to review and change any part of our work in light of this. We need to achieve a plan to address climate change that is effective, considered</w:t>
      </w:r>
      <w:r w:rsidR="006B6514" w:rsidRPr="004426D7">
        <w:t xml:space="preserve"> and </w:t>
      </w:r>
      <w:r w:rsidRPr="004426D7">
        <w:t xml:space="preserve">ambitious – and Aotearoa won’t get there unless we work together. </w:t>
      </w:r>
    </w:p>
    <w:p w14:paraId="375E9176" w14:textId="14739194" w:rsidR="00A760B3" w:rsidRPr="00A760B3" w:rsidRDefault="00A760B3" w:rsidP="00A760B3">
      <w:pPr>
        <w:spacing w:before="0" w:after="120" w:line="240" w:lineRule="auto"/>
      </w:pPr>
      <w:r w:rsidRPr="00A760B3">
        <w:t xml:space="preserve"> </w:t>
      </w:r>
    </w:p>
    <w:p w14:paraId="3E696A91" w14:textId="77777777" w:rsidR="000008D2" w:rsidRDefault="000008D2" w:rsidP="006727D2">
      <w:pPr>
        <w:sectPr w:rsidR="000008D2" w:rsidSect="00622805">
          <w:pgSz w:w="11906" w:h="16838"/>
          <w:pgMar w:top="1361" w:right="1361" w:bottom="1361" w:left="1361" w:header="709" w:footer="709" w:gutter="0"/>
          <w:cols w:space="708"/>
          <w:docGrid w:linePitch="360"/>
        </w:sectPr>
      </w:pPr>
    </w:p>
    <w:p w14:paraId="4E03FF7D" w14:textId="246C00C2" w:rsidR="00B142D7" w:rsidRDefault="00B142D7" w:rsidP="00B142D7">
      <w:pPr>
        <w:pStyle w:val="Title"/>
      </w:pPr>
      <w:r>
        <w:lastRenderedPageBreak/>
        <w:t xml:space="preserve">Part A: </w:t>
      </w:r>
      <w:bookmarkStart w:id="11" w:name="_Hlk58857649"/>
      <w:r>
        <w:t>Emissions budgets and emissions reduction plan advice</w:t>
      </w:r>
      <w:bookmarkEnd w:id="11"/>
    </w:p>
    <w:p w14:paraId="3787DB55" w14:textId="063E50BF" w:rsidR="0076212E" w:rsidRDefault="0076212E" w:rsidP="0076212E">
      <w:pPr>
        <w:pStyle w:val="Heading1"/>
      </w:pPr>
      <w:bookmarkStart w:id="12" w:name="_Toc62650232"/>
      <w:r>
        <w:t>Chapter 1: We are seeking your feedback</w:t>
      </w:r>
      <w:bookmarkEnd w:id="12"/>
    </w:p>
    <w:p w14:paraId="52BD5F2E" w14:textId="39F6F500" w:rsidR="006F1B66" w:rsidRDefault="006F1B66" w:rsidP="006F1B66">
      <w:r>
        <w:t xml:space="preserve">This report contains </w:t>
      </w:r>
      <w:r w:rsidR="00780722">
        <w:t xml:space="preserve">the </w:t>
      </w:r>
      <w:r w:rsidR="009A1437">
        <w:t xml:space="preserve">draft advice of </w:t>
      </w:r>
      <w:proofErr w:type="spellStart"/>
      <w:r w:rsidR="009A1437">
        <w:t>He</w:t>
      </w:r>
      <w:proofErr w:type="spellEnd"/>
      <w:r w:rsidR="009A1437">
        <w:t xml:space="preserve"> </w:t>
      </w:r>
      <w:proofErr w:type="spellStart"/>
      <w:r w:rsidR="009A1437">
        <w:t>Pou</w:t>
      </w:r>
      <w:proofErr w:type="spellEnd"/>
      <w:r w:rsidR="009A1437">
        <w:t xml:space="preserve"> a </w:t>
      </w:r>
      <w:proofErr w:type="spellStart"/>
      <w:r w:rsidR="009A1437">
        <w:t>Rangi</w:t>
      </w:r>
      <w:proofErr w:type="spellEnd"/>
      <w:r w:rsidR="009A1437">
        <w:t xml:space="preserve"> </w:t>
      </w:r>
      <w:r w:rsidR="00D9211C">
        <w:t>–</w:t>
      </w:r>
      <w:r w:rsidR="009A1437">
        <w:t xml:space="preserve"> the </w:t>
      </w:r>
      <w:r w:rsidR="00780722">
        <w:t>Climate Change Commission</w:t>
      </w:r>
      <w:r w:rsidR="003E7B5A">
        <w:t xml:space="preserve">. It includes advice </w:t>
      </w:r>
      <w:r>
        <w:t xml:space="preserve">on </w:t>
      </w:r>
      <w:r w:rsidR="001C14E5">
        <w:t>the first three</w:t>
      </w:r>
      <w:r>
        <w:t xml:space="preserve"> emissions budgets</w:t>
      </w:r>
      <w:r w:rsidR="003E7B5A">
        <w:t xml:space="preserve"> and the Government’s first emissions reduction plan</w:t>
      </w:r>
      <w:r w:rsidR="009A1437">
        <w:t xml:space="preserve">. </w:t>
      </w:r>
      <w:r w:rsidR="003E7B5A">
        <w:t xml:space="preserve">Together, these </w:t>
      </w:r>
      <w:r>
        <w:t>lay out the course for reducing emissions</w:t>
      </w:r>
      <w:r w:rsidR="003E7B5A">
        <w:t xml:space="preserve"> </w:t>
      </w:r>
      <w:r w:rsidR="00AC46EA">
        <w:t xml:space="preserve">in Aotearoa </w:t>
      </w:r>
      <w:r>
        <w:t>and</w:t>
      </w:r>
      <w:r w:rsidDel="003E7B5A">
        <w:t xml:space="preserve"> </w:t>
      </w:r>
      <w:r>
        <w:t>set the direction of policy that Aotearoa takes to get there.</w:t>
      </w:r>
    </w:p>
    <w:p w14:paraId="45F93E8E" w14:textId="555DF21F" w:rsidR="006F1B66" w:rsidRDefault="00B264D5" w:rsidP="006F1B66">
      <w:r w:rsidRPr="00310764">
        <w:t>W</w:t>
      </w:r>
      <w:r w:rsidR="006F1B66" w:rsidRPr="00310764">
        <w:t xml:space="preserve">e are seeking your feedback on </w:t>
      </w:r>
      <w:r w:rsidR="00880C1A" w:rsidRPr="00310764">
        <w:t>this</w:t>
      </w:r>
      <w:r w:rsidR="006F1B66" w:rsidRPr="00310764">
        <w:t xml:space="preserve"> draft advice before providing our final advice to the Government and public</w:t>
      </w:r>
      <w:r w:rsidR="003E7B5A" w:rsidRPr="00310764">
        <w:t xml:space="preserve"> </w:t>
      </w:r>
      <w:r w:rsidR="00DC102C">
        <w:t>by</w:t>
      </w:r>
      <w:r w:rsidR="003E7B5A" w:rsidRPr="00310764">
        <w:t xml:space="preserve"> </w:t>
      </w:r>
      <w:r w:rsidR="00DC102C">
        <w:t>31</w:t>
      </w:r>
      <w:r w:rsidR="003E7B5A" w:rsidRPr="00310764">
        <w:t xml:space="preserve"> May 2021</w:t>
      </w:r>
      <w:r w:rsidR="006F1B66" w:rsidRPr="00310764">
        <w:t>.</w:t>
      </w:r>
      <w:r w:rsidR="00A40AF0" w:rsidRPr="00310764">
        <w:t xml:space="preserve"> </w:t>
      </w:r>
      <w:r w:rsidR="0036519A" w:rsidRPr="00310764">
        <w:t xml:space="preserve">By seeking your </w:t>
      </w:r>
      <w:r w:rsidR="00780722" w:rsidRPr="00310764">
        <w:t>input</w:t>
      </w:r>
      <w:r w:rsidR="0036519A" w:rsidRPr="00310764">
        <w:t>, we are recognising</w:t>
      </w:r>
      <w:r w:rsidRPr="00310764">
        <w:t xml:space="preserve"> that </w:t>
      </w:r>
      <w:r w:rsidR="002F6A49" w:rsidRPr="00310764">
        <w:t xml:space="preserve">this advice will affect everyone that lives in Aotearoa. </w:t>
      </w:r>
    </w:p>
    <w:p w14:paraId="2A0E8FBF" w14:textId="752B146C" w:rsidR="0093706A" w:rsidRDefault="0093706A" w:rsidP="0093706A">
      <w:r>
        <w:t xml:space="preserve">What we hear through consultation will shape the final advice that we provide to the Government. We will also share what we learn through consultation and provide our final advice publicly. This process will provide the foundation for the work needed across Aotearoa to achieve our climate goals. </w:t>
      </w:r>
    </w:p>
    <w:p w14:paraId="68AE586C" w14:textId="77777777" w:rsidR="0093706A" w:rsidRPr="007A2586" w:rsidRDefault="0093706A" w:rsidP="0093706A">
      <w:pPr>
        <w:rPr>
          <w:b/>
          <w:bCs/>
        </w:rPr>
      </w:pPr>
      <w:r>
        <w:t>We</w:t>
      </w:r>
      <w:r w:rsidDel="00212E75">
        <w:t xml:space="preserve"> </w:t>
      </w:r>
      <w:r>
        <w:t xml:space="preserve">consider that our draft advice makes a clear case for swift and decisive action on climate change. </w:t>
      </w:r>
    </w:p>
    <w:p w14:paraId="5FFC5EEB" w14:textId="590D347F" w:rsidR="00F94E3D" w:rsidRDefault="00070173" w:rsidP="00F94E3D">
      <w:pPr>
        <w:pStyle w:val="Heading2"/>
      </w:pPr>
      <w:bookmarkStart w:id="13" w:name="_Toc62650233"/>
      <w:r>
        <w:t xml:space="preserve">1.1 </w:t>
      </w:r>
      <w:r w:rsidR="00F94E3D">
        <w:t>Our task</w:t>
      </w:r>
      <w:bookmarkEnd w:id="13"/>
    </w:p>
    <w:p w14:paraId="18C9C1E3" w14:textId="313AC326" w:rsidR="000C6EC7" w:rsidRDefault="000C6EC7" w:rsidP="00971E3C">
      <w:r w:rsidRPr="00415A83">
        <w:rPr>
          <w:rFonts w:ascii="Calibri" w:eastAsia="Calibri" w:hAnsi="Calibri" w:cs="Calibri"/>
        </w:rPr>
        <w:t>The Climate Change Commission is an independent Crown entity that was established in December 2019.</w:t>
      </w:r>
      <w:r w:rsidRPr="057E7C21">
        <w:rPr>
          <w:rFonts w:ascii="Calibri" w:eastAsia="Calibri" w:hAnsi="Calibri" w:cs="Calibri"/>
        </w:rPr>
        <w:t xml:space="preserve"> </w:t>
      </w:r>
      <w:r w:rsidR="0071392A">
        <w:rPr>
          <w:rFonts w:ascii="Calibri" w:eastAsia="Calibri" w:hAnsi="Calibri" w:cs="Calibri"/>
        </w:rPr>
        <w:t xml:space="preserve">We are </w:t>
      </w:r>
      <w:r w:rsidRPr="057E7C21">
        <w:t>tasked with providing independent</w:t>
      </w:r>
      <w:r w:rsidR="00AB5990">
        <w:t>,</w:t>
      </w:r>
      <w:r w:rsidRPr="057E7C21">
        <w:t xml:space="preserve"> expert advice to the Government on reducing emissions, adapting to the impacts of climate change, and monitoring and reviewing the </w:t>
      </w:r>
      <w:r w:rsidR="00FE02F5">
        <w:t>G</w:t>
      </w:r>
      <w:r w:rsidRPr="057E7C21">
        <w:t xml:space="preserve">overnment’s progress towards its emissions reductions and adaptation goals. All </w:t>
      </w:r>
      <w:r w:rsidR="008C1497">
        <w:t>of our advice</w:t>
      </w:r>
      <w:r>
        <w:t xml:space="preserve"> </w:t>
      </w:r>
      <w:r w:rsidR="00F21F04">
        <w:t xml:space="preserve">to </w:t>
      </w:r>
      <w:r w:rsidR="00FE02F5">
        <w:t>g</w:t>
      </w:r>
      <w:r w:rsidR="00F21F04">
        <w:t>overnment</w:t>
      </w:r>
      <w:r w:rsidR="008C1497">
        <w:t xml:space="preserve"> must </w:t>
      </w:r>
      <w:r w:rsidRPr="057E7C21">
        <w:t>be made publicly available.</w:t>
      </w:r>
    </w:p>
    <w:p w14:paraId="21C3B783" w14:textId="25B702A3" w:rsidR="002468F9" w:rsidRDefault="002468F9" w:rsidP="00971E3C">
      <w:r>
        <w:rPr>
          <w:rFonts w:ascii="Calibri" w:eastAsia="Calibri" w:hAnsi="Calibri" w:cs="Calibri"/>
        </w:rPr>
        <w:t xml:space="preserve">Our </w:t>
      </w:r>
      <w:r w:rsidRPr="68A5672A">
        <w:rPr>
          <w:rFonts w:ascii="Calibri" w:eastAsia="Calibri" w:hAnsi="Calibri" w:cs="Calibri"/>
        </w:rPr>
        <w:t>first</w:t>
      </w:r>
      <w:r>
        <w:rPr>
          <w:rFonts w:ascii="Calibri" w:eastAsia="Calibri" w:hAnsi="Calibri" w:cs="Calibri"/>
        </w:rPr>
        <w:t xml:space="preserve"> </w:t>
      </w:r>
      <w:r w:rsidRPr="68A5672A">
        <w:rPr>
          <w:rFonts w:ascii="Calibri" w:eastAsia="Calibri" w:hAnsi="Calibri" w:cs="Calibri"/>
        </w:rPr>
        <w:t>task</w:t>
      </w:r>
      <w:r>
        <w:rPr>
          <w:rFonts w:ascii="Calibri" w:eastAsia="Calibri" w:hAnsi="Calibri" w:cs="Calibri"/>
        </w:rPr>
        <w:t xml:space="preserve"> </w:t>
      </w:r>
      <w:r w:rsidRPr="68A5672A">
        <w:rPr>
          <w:rFonts w:ascii="Calibri" w:eastAsia="Calibri" w:hAnsi="Calibri" w:cs="Calibri"/>
        </w:rPr>
        <w:t>is</w:t>
      </w:r>
      <w:r>
        <w:rPr>
          <w:rFonts w:ascii="Calibri" w:eastAsia="Calibri" w:hAnsi="Calibri" w:cs="Calibri"/>
        </w:rPr>
        <w:t xml:space="preserve"> </w:t>
      </w:r>
      <w:r w:rsidRPr="68A5672A">
        <w:rPr>
          <w:rFonts w:ascii="Calibri" w:eastAsia="Calibri" w:hAnsi="Calibri" w:cs="Calibri"/>
        </w:rPr>
        <w:t>to</w:t>
      </w:r>
      <w:r>
        <w:rPr>
          <w:rFonts w:ascii="Calibri" w:eastAsia="Calibri" w:hAnsi="Calibri" w:cs="Calibri"/>
        </w:rPr>
        <w:t xml:space="preserve"> </w:t>
      </w:r>
      <w:r w:rsidRPr="68A5672A">
        <w:rPr>
          <w:rFonts w:ascii="Calibri" w:eastAsia="Calibri" w:hAnsi="Calibri" w:cs="Calibri"/>
        </w:rPr>
        <w:t>provide</w:t>
      </w:r>
      <w:r>
        <w:rPr>
          <w:rFonts w:ascii="Calibri" w:eastAsia="Calibri" w:hAnsi="Calibri" w:cs="Calibri"/>
        </w:rPr>
        <w:t xml:space="preserve"> </w:t>
      </w:r>
      <w:r w:rsidRPr="68A5672A">
        <w:rPr>
          <w:rFonts w:ascii="Calibri" w:eastAsia="Calibri" w:hAnsi="Calibri" w:cs="Calibri"/>
        </w:rPr>
        <w:t>the</w:t>
      </w:r>
      <w:r>
        <w:rPr>
          <w:rFonts w:ascii="Calibri" w:eastAsia="Calibri" w:hAnsi="Calibri" w:cs="Calibri"/>
        </w:rPr>
        <w:t xml:space="preserve"> </w:t>
      </w:r>
      <w:r w:rsidRPr="68A5672A">
        <w:rPr>
          <w:rFonts w:ascii="Calibri" w:eastAsia="Calibri" w:hAnsi="Calibri" w:cs="Calibri"/>
        </w:rPr>
        <w:t>Government</w:t>
      </w:r>
      <w:r>
        <w:rPr>
          <w:rFonts w:ascii="Calibri" w:eastAsia="Calibri" w:hAnsi="Calibri" w:cs="Calibri"/>
        </w:rPr>
        <w:t xml:space="preserve"> </w:t>
      </w:r>
      <w:r w:rsidRPr="68A5672A">
        <w:rPr>
          <w:rFonts w:ascii="Calibri" w:eastAsia="Calibri" w:hAnsi="Calibri" w:cs="Calibri"/>
        </w:rPr>
        <w:t>with</w:t>
      </w:r>
      <w:r>
        <w:rPr>
          <w:rFonts w:ascii="Calibri" w:eastAsia="Calibri" w:hAnsi="Calibri" w:cs="Calibri"/>
        </w:rPr>
        <w:t xml:space="preserve"> </w:t>
      </w:r>
      <w:r w:rsidRPr="68A5672A">
        <w:rPr>
          <w:rFonts w:ascii="Calibri" w:eastAsia="Calibri" w:hAnsi="Calibri" w:cs="Calibri"/>
        </w:rPr>
        <w:t>advice</w:t>
      </w:r>
      <w:r>
        <w:rPr>
          <w:rFonts w:ascii="Calibri" w:eastAsia="Calibri" w:hAnsi="Calibri" w:cs="Calibri"/>
        </w:rPr>
        <w:t xml:space="preserve"> </w:t>
      </w:r>
      <w:r w:rsidRPr="68A5672A">
        <w:rPr>
          <w:rFonts w:ascii="Calibri" w:eastAsia="Calibri" w:hAnsi="Calibri" w:cs="Calibri"/>
        </w:rPr>
        <w:t>on:</w:t>
      </w:r>
    </w:p>
    <w:p w14:paraId="6C63E20C" w14:textId="5885C963" w:rsidR="002468F9" w:rsidRDefault="00FB6489" w:rsidP="00655722">
      <w:pPr>
        <w:pStyle w:val="ListParagraph"/>
        <w:numPr>
          <w:ilvl w:val="0"/>
          <w:numId w:val="11"/>
        </w:numPr>
        <w:rPr>
          <w:rFonts w:ascii="Calibri" w:eastAsia="Calibri" w:hAnsi="Calibri" w:cs="Calibri"/>
        </w:rPr>
      </w:pPr>
      <w:r w:rsidRPr="00971E3C">
        <w:rPr>
          <w:rFonts w:ascii="Calibri" w:eastAsia="Calibri" w:hAnsi="Calibri" w:cs="Calibri"/>
        </w:rPr>
        <w:t>the</w:t>
      </w:r>
      <w:r w:rsidR="002468F9" w:rsidRPr="00971E3C">
        <w:rPr>
          <w:rFonts w:ascii="Calibri" w:eastAsia="Calibri" w:hAnsi="Calibri" w:cs="Calibri"/>
        </w:rPr>
        <w:t xml:space="preserve"> level of the first three five-yearly emissions budgets that will put Aotearoa on track to meeting its</w:t>
      </w:r>
      <w:r w:rsidR="009D3DB8">
        <w:rPr>
          <w:rFonts w:ascii="Calibri" w:eastAsia="Calibri" w:hAnsi="Calibri" w:cs="Calibri"/>
        </w:rPr>
        <w:t xml:space="preserve"> domestic</w:t>
      </w:r>
      <w:r w:rsidR="002468F9" w:rsidRPr="00971E3C">
        <w:rPr>
          <w:rFonts w:ascii="Calibri" w:eastAsia="Calibri" w:hAnsi="Calibri" w:cs="Calibri"/>
        </w:rPr>
        <w:t xml:space="preserve"> </w:t>
      </w:r>
      <w:r w:rsidR="000215C7">
        <w:rPr>
          <w:rFonts w:ascii="Calibri" w:eastAsia="Calibri" w:hAnsi="Calibri" w:cs="Calibri"/>
        </w:rPr>
        <w:t xml:space="preserve">2030 and </w:t>
      </w:r>
      <w:r w:rsidR="002468F9" w:rsidRPr="00971E3C">
        <w:rPr>
          <w:rFonts w:ascii="Calibri" w:eastAsia="Calibri" w:hAnsi="Calibri" w:cs="Calibri"/>
        </w:rPr>
        <w:t>2050 emissions targets</w:t>
      </w:r>
    </w:p>
    <w:p w14:paraId="612FA208" w14:textId="1E1E8161" w:rsidR="008867BD" w:rsidRPr="008109F9" w:rsidRDefault="00FB6489" w:rsidP="00655722">
      <w:pPr>
        <w:pStyle w:val="ListParagraph"/>
        <w:numPr>
          <w:ilvl w:val="0"/>
          <w:numId w:val="11"/>
        </w:numPr>
        <w:rPr>
          <w:rFonts w:ascii="Calibri" w:eastAsia="Calibri" w:hAnsi="Calibri" w:cs="Calibri"/>
        </w:rPr>
      </w:pPr>
      <w:r w:rsidRPr="008109F9">
        <w:rPr>
          <w:rFonts w:ascii="Calibri" w:eastAsia="Calibri" w:hAnsi="Calibri" w:cs="Calibri"/>
        </w:rPr>
        <w:t>the</w:t>
      </w:r>
      <w:r w:rsidR="008867BD" w:rsidRPr="008109F9">
        <w:rPr>
          <w:rFonts w:ascii="Calibri" w:eastAsia="Calibri" w:hAnsi="Calibri" w:cs="Calibri"/>
        </w:rPr>
        <w:t xml:space="preserve"> direction of policy that should be included in the Government’s first </w:t>
      </w:r>
      <w:r w:rsidR="00B9719F">
        <w:rPr>
          <w:rFonts w:ascii="Calibri" w:eastAsia="Calibri" w:hAnsi="Calibri" w:cs="Calibri"/>
        </w:rPr>
        <w:t>e</w:t>
      </w:r>
      <w:r w:rsidR="008867BD" w:rsidRPr="008109F9">
        <w:rPr>
          <w:rFonts w:ascii="Calibri" w:eastAsia="Calibri" w:hAnsi="Calibri" w:cs="Calibri"/>
        </w:rPr>
        <w:t xml:space="preserve">missions </w:t>
      </w:r>
      <w:r w:rsidR="00B9719F">
        <w:rPr>
          <w:rFonts w:ascii="Calibri" w:eastAsia="Calibri" w:hAnsi="Calibri" w:cs="Calibri"/>
        </w:rPr>
        <w:t>r</w:t>
      </w:r>
      <w:r w:rsidR="008867BD" w:rsidRPr="008109F9">
        <w:rPr>
          <w:rFonts w:ascii="Calibri" w:eastAsia="Calibri" w:hAnsi="Calibri" w:cs="Calibri"/>
        </w:rPr>
        <w:t xml:space="preserve">eduction </w:t>
      </w:r>
      <w:r w:rsidR="00B9719F">
        <w:rPr>
          <w:rFonts w:ascii="Calibri" w:eastAsia="Calibri" w:hAnsi="Calibri" w:cs="Calibri"/>
        </w:rPr>
        <w:t>p</w:t>
      </w:r>
      <w:r w:rsidR="008867BD" w:rsidRPr="008109F9">
        <w:rPr>
          <w:rFonts w:ascii="Calibri" w:eastAsia="Calibri" w:hAnsi="Calibri" w:cs="Calibri"/>
        </w:rPr>
        <w:t>lan.</w:t>
      </w:r>
    </w:p>
    <w:p w14:paraId="2A54DF29" w14:textId="60CEB81F" w:rsidR="001B5795" w:rsidRDefault="00880C1A" w:rsidP="00D95F2A">
      <w:pPr>
        <w:rPr>
          <w:rFonts w:ascii="Calibri" w:eastAsia="Calibri" w:hAnsi="Calibri" w:cs="Calibri"/>
        </w:rPr>
      </w:pPr>
      <w:r w:rsidRPr="43660577">
        <w:rPr>
          <w:rFonts w:ascii="Calibri" w:eastAsia="Calibri" w:hAnsi="Calibri" w:cs="Calibri"/>
        </w:rPr>
        <w:t>The</w:t>
      </w:r>
      <w:r w:rsidR="00EA1FF0" w:rsidRPr="43660577">
        <w:rPr>
          <w:rFonts w:ascii="Calibri" w:eastAsia="Calibri" w:hAnsi="Calibri" w:cs="Calibri"/>
        </w:rPr>
        <w:t xml:space="preserve"> Climate Change Response Act </w:t>
      </w:r>
      <w:r w:rsidR="00AA2B78">
        <w:rPr>
          <w:rFonts w:ascii="Calibri" w:eastAsia="Calibri" w:hAnsi="Calibri" w:cs="Calibri"/>
        </w:rPr>
        <w:t xml:space="preserve">(2002) </w:t>
      </w:r>
      <w:r w:rsidR="00EA1FF0" w:rsidRPr="43660577">
        <w:rPr>
          <w:rFonts w:ascii="Calibri" w:eastAsia="Calibri" w:hAnsi="Calibri" w:cs="Calibri"/>
        </w:rPr>
        <w:t>outline</w:t>
      </w:r>
      <w:r w:rsidRPr="43660577">
        <w:rPr>
          <w:rFonts w:ascii="Calibri" w:eastAsia="Calibri" w:hAnsi="Calibri" w:cs="Calibri"/>
        </w:rPr>
        <w:t>s</w:t>
      </w:r>
      <w:r w:rsidR="00EA1FF0" w:rsidRPr="43660577">
        <w:rPr>
          <w:rFonts w:ascii="Calibri" w:eastAsia="Calibri" w:hAnsi="Calibri" w:cs="Calibri"/>
        </w:rPr>
        <w:t xml:space="preserve"> </w:t>
      </w:r>
      <w:r w:rsidRPr="43660577">
        <w:rPr>
          <w:rFonts w:ascii="Calibri" w:eastAsia="Calibri" w:hAnsi="Calibri" w:cs="Calibri"/>
        </w:rPr>
        <w:t>six</w:t>
      </w:r>
      <w:r w:rsidR="00EA1FF0" w:rsidRPr="43660577">
        <w:rPr>
          <w:rFonts w:ascii="Calibri" w:eastAsia="Calibri" w:hAnsi="Calibri" w:cs="Calibri"/>
        </w:rPr>
        <w:t xml:space="preserve"> specific </w:t>
      </w:r>
      <w:r w:rsidRPr="43660577">
        <w:rPr>
          <w:rFonts w:ascii="Calibri" w:eastAsia="Calibri" w:hAnsi="Calibri" w:cs="Calibri"/>
        </w:rPr>
        <w:t xml:space="preserve">pieces of </w:t>
      </w:r>
      <w:r w:rsidR="00EA1FF0" w:rsidRPr="43660577">
        <w:rPr>
          <w:rFonts w:ascii="Calibri" w:eastAsia="Calibri" w:hAnsi="Calibri" w:cs="Calibri"/>
        </w:rPr>
        <w:t xml:space="preserve">advice that we must provide to the Government. </w:t>
      </w:r>
      <w:r w:rsidR="0058093A" w:rsidRPr="43660577">
        <w:rPr>
          <w:rFonts w:ascii="Calibri" w:eastAsia="Calibri" w:hAnsi="Calibri" w:cs="Calibri"/>
        </w:rPr>
        <w:t>Table 1.1</w:t>
      </w:r>
      <w:r w:rsidR="001E310A" w:rsidRPr="43660577">
        <w:rPr>
          <w:rFonts w:ascii="Calibri" w:eastAsia="Calibri" w:hAnsi="Calibri" w:cs="Calibri"/>
        </w:rPr>
        <w:t xml:space="preserve"> outlines these </w:t>
      </w:r>
      <w:r w:rsidR="00C34F72" w:rsidRPr="43660577">
        <w:rPr>
          <w:rFonts w:ascii="Calibri" w:eastAsia="Calibri" w:hAnsi="Calibri" w:cs="Calibri"/>
        </w:rPr>
        <w:t>six</w:t>
      </w:r>
      <w:r w:rsidR="00EA1FF0" w:rsidRPr="43660577">
        <w:rPr>
          <w:rFonts w:ascii="Calibri" w:eastAsia="Calibri" w:hAnsi="Calibri" w:cs="Calibri"/>
        </w:rPr>
        <w:t xml:space="preserve"> pieces </w:t>
      </w:r>
      <w:r w:rsidR="001E310A" w:rsidRPr="43660577">
        <w:rPr>
          <w:rFonts w:ascii="Calibri" w:eastAsia="Calibri" w:hAnsi="Calibri" w:cs="Calibri"/>
        </w:rPr>
        <w:t>and where they can be found in this</w:t>
      </w:r>
      <w:r w:rsidR="008A485D" w:rsidRPr="43660577">
        <w:rPr>
          <w:rFonts w:ascii="Calibri" w:eastAsia="Calibri" w:hAnsi="Calibri" w:cs="Calibri"/>
        </w:rPr>
        <w:t xml:space="preserve"> draft</w:t>
      </w:r>
      <w:r w:rsidR="001E310A" w:rsidRPr="43660577">
        <w:rPr>
          <w:rFonts w:ascii="Calibri" w:eastAsia="Calibri" w:hAnsi="Calibri" w:cs="Calibri"/>
        </w:rPr>
        <w:t xml:space="preserve"> report. </w:t>
      </w:r>
      <w:r w:rsidR="0004541D" w:rsidRPr="43660577">
        <w:rPr>
          <w:rFonts w:ascii="Calibri" w:eastAsia="Calibri" w:hAnsi="Calibri" w:cs="Calibri"/>
        </w:rPr>
        <w:t xml:space="preserve">This report is supported by a substantial body of evidence. </w:t>
      </w:r>
      <w:r w:rsidR="00D357DC" w:rsidRPr="43660577">
        <w:rPr>
          <w:rFonts w:ascii="Calibri" w:eastAsia="Calibri" w:hAnsi="Calibri" w:cs="Calibri"/>
        </w:rPr>
        <w:t>More detail on the evidence</w:t>
      </w:r>
      <w:r w:rsidR="0004541D" w:rsidRPr="43660577">
        <w:rPr>
          <w:rFonts w:ascii="Calibri" w:eastAsia="Calibri" w:hAnsi="Calibri" w:cs="Calibri"/>
        </w:rPr>
        <w:t>, including references,</w:t>
      </w:r>
      <w:r w:rsidR="00D357DC" w:rsidRPr="43660577">
        <w:rPr>
          <w:rFonts w:ascii="Calibri" w:eastAsia="Calibri" w:hAnsi="Calibri" w:cs="Calibri"/>
        </w:rPr>
        <w:t xml:space="preserve"> is provided in the accompanying </w:t>
      </w:r>
      <w:r w:rsidR="00C860AE" w:rsidRPr="001438A6">
        <w:rPr>
          <w:rFonts w:ascii="Calibri" w:eastAsia="Calibri" w:hAnsi="Calibri" w:cs="Calibri"/>
        </w:rPr>
        <w:t>Evidence Report</w:t>
      </w:r>
      <w:r w:rsidR="00D357DC" w:rsidRPr="001438A6">
        <w:rPr>
          <w:rFonts w:ascii="Calibri" w:eastAsia="Calibri" w:hAnsi="Calibri" w:cs="Calibri"/>
        </w:rPr>
        <w:t>.</w:t>
      </w:r>
      <w:r w:rsidR="0004541D" w:rsidRPr="43660577">
        <w:rPr>
          <w:rFonts w:ascii="Calibri" w:eastAsia="Calibri" w:hAnsi="Calibri" w:cs="Calibri"/>
        </w:rPr>
        <w:t xml:space="preserve"> </w:t>
      </w:r>
      <w:r w:rsidR="009A3313" w:rsidRPr="43660577">
        <w:rPr>
          <w:rFonts w:ascii="Calibri" w:eastAsia="Calibri" w:hAnsi="Calibri" w:cs="Calibri"/>
        </w:rPr>
        <w:t xml:space="preserve">This evidence includes </w:t>
      </w:r>
      <w:r w:rsidR="00AF2E42">
        <w:rPr>
          <w:rFonts w:ascii="Calibri" w:eastAsia="Calibri" w:hAnsi="Calibri" w:cs="Calibri"/>
        </w:rPr>
        <w:t>results from modelling using</w:t>
      </w:r>
      <w:r w:rsidR="00933D15">
        <w:rPr>
          <w:rFonts w:ascii="Calibri" w:eastAsia="Calibri" w:hAnsi="Calibri" w:cs="Calibri"/>
        </w:rPr>
        <w:t xml:space="preserve"> data </w:t>
      </w:r>
      <w:r w:rsidR="00933D15" w:rsidRPr="00933D15">
        <w:rPr>
          <w:rFonts w:ascii="Calibri" w:eastAsia="Calibri" w:hAnsi="Calibri" w:cs="Calibri"/>
        </w:rPr>
        <w:t>from</w:t>
      </w:r>
      <w:r w:rsidR="00AF2E42" w:rsidRPr="00933D15">
        <w:rPr>
          <w:rFonts w:ascii="Calibri" w:eastAsia="Calibri" w:hAnsi="Calibri" w:cs="Calibri"/>
        </w:rPr>
        <w:t xml:space="preserve"> S</w:t>
      </w:r>
      <w:r w:rsidR="00461FBA" w:rsidRPr="00624424">
        <w:rPr>
          <w:rFonts w:ascii="Calibri" w:eastAsia="Calibri" w:hAnsi="Calibri" w:cs="Calibri"/>
        </w:rPr>
        <w:t>tats NZ</w:t>
      </w:r>
      <w:r w:rsidR="00AF2E42" w:rsidRPr="00624424">
        <w:rPr>
          <w:rFonts w:ascii="Calibri" w:eastAsia="Calibri" w:hAnsi="Calibri" w:cs="Calibri"/>
        </w:rPr>
        <w:t xml:space="preserve"> </w:t>
      </w:r>
      <w:r w:rsidR="00933D15" w:rsidRPr="00624424">
        <w:rPr>
          <w:rFonts w:ascii="Calibri" w:eastAsia="Calibri" w:hAnsi="Calibri" w:cs="Calibri"/>
        </w:rPr>
        <w:t>Integrated</w:t>
      </w:r>
      <w:r w:rsidR="00461FBA" w:rsidRPr="00624424">
        <w:rPr>
          <w:rFonts w:ascii="Calibri" w:eastAsia="Calibri" w:hAnsi="Calibri" w:cs="Calibri"/>
        </w:rPr>
        <w:t xml:space="preserve"> </w:t>
      </w:r>
      <w:r w:rsidR="00933D15" w:rsidRPr="00624424">
        <w:rPr>
          <w:rFonts w:ascii="Calibri" w:eastAsia="Calibri" w:hAnsi="Calibri" w:cs="Calibri"/>
        </w:rPr>
        <w:t xml:space="preserve">Data Infrastructure. </w:t>
      </w:r>
      <w:r w:rsidR="00F70AF2" w:rsidRPr="00933D15">
        <w:rPr>
          <w:rFonts w:ascii="Calibri" w:eastAsia="Calibri" w:hAnsi="Calibri" w:cs="Calibri"/>
        </w:rPr>
        <w:t>The</w:t>
      </w:r>
      <w:r w:rsidR="00F70AF2" w:rsidRPr="00F70AF2">
        <w:rPr>
          <w:rFonts w:ascii="Calibri" w:eastAsia="Calibri" w:hAnsi="Calibri" w:cs="Calibri"/>
        </w:rPr>
        <w:t xml:space="preserve"> full disclaimer for results based on data from Stats NZ is included in</w:t>
      </w:r>
      <w:r w:rsidR="00933D15">
        <w:rPr>
          <w:rFonts w:ascii="Calibri" w:eastAsia="Calibri" w:hAnsi="Calibri" w:cs="Calibri"/>
        </w:rPr>
        <w:t xml:space="preserve"> Chapter 1</w:t>
      </w:r>
      <w:r w:rsidR="00833A75">
        <w:rPr>
          <w:rFonts w:ascii="Calibri" w:eastAsia="Calibri" w:hAnsi="Calibri" w:cs="Calibri"/>
        </w:rPr>
        <w:t>2</w:t>
      </w:r>
      <w:r w:rsidR="00933D15">
        <w:rPr>
          <w:rFonts w:ascii="Calibri" w:eastAsia="Calibri" w:hAnsi="Calibri" w:cs="Calibri"/>
        </w:rPr>
        <w:t xml:space="preserve"> of</w:t>
      </w:r>
      <w:r w:rsidR="00F70AF2" w:rsidRPr="00F70AF2">
        <w:rPr>
          <w:rFonts w:ascii="Calibri" w:eastAsia="Calibri" w:hAnsi="Calibri" w:cs="Calibri"/>
        </w:rPr>
        <w:t xml:space="preserve"> the Evidence Report</w:t>
      </w:r>
      <w:r w:rsidR="00933D15">
        <w:rPr>
          <w:rFonts w:ascii="Calibri" w:eastAsia="Calibri" w:hAnsi="Calibri" w:cs="Calibri"/>
        </w:rPr>
        <w:t>.</w:t>
      </w:r>
    </w:p>
    <w:p w14:paraId="30111EE2" w14:textId="4B314886" w:rsidR="008867BD" w:rsidRDefault="008867BD" w:rsidP="004C01E7">
      <w:pPr>
        <w:pStyle w:val="Caption"/>
        <w:rPr>
          <w:rFonts w:ascii="Calibri" w:eastAsia="Calibri" w:hAnsi="Calibri" w:cs="Calibri"/>
        </w:rPr>
      </w:pPr>
      <w:bookmarkStart w:id="14" w:name="_Ref58256951"/>
      <w:r>
        <w:lastRenderedPageBreak/>
        <w:t xml:space="preserve">Table </w:t>
      </w:r>
      <w:bookmarkEnd w:id="14"/>
      <w:r w:rsidR="00AF5487">
        <w:t>1.</w:t>
      </w:r>
      <w:r w:rsidR="0058093A">
        <w:t>1</w:t>
      </w:r>
      <w:r>
        <w:t xml:space="preserve">: The </w:t>
      </w:r>
      <w:r w:rsidR="00CD3A72">
        <w:t>six</w:t>
      </w:r>
      <w:r>
        <w:t xml:space="preserve"> pieces of advice we must provide and where they can be found in this report</w:t>
      </w:r>
      <w:r w:rsidR="00FD2835">
        <w:t>.</w:t>
      </w:r>
    </w:p>
    <w:tbl>
      <w:tblPr>
        <w:tblStyle w:val="TableGrid"/>
        <w:tblW w:w="0" w:type="auto"/>
        <w:tblLook w:val="04A0" w:firstRow="1" w:lastRow="0" w:firstColumn="1" w:lastColumn="0" w:noHBand="0" w:noVBand="1"/>
      </w:tblPr>
      <w:tblGrid>
        <w:gridCol w:w="6690"/>
        <w:gridCol w:w="2438"/>
      </w:tblGrid>
      <w:tr w:rsidR="0032541A" w14:paraId="07333E96" w14:textId="77777777" w:rsidTr="0090447E">
        <w:trPr>
          <w:tblHeader/>
        </w:trPr>
        <w:tc>
          <w:tcPr>
            <w:tcW w:w="6690" w:type="dxa"/>
          </w:tcPr>
          <w:p w14:paraId="084B2748" w14:textId="24A31B1E" w:rsidR="0032541A" w:rsidRPr="0032541A" w:rsidRDefault="0032541A" w:rsidP="008867BD">
            <w:pPr>
              <w:spacing w:before="60"/>
              <w:rPr>
                <w:rFonts w:ascii="Calibri" w:eastAsia="Calibri" w:hAnsi="Calibri" w:cs="Calibri"/>
                <w:b/>
              </w:rPr>
            </w:pPr>
            <w:r w:rsidRPr="0032541A">
              <w:rPr>
                <w:rFonts w:ascii="Calibri" w:eastAsia="Calibri" w:hAnsi="Calibri" w:cs="Calibri"/>
                <w:b/>
              </w:rPr>
              <w:t>Advice</w:t>
            </w:r>
          </w:p>
        </w:tc>
        <w:tc>
          <w:tcPr>
            <w:tcW w:w="2438" w:type="dxa"/>
          </w:tcPr>
          <w:p w14:paraId="462EA9C2" w14:textId="4307610D" w:rsidR="0032541A" w:rsidRPr="0032541A" w:rsidRDefault="0032541A" w:rsidP="008867BD">
            <w:pPr>
              <w:spacing w:before="60"/>
              <w:rPr>
                <w:rFonts w:ascii="Calibri" w:eastAsia="Calibri" w:hAnsi="Calibri" w:cs="Calibri"/>
                <w:b/>
              </w:rPr>
            </w:pPr>
            <w:r w:rsidRPr="0032541A">
              <w:rPr>
                <w:rFonts w:ascii="Calibri" w:eastAsia="Calibri" w:hAnsi="Calibri" w:cs="Calibri"/>
                <w:b/>
              </w:rPr>
              <w:t xml:space="preserve">Where you can find </w:t>
            </w:r>
            <w:r w:rsidR="009055CD">
              <w:rPr>
                <w:rFonts w:ascii="Calibri" w:eastAsia="Calibri" w:hAnsi="Calibri" w:cs="Calibri"/>
                <w:b/>
              </w:rPr>
              <w:t>the draft advice</w:t>
            </w:r>
            <w:r w:rsidR="009055CD" w:rsidRPr="0032541A">
              <w:rPr>
                <w:rFonts w:ascii="Calibri" w:eastAsia="Calibri" w:hAnsi="Calibri" w:cs="Calibri"/>
                <w:b/>
              </w:rPr>
              <w:t xml:space="preserve"> </w:t>
            </w:r>
            <w:r w:rsidRPr="0032541A">
              <w:rPr>
                <w:rFonts w:ascii="Calibri" w:eastAsia="Calibri" w:hAnsi="Calibri" w:cs="Calibri"/>
                <w:b/>
              </w:rPr>
              <w:t>in this report</w:t>
            </w:r>
          </w:p>
        </w:tc>
      </w:tr>
      <w:tr w:rsidR="0032541A" w14:paraId="2AF1C77E" w14:textId="77777777" w:rsidTr="00174957">
        <w:tc>
          <w:tcPr>
            <w:tcW w:w="6690" w:type="dxa"/>
          </w:tcPr>
          <w:p w14:paraId="53F4C26E" w14:textId="276D4382" w:rsidR="0032541A" w:rsidRDefault="0032541A" w:rsidP="008867BD">
            <w:pPr>
              <w:spacing w:before="60"/>
              <w:rPr>
                <w:rFonts w:ascii="Calibri" w:eastAsia="Calibri" w:hAnsi="Calibri" w:cs="Calibri"/>
              </w:rPr>
            </w:pPr>
            <w:r>
              <w:rPr>
                <w:rFonts w:eastAsiaTheme="minorEastAsia"/>
              </w:rPr>
              <w:t>Th</w:t>
            </w:r>
            <w:r w:rsidRPr="00AC30AD">
              <w:rPr>
                <w:rFonts w:eastAsiaTheme="minorEastAsia"/>
              </w:rPr>
              <w:t>e recommended quantity of emissions that will be permitted in each emissions budget period</w:t>
            </w:r>
          </w:p>
        </w:tc>
        <w:tc>
          <w:tcPr>
            <w:tcW w:w="2438" w:type="dxa"/>
          </w:tcPr>
          <w:p w14:paraId="6FD3C9CE" w14:textId="0DB02601" w:rsidR="0032541A" w:rsidRPr="00563833" w:rsidRDefault="0032541A" w:rsidP="008867BD">
            <w:pPr>
              <w:spacing w:before="60"/>
              <w:rPr>
                <w:rFonts w:ascii="Calibri" w:eastAsia="Calibri" w:hAnsi="Calibri" w:cs="Calibri"/>
              </w:rPr>
            </w:pPr>
            <w:r w:rsidRPr="00563833">
              <w:rPr>
                <w:rFonts w:eastAsiaTheme="minorEastAsia"/>
              </w:rPr>
              <w:t xml:space="preserve">Chapter </w:t>
            </w:r>
            <w:r w:rsidR="008F03FE" w:rsidRPr="00563833">
              <w:rPr>
                <w:rFonts w:eastAsiaTheme="minorEastAsia"/>
              </w:rPr>
              <w:t>2</w:t>
            </w:r>
            <w:r w:rsidR="00257F0E">
              <w:rPr>
                <w:rFonts w:eastAsiaTheme="minorEastAsia"/>
              </w:rPr>
              <w:t xml:space="preserve">: </w:t>
            </w:r>
            <w:r w:rsidR="00257F0E" w:rsidRPr="00257F0E">
              <w:rPr>
                <w:rFonts w:eastAsiaTheme="minorEastAsia"/>
              </w:rPr>
              <w:t>Our proposed emissions budgets advice</w:t>
            </w:r>
          </w:p>
        </w:tc>
      </w:tr>
      <w:tr w:rsidR="0032541A" w14:paraId="0745F654" w14:textId="77777777" w:rsidTr="00AF5487">
        <w:trPr>
          <w:trHeight w:val="1037"/>
        </w:trPr>
        <w:tc>
          <w:tcPr>
            <w:tcW w:w="6690" w:type="dxa"/>
          </w:tcPr>
          <w:p w14:paraId="187EF6BB" w14:textId="5BA9FB7C" w:rsidR="0032541A" w:rsidRDefault="0032541A" w:rsidP="008867BD">
            <w:pPr>
              <w:spacing w:before="60"/>
              <w:rPr>
                <w:rFonts w:ascii="Calibri" w:eastAsia="Calibri" w:hAnsi="Calibri" w:cs="Calibri"/>
              </w:rPr>
            </w:pPr>
            <w:r>
              <w:rPr>
                <w:rFonts w:eastAsiaTheme="minorEastAsia"/>
              </w:rPr>
              <w:t>T</w:t>
            </w:r>
            <w:r w:rsidRPr="00D50123">
              <w:rPr>
                <w:rFonts w:eastAsiaTheme="minorEastAsia"/>
              </w:rPr>
              <w:t>he proportions of an emissions budget that will be met by domestic emissions reductions and domestic removals, and the amount by which emissions of each greenhouse gas should be reduced to meet emissions budget</w:t>
            </w:r>
            <w:r>
              <w:rPr>
                <w:rFonts w:eastAsiaTheme="minorEastAsia"/>
              </w:rPr>
              <w:t>s</w:t>
            </w:r>
            <w:r w:rsidRPr="00D50123">
              <w:rPr>
                <w:rFonts w:eastAsiaTheme="minorEastAsia"/>
              </w:rPr>
              <w:t xml:space="preserve"> and </w:t>
            </w:r>
            <w:r>
              <w:rPr>
                <w:rFonts w:eastAsiaTheme="minorEastAsia"/>
              </w:rPr>
              <w:t>targets</w:t>
            </w:r>
          </w:p>
        </w:tc>
        <w:tc>
          <w:tcPr>
            <w:tcW w:w="2438" w:type="dxa"/>
          </w:tcPr>
          <w:p w14:paraId="59CC221F" w14:textId="39AEBE51" w:rsidR="0032541A" w:rsidRPr="00563833" w:rsidRDefault="0032541A" w:rsidP="008867BD">
            <w:pPr>
              <w:spacing w:before="60"/>
              <w:rPr>
                <w:rFonts w:ascii="Calibri" w:eastAsia="Calibri" w:hAnsi="Calibri" w:cs="Calibri"/>
              </w:rPr>
            </w:pPr>
            <w:r w:rsidRPr="00563833">
              <w:rPr>
                <w:rFonts w:eastAsiaTheme="minorEastAsia"/>
              </w:rPr>
              <w:t xml:space="preserve">Chapter </w:t>
            </w:r>
            <w:r w:rsidR="008F03FE" w:rsidRPr="00563833">
              <w:rPr>
                <w:rFonts w:eastAsiaTheme="minorEastAsia"/>
              </w:rPr>
              <w:t>2</w:t>
            </w:r>
            <w:r w:rsidR="00257F0E">
              <w:rPr>
                <w:rFonts w:eastAsiaTheme="minorEastAsia"/>
              </w:rPr>
              <w:t xml:space="preserve">: </w:t>
            </w:r>
            <w:r w:rsidR="00257F0E" w:rsidRPr="00257F0E">
              <w:rPr>
                <w:rFonts w:eastAsiaTheme="minorEastAsia"/>
              </w:rPr>
              <w:t>Our proposed emissions budgets advice</w:t>
            </w:r>
          </w:p>
        </w:tc>
      </w:tr>
      <w:tr w:rsidR="0032541A" w14:paraId="3AD6F830" w14:textId="77777777" w:rsidTr="00174957">
        <w:tc>
          <w:tcPr>
            <w:tcW w:w="6690" w:type="dxa"/>
          </w:tcPr>
          <w:p w14:paraId="220799AF" w14:textId="64F0C313" w:rsidR="0032541A" w:rsidRDefault="0032541A" w:rsidP="008867BD">
            <w:pPr>
              <w:spacing w:before="60"/>
              <w:rPr>
                <w:rFonts w:ascii="Calibri" w:eastAsia="Calibri" w:hAnsi="Calibri" w:cs="Calibri"/>
              </w:rPr>
            </w:pPr>
            <w:r>
              <w:rPr>
                <w:rFonts w:ascii="Calibri" w:eastAsia="Calibri" w:hAnsi="Calibri" w:cs="Calibri"/>
              </w:rPr>
              <w:t>T</w:t>
            </w:r>
            <w:r w:rsidRPr="001F174B">
              <w:rPr>
                <w:rFonts w:ascii="Calibri" w:eastAsia="Calibri" w:hAnsi="Calibri" w:cs="Calibri"/>
              </w:rPr>
              <w:t>he appropriate limit on offshore mitigation that may be used to meet an emissions budget, and an explanation of the circumstances that justify the use of offshore mitigation</w:t>
            </w:r>
          </w:p>
        </w:tc>
        <w:tc>
          <w:tcPr>
            <w:tcW w:w="2438" w:type="dxa"/>
          </w:tcPr>
          <w:p w14:paraId="189F85A6" w14:textId="7FC80DFA" w:rsidR="0032541A" w:rsidRPr="00563833" w:rsidRDefault="0032541A" w:rsidP="008867BD">
            <w:pPr>
              <w:spacing w:before="60"/>
              <w:rPr>
                <w:rFonts w:ascii="Calibri" w:eastAsia="Calibri" w:hAnsi="Calibri" w:cs="Calibri"/>
              </w:rPr>
            </w:pPr>
            <w:r w:rsidRPr="00563833">
              <w:rPr>
                <w:rFonts w:eastAsiaTheme="minorEastAsia"/>
              </w:rPr>
              <w:t xml:space="preserve">Chapter </w:t>
            </w:r>
            <w:r w:rsidR="008F03FE" w:rsidRPr="00563833">
              <w:rPr>
                <w:rFonts w:eastAsiaTheme="minorEastAsia"/>
              </w:rPr>
              <w:t>2</w:t>
            </w:r>
            <w:r w:rsidR="00257F0E">
              <w:rPr>
                <w:rFonts w:eastAsiaTheme="minorEastAsia"/>
              </w:rPr>
              <w:t xml:space="preserve">: </w:t>
            </w:r>
            <w:r w:rsidR="00257F0E" w:rsidRPr="00257F0E">
              <w:rPr>
                <w:rFonts w:eastAsiaTheme="minorEastAsia"/>
              </w:rPr>
              <w:t>Our proposed emissions budgets advice</w:t>
            </w:r>
          </w:p>
        </w:tc>
      </w:tr>
      <w:tr w:rsidR="0032541A" w14:paraId="26291806" w14:textId="77777777" w:rsidTr="00174957">
        <w:tc>
          <w:tcPr>
            <w:tcW w:w="6690" w:type="dxa"/>
          </w:tcPr>
          <w:p w14:paraId="63FC1CD5" w14:textId="7F9A4DBF" w:rsidR="0032541A" w:rsidRDefault="0032541A" w:rsidP="007774B5">
            <w:pPr>
              <w:spacing w:before="60"/>
              <w:rPr>
                <w:rFonts w:ascii="Calibri" w:eastAsia="Calibri" w:hAnsi="Calibri" w:cs="Calibri"/>
              </w:rPr>
            </w:pPr>
            <w:r w:rsidRPr="0032541A">
              <w:rPr>
                <w:rFonts w:ascii="Calibri" w:eastAsia="Calibri" w:hAnsi="Calibri" w:cs="Calibri"/>
              </w:rPr>
              <w:t xml:space="preserve">How the emissions budgets, and ultimately the 2050 target, may realistically be met, including by pricing and policy </w:t>
            </w:r>
            <w:r w:rsidR="00EF218F">
              <w:rPr>
                <w:rFonts w:ascii="Calibri" w:eastAsia="Calibri" w:hAnsi="Calibri" w:cs="Calibri"/>
              </w:rPr>
              <w:t>me</w:t>
            </w:r>
            <w:r w:rsidR="009722C3">
              <w:rPr>
                <w:rFonts w:ascii="Calibri" w:eastAsia="Calibri" w:hAnsi="Calibri" w:cs="Calibri"/>
              </w:rPr>
              <w:t>thods</w:t>
            </w:r>
          </w:p>
        </w:tc>
        <w:tc>
          <w:tcPr>
            <w:tcW w:w="2438" w:type="dxa"/>
          </w:tcPr>
          <w:p w14:paraId="59EAF796" w14:textId="3ED966DC" w:rsidR="0032541A" w:rsidRPr="00563833" w:rsidRDefault="0032541A" w:rsidP="008867BD">
            <w:pPr>
              <w:spacing w:before="60"/>
              <w:rPr>
                <w:rFonts w:ascii="Calibri" w:eastAsia="Calibri" w:hAnsi="Calibri" w:cs="Calibri"/>
              </w:rPr>
            </w:pPr>
            <w:r w:rsidRPr="00563833">
              <w:rPr>
                <w:rFonts w:eastAsiaTheme="minorEastAsia"/>
              </w:rPr>
              <w:t xml:space="preserve">Chapter </w:t>
            </w:r>
            <w:r w:rsidR="00563833" w:rsidRPr="00563833">
              <w:rPr>
                <w:rFonts w:eastAsiaTheme="minorEastAsia"/>
              </w:rPr>
              <w:t>6</w:t>
            </w:r>
            <w:r w:rsidR="00CE2A91">
              <w:rPr>
                <w:rFonts w:eastAsiaTheme="minorEastAsia"/>
              </w:rPr>
              <w:t xml:space="preserve">: </w:t>
            </w:r>
            <w:r w:rsidR="00CE2A91" w:rsidRPr="00CE2A91">
              <w:rPr>
                <w:rFonts w:eastAsiaTheme="minorEastAsia"/>
              </w:rPr>
              <w:t>Direction of policy in the Government’s emissions reduction plan</w:t>
            </w:r>
          </w:p>
        </w:tc>
      </w:tr>
      <w:tr w:rsidR="0032541A" w14:paraId="469847C8" w14:textId="77777777" w:rsidTr="00174957">
        <w:tc>
          <w:tcPr>
            <w:tcW w:w="6690" w:type="dxa"/>
          </w:tcPr>
          <w:p w14:paraId="118B728D" w14:textId="602158AB" w:rsidR="008867BD" w:rsidRDefault="008867BD" w:rsidP="008867BD">
            <w:pPr>
              <w:spacing w:before="60"/>
              <w:rPr>
                <w:rFonts w:ascii="Calibri" w:eastAsia="Calibri" w:hAnsi="Calibri" w:cs="Calibri"/>
              </w:rPr>
            </w:pPr>
            <w:r>
              <w:rPr>
                <w:rFonts w:ascii="Calibri" w:eastAsia="Calibri" w:hAnsi="Calibri" w:cs="Calibri"/>
              </w:rPr>
              <w:t>The d</w:t>
            </w:r>
            <w:r w:rsidRPr="008867BD">
              <w:rPr>
                <w:rFonts w:ascii="Calibri" w:eastAsia="Calibri" w:hAnsi="Calibri" w:cs="Calibri"/>
              </w:rPr>
              <w:t>irection of the policy required in the emissions reduction plan for that emissions budget period</w:t>
            </w:r>
          </w:p>
        </w:tc>
        <w:tc>
          <w:tcPr>
            <w:tcW w:w="2438" w:type="dxa"/>
          </w:tcPr>
          <w:p w14:paraId="2DB652EE" w14:textId="0E196633" w:rsidR="0032541A" w:rsidRPr="00563833" w:rsidRDefault="0032541A" w:rsidP="008867BD">
            <w:pPr>
              <w:spacing w:before="60"/>
              <w:rPr>
                <w:rFonts w:ascii="Calibri" w:eastAsia="Calibri" w:hAnsi="Calibri" w:cs="Calibri"/>
              </w:rPr>
            </w:pPr>
            <w:r w:rsidRPr="00563833">
              <w:rPr>
                <w:rFonts w:eastAsiaTheme="minorEastAsia"/>
              </w:rPr>
              <w:t xml:space="preserve">Chapter </w:t>
            </w:r>
            <w:r w:rsidR="00563833" w:rsidRPr="00563833">
              <w:rPr>
                <w:rFonts w:eastAsiaTheme="minorEastAsia"/>
              </w:rPr>
              <w:t>6</w:t>
            </w:r>
            <w:r w:rsidR="00257F0E">
              <w:rPr>
                <w:rFonts w:eastAsiaTheme="minorEastAsia"/>
              </w:rPr>
              <w:t xml:space="preserve">: </w:t>
            </w:r>
            <w:r w:rsidR="00257F0E" w:rsidRPr="00257F0E">
              <w:rPr>
                <w:rFonts w:eastAsiaTheme="minorEastAsia"/>
              </w:rPr>
              <w:t>Direction of policy in the Government’s emissions reduction plan</w:t>
            </w:r>
          </w:p>
        </w:tc>
      </w:tr>
      <w:tr w:rsidR="0032541A" w14:paraId="3ADAA977" w14:textId="77777777" w:rsidTr="00174957">
        <w:tc>
          <w:tcPr>
            <w:tcW w:w="6690" w:type="dxa"/>
          </w:tcPr>
          <w:p w14:paraId="5B069CE5" w14:textId="3ABF86C1" w:rsidR="0032541A" w:rsidRDefault="0032541A" w:rsidP="008867BD">
            <w:pPr>
              <w:spacing w:before="60"/>
              <w:rPr>
                <w:rFonts w:ascii="Calibri" w:eastAsia="Calibri" w:hAnsi="Calibri" w:cs="Calibri"/>
              </w:rPr>
            </w:pPr>
            <w:r>
              <w:rPr>
                <w:rFonts w:ascii="Calibri" w:eastAsia="Calibri" w:hAnsi="Calibri" w:cs="Calibri"/>
              </w:rPr>
              <w:t xml:space="preserve">The rules that will apply for measuring progress towards meeting emissions budgets and </w:t>
            </w:r>
            <w:r w:rsidR="00CE110D">
              <w:rPr>
                <w:rFonts w:ascii="Calibri" w:eastAsia="Calibri" w:hAnsi="Calibri" w:cs="Calibri"/>
              </w:rPr>
              <w:t>the 2050 target</w:t>
            </w:r>
          </w:p>
        </w:tc>
        <w:tc>
          <w:tcPr>
            <w:tcW w:w="2438" w:type="dxa"/>
          </w:tcPr>
          <w:p w14:paraId="27BDE3D8" w14:textId="6E89EFBF" w:rsidR="0032541A" w:rsidRPr="00563833" w:rsidRDefault="0032541A" w:rsidP="008867BD">
            <w:pPr>
              <w:spacing w:before="60"/>
              <w:rPr>
                <w:rFonts w:ascii="Calibri" w:eastAsia="Calibri" w:hAnsi="Calibri" w:cs="Calibri"/>
              </w:rPr>
            </w:pPr>
            <w:r w:rsidRPr="00563833">
              <w:rPr>
                <w:rFonts w:eastAsiaTheme="minorEastAsia"/>
              </w:rPr>
              <w:t xml:space="preserve">Chapter </w:t>
            </w:r>
            <w:r w:rsidR="00563833" w:rsidRPr="00563833">
              <w:rPr>
                <w:rFonts w:eastAsiaTheme="minorEastAsia"/>
              </w:rPr>
              <w:t>7</w:t>
            </w:r>
            <w:r w:rsidR="00DF20FA">
              <w:rPr>
                <w:rFonts w:eastAsiaTheme="minorEastAsia"/>
              </w:rPr>
              <w:t xml:space="preserve">: </w:t>
            </w:r>
            <w:r w:rsidR="00DF20FA" w:rsidRPr="00DF20FA">
              <w:rPr>
                <w:rFonts w:eastAsiaTheme="minorEastAsia"/>
              </w:rPr>
              <w:t>Rules for measuring progress</w:t>
            </w:r>
          </w:p>
        </w:tc>
      </w:tr>
    </w:tbl>
    <w:p w14:paraId="1481BD22" w14:textId="757A6629" w:rsidR="002468F9" w:rsidRDefault="007466DD" w:rsidP="00971E3C">
      <w:pPr>
        <w:rPr>
          <w:rFonts w:ascii="Calibri" w:eastAsia="Calibri" w:hAnsi="Calibri" w:cs="Calibri"/>
        </w:rPr>
      </w:pPr>
      <w:r>
        <w:rPr>
          <w:rFonts w:ascii="Calibri" w:eastAsia="Calibri" w:hAnsi="Calibri" w:cs="Calibri"/>
        </w:rPr>
        <w:t>We have also been asked by the Minister for Climate Change to provide advice on the eventual reductions needed in biogenic methane</w:t>
      </w:r>
      <w:r w:rsidR="00C32EFB">
        <w:rPr>
          <w:rFonts w:ascii="Calibri" w:eastAsia="Calibri" w:hAnsi="Calibri" w:cs="Calibri"/>
        </w:rPr>
        <w:t xml:space="preserve"> emissions</w:t>
      </w:r>
      <w:r>
        <w:rPr>
          <w:rFonts w:ascii="Calibri" w:eastAsia="Calibri" w:hAnsi="Calibri" w:cs="Calibri"/>
        </w:rPr>
        <w:t xml:space="preserve">, </w:t>
      </w:r>
      <w:r w:rsidR="00DB1C47">
        <w:rPr>
          <w:rFonts w:ascii="Calibri" w:eastAsia="Calibri" w:hAnsi="Calibri" w:cs="Calibri"/>
        </w:rPr>
        <w:t xml:space="preserve">and on </w:t>
      </w:r>
      <w:r w:rsidR="00AC46EA">
        <w:rPr>
          <w:rFonts w:ascii="Calibri" w:eastAsia="Calibri" w:hAnsi="Calibri" w:cs="Calibri"/>
        </w:rPr>
        <w:t xml:space="preserve">the country’s </w:t>
      </w:r>
      <w:r w:rsidR="002468F9">
        <w:rPr>
          <w:rFonts w:ascii="Calibri" w:eastAsia="Calibri" w:hAnsi="Calibri" w:cs="Calibri"/>
        </w:rPr>
        <w:t>Nationally Determined Contribution.</w:t>
      </w:r>
      <w:r w:rsidR="00DB1C47">
        <w:rPr>
          <w:rFonts w:ascii="Calibri" w:eastAsia="Calibri" w:hAnsi="Calibri" w:cs="Calibri"/>
        </w:rPr>
        <w:t xml:space="preserve"> This advice has been provided in </w:t>
      </w:r>
      <w:r w:rsidR="00AE1D9A">
        <w:rPr>
          <w:rFonts w:ascii="Calibri" w:eastAsia="Calibri" w:hAnsi="Calibri" w:cs="Calibri"/>
        </w:rPr>
        <w:t>Part B of this</w:t>
      </w:r>
      <w:r w:rsidR="00DB1C47">
        <w:rPr>
          <w:rFonts w:ascii="Calibri" w:eastAsia="Calibri" w:hAnsi="Calibri" w:cs="Calibri"/>
        </w:rPr>
        <w:t xml:space="preserve"> report</w:t>
      </w:r>
      <w:r w:rsidR="00AE1D9A">
        <w:rPr>
          <w:rFonts w:ascii="Calibri" w:eastAsia="Calibri" w:hAnsi="Calibri" w:cs="Calibri"/>
        </w:rPr>
        <w:t>.</w:t>
      </w:r>
    </w:p>
    <w:p w14:paraId="3385AEA3" w14:textId="3869084E" w:rsidR="00DC456C" w:rsidRPr="006A0989" w:rsidRDefault="00070173" w:rsidP="00DC456C">
      <w:pPr>
        <w:pStyle w:val="Heading2"/>
      </w:pPr>
      <w:bookmarkStart w:id="15" w:name="_Toc62650234"/>
      <w:bookmarkStart w:id="16" w:name="_Toc58840878"/>
      <w:bookmarkStart w:id="17" w:name="_Toc58857552"/>
      <w:r>
        <w:t xml:space="preserve">1.2 </w:t>
      </w:r>
      <w:r w:rsidR="00DC456C">
        <w:t>Taking an inclusive approach</w:t>
      </w:r>
      <w:bookmarkEnd w:id="15"/>
    </w:p>
    <w:p w14:paraId="2A897783" w14:textId="77777777" w:rsidR="00DC456C" w:rsidRDefault="00DC456C" w:rsidP="00DC456C">
      <w:r>
        <w:t>Addressing climate change requires transformational and fundamental change to the country’s economy and society. The actions Aotearoa takes to address climate change will touch on the lives of everyone that lives in Aotearoa. This means we must take an inclusive approach.</w:t>
      </w:r>
    </w:p>
    <w:p w14:paraId="76BA9D53" w14:textId="77777777" w:rsidR="00DC456C" w:rsidRPr="006F5718" w:rsidRDefault="00DC456C" w:rsidP="00DC456C">
      <w:r w:rsidRPr="006F5718">
        <w:t>Tikanga</w:t>
      </w:r>
      <w:r>
        <w:t xml:space="preserve"> </w:t>
      </w:r>
      <w:r w:rsidRPr="006F5718">
        <w:t>values</w:t>
      </w:r>
      <w:r>
        <w:t xml:space="preserve"> </w:t>
      </w:r>
      <w:r w:rsidRPr="006F5718">
        <w:t>can</w:t>
      </w:r>
      <w:r>
        <w:t xml:space="preserve"> </w:t>
      </w:r>
      <w:r w:rsidRPr="006F5718">
        <w:t>guide</w:t>
      </w:r>
      <w:r>
        <w:t xml:space="preserve"> </w:t>
      </w:r>
      <w:r w:rsidRPr="006F5718">
        <w:t>Aotearoa</w:t>
      </w:r>
      <w:r>
        <w:t xml:space="preserve"> through a climate transition that is inclusive. T</w:t>
      </w:r>
      <w:r w:rsidRPr="006F5718">
        <w:t>he</w:t>
      </w:r>
      <w:r>
        <w:t xml:space="preserve"> </w:t>
      </w:r>
      <w:r w:rsidRPr="006F5718">
        <w:t>concept</w:t>
      </w:r>
      <w:r>
        <w:t xml:space="preserve"> </w:t>
      </w:r>
      <w:r w:rsidRPr="006F5718">
        <w:t>of</w:t>
      </w:r>
      <w:r>
        <w:t xml:space="preserve"> </w:t>
      </w:r>
      <w:proofErr w:type="spellStart"/>
      <w:r w:rsidRPr="006F5718">
        <w:t>tiakitanga</w:t>
      </w:r>
      <w:proofErr w:type="spellEnd"/>
      <w:r>
        <w:t xml:space="preserve"> </w:t>
      </w:r>
      <w:r w:rsidRPr="006F5718">
        <w:t>–</w:t>
      </w:r>
      <w:r>
        <w:t xml:space="preserve"> </w:t>
      </w:r>
      <w:r w:rsidRPr="006F5718">
        <w:t>being</w:t>
      </w:r>
      <w:r>
        <w:t xml:space="preserve"> </w:t>
      </w:r>
      <w:r w:rsidRPr="006F5718">
        <w:t>a</w:t>
      </w:r>
      <w:r>
        <w:t xml:space="preserve"> </w:t>
      </w:r>
      <w:r w:rsidRPr="006F5718">
        <w:t>good</w:t>
      </w:r>
      <w:r>
        <w:t xml:space="preserve"> </w:t>
      </w:r>
      <w:r w:rsidRPr="006F5718">
        <w:t>guardian</w:t>
      </w:r>
      <w:r>
        <w:t xml:space="preserve"> </w:t>
      </w:r>
      <w:r w:rsidRPr="006F5718">
        <w:t>or</w:t>
      </w:r>
      <w:r>
        <w:t xml:space="preserve"> </w:t>
      </w:r>
      <w:r w:rsidRPr="006F5718">
        <w:t>steward</w:t>
      </w:r>
      <w:r>
        <w:t xml:space="preserve"> </w:t>
      </w:r>
      <w:r w:rsidRPr="006F5718">
        <w:t>–</w:t>
      </w:r>
      <w:r>
        <w:t xml:space="preserve"> considers the wellbeing of both current and future generations of New Zealanders. The He Ara </w:t>
      </w:r>
      <w:proofErr w:type="spellStart"/>
      <w:r>
        <w:t>Waiora</w:t>
      </w:r>
      <w:proofErr w:type="spellEnd"/>
      <w:r>
        <w:t xml:space="preserve"> tikanga values are: </w:t>
      </w:r>
    </w:p>
    <w:p w14:paraId="703276F4" w14:textId="77777777" w:rsidR="00DC456C" w:rsidRPr="006F5718" w:rsidRDefault="00DC456C" w:rsidP="00655722">
      <w:pPr>
        <w:pStyle w:val="ListParagraph"/>
        <w:numPr>
          <w:ilvl w:val="0"/>
          <w:numId w:val="15"/>
        </w:numPr>
        <w:spacing w:before="120" w:after="120"/>
        <w:ind w:left="714" w:hanging="357"/>
        <w:contextualSpacing w:val="0"/>
      </w:pPr>
      <w:proofErr w:type="spellStart"/>
      <w:r w:rsidRPr="00B75337">
        <w:rPr>
          <w:b/>
          <w:bCs/>
        </w:rPr>
        <w:t>manaakitanga</w:t>
      </w:r>
      <w:proofErr w:type="spellEnd"/>
      <w:r>
        <w:t xml:space="preserve"> </w:t>
      </w:r>
      <w:r w:rsidRPr="006F5718">
        <w:t>–</w:t>
      </w:r>
      <w:r>
        <w:t xml:space="preserve"> </w:t>
      </w:r>
      <w:r w:rsidRPr="006F5718">
        <w:t>having</w:t>
      </w:r>
      <w:r>
        <w:t xml:space="preserve"> </w:t>
      </w:r>
      <w:r w:rsidRPr="006F5718">
        <w:t>a</w:t>
      </w:r>
      <w:r>
        <w:t xml:space="preserve"> </w:t>
      </w:r>
      <w:r w:rsidRPr="006F5718">
        <w:t>deep</w:t>
      </w:r>
      <w:r>
        <w:t xml:space="preserve"> </w:t>
      </w:r>
      <w:r w:rsidRPr="006F5718">
        <w:t>ethic</w:t>
      </w:r>
      <w:r>
        <w:t xml:space="preserve"> </w:t>
      </w:r>
      <w:r w:rsidRPr="006F5718">
        <w:t>of</w:t>
      </w:r>
      <w:r>
        <w:t xml:space="preserve"> </w:t>
      </w:r>
      <w:r w:rsidRPr="006F5718">
        <w:t>care</w:t>
      </w:r>
      <w:r>
        <w:t xml:space="preserve"> </w:t>
      </w:r>
      <w:r w:rsidRPr="006F5718">
        <w:t>towards</w:t>
      </w:r>
      <w:r>
        <w:t xml:space="preserve"> </w:t>
      </w:r>
      <w:r w:rsidRPr="006F5718">
        <w:t>people</w:t>
      </w:r>
      <w:r>
        <w:t xml:space="preserve"> </w:t>
      </w:r>
      <w:r w:rsidRPr="006F5718">
        <w:t>and</w:t>
      </w:r>
      <w:r>
        <w:t xml:space="preserve"> </w:t>
      </w:r>
      <w:r w:rsidRPr="006F5718">
        <w:t>the</w:t>
      </w:r>
      <w:r>
        <w:t xml:space="preserve"> </w:t>
      </w:r>
      <w:r w:rsidRPr="006F5718">
        <w:t>whenua</w:t>
      </w:r>
      <w:r>
        <w:t xml:space="preserve"> </w:t>
      </w:r>
      <w:r w:rsidRPr="006F5718">
        <w:t>(land),</w:t>
      </w:r>
      <w:r>
        <w:t xml:space="preserve"> </w:t>
      </w:r>
      <w:r w:rsidRPr="006F5718">
        <w:t>acknowledging</w:t>
      </w:r>
      <w:r>
        <w:t xml:space="preserve"> </w:t>
      </w:r>
      <w:r w:rsidRPr="006F5718">
        <w:t>their</w:t>
      </w:r>
      <w:r>
        <w:t xml:space="preserve"> </w:t>
      </w:r>
      <w:r w:rsidRPr="006F5718">
        <w:t>role</w:t>
      </w:r>
      <w:r>
        <w:t xml:space="preserve"> </w:t>
      </w:r>
      <w:r w:rsidRPr="006F5718">
        <w:t>in</w:t>
      </w:r>
      <w:r>
        <w:t xml:space="preserve"> </w:t>
      </w:r>
      <w:r w:rsidRPr="006F5718">
        <w:t>the</w:t>
      </w:r>
      <w:r>
        <w:t xml:space="preserve"> </w:t>
      </w:r>
      <w:r w:rsidRPr="006F5718">
        <w:t>ecosystem,</w:t>
      </w:r>
      <w:r>
        <w:t xml:space="preserve"> </w:t>
      </w:r>
      <w:r w:rsidRPr="006F5718">
        <w:t>and</w:t>
      </w:r>
      <w:r>
        <w:t xml:space="preserve"> </w:t>
      </w:r>
      <w:r w:rsidRPr="006F5718">
        <w:t>how</w:t>
      </w:r>
      <w:r>
        <w:t xml:space="preserve"> </w:t>
      </w:r>
      <w:r w:rsidRPr="006F5718">
        <w:t>they</w:t>
      </w:r>
      <w:r>
        <w:t xml:space="preserve"> </w:t>
      </w:r>
      <w:r w:rsidRPr="006F5718">
        <w:t>could</w:t>
      </w:r>
      <w:r>
        <w:t xml:space="preserve"> </w:t>
      </w:r>
      <w:r w:rsidRPr="006F5718">
        <w:t>be</w:t>
      </w:r>
      <w:r>
        <w:t xml:space="preserve"> </w:t>
      </w:r>
      <w:r w:rsidRPr="006F5718">
        <w:t>affected</w:t>
      </w:r>
      <w:r>
        <w:t xml:space="preserve"> </w:t>
      </w:r>
    </w:p>
    <w:p w14:paraId="5B0A6DF1" w14:textId="77777777" w:rsidR="00DC456C" w:rsidRPr="006F5718" w:rsidRDefault="00DC456C" w:rsidP="00655722">
      <w:pPr>
        <w:pStyle w:val="ListParagraph"/>
        <w:numPr>
          <w:ilvl w:val="0"/>
          <w:numId w:val="15"/>
        </w:numPr>
        <w:spacing w:before="120" w:after="120"/>
        <w:ind w:left="714" w:hanging="357"/>
        <w:contextualSpacing w:val="0"/>
      </w:pPr>
      <w:r w:rsidRPr="00B75337">
        <w:rPr>
          <w:b/>
          <w:bCs/>
        </w:rPr>
        <w:t>tikanga</w:t>
      </w:r>
      <w:r>
        <w:t xml:space="preserve"> </w:t>
      </w:r>
      <w:r w:rsidRPr="006F5718">
        <w:t>–</w:t>
      </w:r>
      <w:r>
        <w:t xml:space="preserve"> </w:t>
      </w:r>
      <w:r w:rsidRPr="006F5718">
        <w:t>ensuring</w:t>
      </w:r>
      <w:r>
        <w:t xml:space="preserve"> </w:t>
      </w:r>
      <w:r w:rsidRPr="006F5718">
        <w:t>the</w:t>
      </w:r>
      <w:r>
        <w:t xml:space="preserve"> </w:t>
      </w:r>
      <w:r w:rsidRPr="006F5718">
        <w:t>right</w:t>
      </w:r>
      <w:r>
        <w:t xml:space="preserve"> </w:t>
      </w:r>
      <w:r w:rsidRPr="006F5718">
        <w:t>decision</w:t>
      </w:r>
      <w:r>
        <w:t xml:space="preserve"> </w:t>
      </w:r>
      <w:r w:rsidRPr="006F5718">
        <w:t>makers</w:t>
      </w:r>
      <w:r>
        <w:t xml:space="preserve"> </w:t>
      </w:r>
      <w:r w:rsidRPr="006F5718">
        <w:t>are</w:t>
      </w:r>
      <w:r>
        <w:t xml:space="preserve"> </w:t>
      </w:r>
      <w:r w:rsidRPr="006F5718">
        <w:t>involved</w:t>
      </w:r>
      <w:r>
        <w:t xml:space="preserve"> </w:t>
      </w:r>
      <w:r w:rsidRPr="006F5718">
        <w:t>in</w:t>
      </w:r>
      <w:r>
        <w:t xml:space="preserve"> </w:t>
      </w:r>
      <w:r w:rsidRPr="006F5718">
        <w:t>the</w:t>
      </w:r>
      <w:r>
        <w:t xml:space="preserve"> </w:t>
      </w:r>
      <w:r w:rsidRPr="006F5718">
        <w:t>right</w:t>
      </w:r>
      <w:r>
        <w:t xml:space="preserve"> </w:t>
      </w:r>
      <w:r w:rsidRPr="006F5718">
        <w:t>decision-making</w:t>
      </w:r>
      <w:r>
        <w:t xml:space="preserve"> </w:t>
      </w:r>
      <w:r w:rsidRPr="006F5718">
        <w:t>process</w:t>
      </w:r>
      <w:r>
        <w:t xml:space="preserve"> </w:t>
      </w:r>
    </w:p>
    <w:p w14:paraId="3A28A7C5" w14:textId="77777777" w:rsidR="00DC456C" w:rsidRDefault="00DC456C" w:rsidP="00655722">
      <w:pPr>
        <w:pStyle w:val="ListParagraph"/>
        <w:numPr>
          <w:ilvl w:val="0"/>
          <w:numId w:val="15"/>
        </w:numPr>
        <w:spacing w:before="120" w:after="120"/>
        <w:ind w:left="714" w:hanging="357"/>
        <w:contextualSpacing w:val="0"/>
      </w:pPr>
      <w:r w:rsidRPr="00B75337">
        <w:rPr>
          <w:b/>
          <w:bCs/>
        </w:rPr>
        <w:t>whanaungatanga</w:t>
      </w:r>
      <w:r>
        <w:t xml:space="preserve"> </w:t>
      </w:r>
      <w:r w:rsidRPr="006F5718">
        <w:t>–</w:t>
      </w:r>
      <w:r>
        <w:t xml:space="preserve"> </w:t>
      </w:r>
      <w:r w:rsidRPr="006F5718">
        <w:t>being</w:t>
      </w:r>
      <w:r>
        <w:t xml:space="preserve"> </w:t>
      </w:r>
      <w:r w:rsidRPr="006F5718">
        <w:t>mindful</w:t>
      </w:r>
      <w:r>
        <w:t xml:space="preserve"> </w:t>
      </w:r>
      <w:r w:rsidRPr="006F5718">
        <w:t>of</w:t>
      </w:r>
      <w:r>
        <w:t xml:space="preserve"> </w:t>
      </w:r>
      <w:r w:rsidRPr="006F5718">
        <w:t>the</w:t>
      </w:r>
      <w:r>
        <w:t xml:space="preserve"> </w:t>
      </w:r>
      <w:r w:rsidRPr="006F5718">
        <w:t>relationship</w:t>
      </w:r>
      <w:r>
        <w:t xml:space="preserve"> </w:t>
      </w:r>
      <w:r w:rsidRPr="006F5718">
        <w:t>between</w:t>
      </w:r>
      <w:r>
        <w:t xml:space="preserve"> </w:t>
      </w:r>
      <w:r w:rsidRPr="006F5718">
        <w:t>all</w:t>
      </w:r>
      <w:r>
        <w:t xml:space="preserve"> </w:t>
      </w:r>
      <w:r w:rsidRPr="006F5718">
        <w:t>things,</w:t>
      </w:r>
      <w:r>
        <w:t xml:space="preserve"> </w:t>
      </w:r>
      <w:r w:rsidRPr="006F5718">
        <w:t>our</w:t>
      </w:r>
      <w:r>
        <w:t xml:space="preserve"> </w:t>
      </w:r>
      <w:r w:rsidRPr="006F5718">
        <w:t>connections</w:t>
      </w:r>
      <w:r>
        <w:t xml:space="preserve"> </w:t>
      </w:r>
      <w:r w:rsidRPr="006F5718">
        <w:t>to</w:t>
      </w:r>
      <w:r>
        <w:t xml:space="preserve"> </w:t>
      </w:r>
      <w:r w:rsidRPr="006F5718">
        <w:t>each</w:t>
      </w:r>
      <w:r>
        <w:t xml:space="preserve"> </w:t>
      </w:r>
      <w:r w:rsidRPr="006F5718">
        <w:t>other</w:t>
      </w:r>
      <w:r>
        <w:t xml:space="preserve"> </w:t>
      </w:r>
      <w:r w:rsidRPr="006F5718">
        <w:t>and</w:t>
      </w:r>
      <w:r>
        <w:t xml:space="preserve"> </w:t>
      </w:r>
      <w:r w:rsidRPr="006F5718">
        <w:t>how</w:t>
      </w:r>
      <w:r>
        <w:t xml:space="preserve"> </w:t>
      </w:r>
      <w:r w:rsidRPr="006F5718">
        <w:t>we</w:t>
      </w:r>
      <w:r>
        <w:t xml:space="preserve"> </w:t>
      </w:r>
      <w:r w:rsidRPr="006F5718">
        <w:t>connect</w:t>
      </w:r>
      <w:r>
        <w:t xml:space="preserve"> </w:t>
      </w:r>
      <w:r w:rsidRPr="006F5718">
        <w:t>to</w:t>
      </w:r>
      <w:r>
        <w:t xml:space="preserve"> </w:t>
      </w:r>
      <w:r w:rsidRPr="006F5718">
        <w:t>our</w:t>
      </w:r>
      <w:r>
        <w:t xml:space="preserve"> </w:t>
      </w:r>
      <w:r w:rsidRPr="006F5718">
        <w:t>whenua</w:t>
      </w:r>
      <w:r>
        <w:t xml:space="preserve"> </w:t>
      </w:r>
    </w:p>
    <w:p w14:paraId="44B8F5A6" w14:textId="77777777" w:rsidR="00DC456C" w:rsidRDefault="00DC456C" w:rsidP="00655722">
      <w:pPr>
        <w:pStyle w:val="ListParagraph"/>
        <w:numPr>
          <w:ilvl w:val="0"/>
          <w:numId w:val="15"/>
        </w:numPr>
        <w:spacing w:before="120" w:after="120"/>
        <w:ind w:left="714" w:hanging="357"/>
        <w:contextualSpacing w:val="0"/>
      </w:pPr>
      <w:proofErr w:type="spellStart"/>
      <w:r w:rsidRPr="00933297">
        <w:rPr>
          <w:b/>
          <w:bCs/>
        </w:rPr>
        <w:t>kotahitanga</w:t>
      </w:r>
      <w:proofErr w:type="spellEnd"/>
      <w:r>
        <w:t xml:space="preserve"> </w:t>
      </w:r>
      <w:r w:rsidRPr="006F5718">
        <w:t>–</w:t>
      </w:r>
      <w:r>
        <w:t xml:space="preserve"> </w:t>
      </w:r>
      <w:r w:rsidRPr="006F5718">
        <w:t>working</w:t>
      </w:r>
      <w:r>
        <w:t xml:space="preserve"> </w:t>
      </w:r>
      <w:r w:rsidRPr="006F5718">
        <w:t>collaboratively</w:t>
      </w:r>
      <w:r>
        <w:t xml:space="preserve"> </w:t>
      </w:r>
      <w:r w:rsidRPr="006F5718">
        <w:t>and</w:t>
      </w:r>
      <w:r>
        <w:t xml:space="preserve"> </w:t>
      </w:r>
      <w:r w:rsidRPr="006F5718">
        <w:t>inclusively</w:t>
      </w:r>
      <w:r>
        <w:t xml:space="preserve"> </w:t>
      </w:r>
      <w:r w:rsidRPr="006F5718">
        <w:t>to</w:t>
      </w:r>
      <w:r>
        <w:t xml:space="preserve"> </w:t>
      </w:r>
      <w:r w:rsidRPr="006F5718">
        <w:t>access</w:t>
      </w:r>
      <w:r>
        <w:t xml:space="preserve"> </w:t>
      </w:r>
      <w:r w:rsidRPr="006F5718">
        <w:t>the</w:t>
      </w:r>
      <w:r>
        <w:t xml:space="preserve"> </w:t>
      </w:r>
      <w:r w:rsidRPr="006F5718">
        <w:t>best</w:t>
      </w:r>
      <w:r>
        <w:t xml:space="preserve"> </w:t>
      </w:r>
      <w:r w:rsidRPr="006F5718">
        <w:t>ideas</w:t>
      </w:r>
      <w:r>
        <w:t xml:space="preserve"> </w:t>
      </w:r>
      <w:r w:rsidRPr="006F5718">
        <w:t>and</w:t>
      </w:r>
      <w:r>
        <w:t xml:space="preserve"> </w:t>
      </w:r>
      <w:r w:rsidRPr="006F5718">
        <w:t>information</w:t>
      </w:r>
      <w:r>
        <w:t xml:space="preserve"> </w:t>
      </w:r>
      <w:r w:rsidRPr="006F5718">
        <w:t>while</w:t>
      </w:r>
      <w:r>
        <w:t xml:space="preserve"> </w:t>
      </w:r>
      <w:r w:rsidRPr="006F5718">
        <w:t>uplifting</w:t>
      </w:r>
      <w:r>
        <w:t xml:space="preserve"> </w:t>
      </w:r>
      <w:r w:rsidRPr="006F5718">
        <w:t>collective</w:t>
      </w:r>
      <w:r>
        <w:t xml:space="preserve"> </w:t>
      </w:r>
      <w:r w:rsidRPr="006F5718">
        <w:t>efforts.</w:t>
      </w:r>
    </w:p>
    <w:p w14:paraId="06B4CD48" w14:textId="77777777" w:rsidR="00DC456C" w:rsidRDefault="00DC456C" w:rsidP="00DC456C">
      <w:pPr>
        <w:spacing w:before="120" w:after="120"/>
      </w:pPr>
      <w:r>
        <w:lastRenderedPageBreak/>
        <w:t xml:space="preserve">The He Ara </w:t>
      </w:r>
      <w:proofErr w:type="spellStart"/>
      <w:r>
        <w:t>Waiora</w:t>
      </w:r>
      <w:proofErr w:type="spellEnd"/>
      <w:r>
        <w:t xml:space="preserve"> framework is described in more detail in Chapter 6 of the accompanying Evidence Report.</w:t>
      </w:r>
    </w:p>
    <w:p w14:paraId="6133ECD1" w14:textId="77777777" w:rsidR="00DC456C" w:rsidRDefault="00DC456C" w:rsidP="00DC456C">
      <w:r>
        <w:t>Providing analysis and advice on the first three emissions budgets and the direction of the first emissions reduction plan represents a significant amount of work. However, it is in many ways just the beginning. We have an ongoing role to monitor the Government’s progress towards emissions budgets and targets. As part of this, we will closely monitor how all of government addresses our final recommendations and share our conclusions publicly.</w:t>
      </w:r>
    </w:p>
    <w:p w14:paraId="74463BA9" w14:textId="3BC63D3A" w:rsidR="007672AD" w:rsidRDefault="00070173" w:rsidP="007672AD">
      <w:pPr>
        <w:pStyle w:val="Heading2"/>
      </w:pPr>
      <w:bookmarkStart w:id="18" w:name="_Toc62650235"/>
      <w:r>
        <w:t xml:space="preserve">1.3 </w:t>
      </w:r>
      <w:r w:rsidR="007672AD">
        <w:t xml:space="preserve">Our </w:t>
      </w:r>
      <w:r w:rsidR="00A47BA0">
        <w:t xml:space="preserve">draft </w:t>
      </w:r>
      <w:r w:rsidR="007672AD">
        <w:t>advice and recommendations</w:t>
      </w:r>
      <w:bookmarkEnd w:id="16"/>
      <w:bookmarkEnd w:id="17"/>
      <w:bookmarkEnd w:id="18"/>
    </w:p>
    <w:p w14:paraId="0D4EBB52" w14:textId="628FC391" w:rsidR="00557E29" w:rsidRDefault="007672AD" w:rsidP="007672AD">
      <w:r w:rsidRPr="002B51AB">
        <w:t xml:space="preserve">We have provided </w:t>
      </w:r>
      <w:r w:rsidR="00A47BA0" w:rsidRPr="002B51AB">
        <w:t xml:space="preserve">draft </w:t>
      </w:r>
      <w:r w:rsidRPr="002B51AB">
        <w:t xml:space="preserve">recommendations to </w:t>
      </w:r>
      <w:r w:rsidR="00424EE0" w:rsidRPr="002B51AB">
        <w:t>g</w:t>
      </w:r>
      <w:r w:rsidRPr="002B51AB">
        <w:t>overnment throughout this report.</w:t>
      </w:r>
      <w:r w:rsidR="00490693" w:rsidRPr="002B51AB">
        <w:t xml:space="preserve"> </w:t>
      </w:r>
      <w:r w:rsidR="0078048A" w:rsidRPr="002B51AB">
        <w:t>For</w:t>
      </w:r>
      <w:r w:rsidR="0078048A">
        <w:t xml:space="preserve"> many of these </w:t>
      </w:r>
      <w:r w:rsidR="00414A12">
        <w:t xml:space="preserve">draft </w:t>
      </w:r>
      <w:r w:rsidR="0078048A">
        <w:t>recommendations, we have also provided progress indicators</w:t>
      </w:r>
      <w:r w:rsidR="006C0AFB">
        <w:t xml:space="preserve"> that we would use</w:t>
      </w:r>
      <w:r w:rsidR="005259BA">
        <w:t xml:space="preserve"> to </w:t>
      </w:r>
      <w:r w:rsidR="0017595D">
        <w:t>monitor</w:t>
      </w:r>
      <w:r w:rsidR="00DE4C2C">
        <w:t xml:space="preserve"> the </w:t>
      </w:r>
      <w:r w:rsidR="002E797E">
        <w:t xml:space="preserve">Government’s </w:t>
      </w:r>
      <w:r w:rsidR="009D737C">
        <w:t>progress.</w:t>
      </w:r>
    </w:p>
    <w:p w14:paraId="67F8352F" w14:textId="209FCF3D" w:rsidR="007672AD" w:rsidRDefault="00557E29" w:rsidP="007672AD">
      <w:r>
        <w:t xml:space="preserve">The </w:t>
      </w:r>
      <w:r w:rsidR="002E797E">
        <w:t xml:space="preserve">draft </w:t>
      </w:r>
      <w:r>
        <w:t>recommendations</w:t>
      </w:r>
      <w:r w:rsidR="00490693">
        <w:t xml:space="preserve"> fall into </w:t>
      </w:r>
      <w:r w:rsidR="005715E5">
        <w:t>four</w:t>
      </w:r>
      <w:r w:rsidR="00490693">
        <w:t xml:space="preserve"> categories</w:t>
      </w:r>
      <w:r w:rsidR="009D737C">
        <w:t>:</w:t>
      </w:r>
    </w:p>
    <w:p w14:paraId="2654B6B3" w14:textId="1734D295" w:rsidR="00861331" w:rsidRPr="00A2618D" w:rsidRDefault="00FB6489" w:rsidP="00655722">
      <w:pPr>
        <w:pStyle w:val="ListParagraph"/>
        <w:numPr>
          <w:ilvl w:val="0"/>
          <w:numId w:val="13"/>
        </w:numPr>
        <w:ind w:left="714" w:hanging="357"/>
        <w:contextualSpacing w:val="0"/>
      </w:pPr>
      <w:r w:rsidRPr="00A933C8">
        <w:rPr>
          <w:b/>
          <w:bCs/>
        </w:rPr>
        <w:t>budget</w:t>
      </w:r>
      <w:r w:rsidR="00861331" w:rsidRPr="00A933C8">
        <w:rPr>
          <w:b/>
          <w:bCs/>
        </w:rPr>
        <w:t xml:space="preserve"> recommendations</w:t>
      </w:r>
      <w:r w:rsidR="00861331">
        <w:t xml:space="preserve"> – these contain our draft recommendations on the levels at which to set the first three emissions budgets, the breakdown by gas, the proportion of domestic emissions reductions and removals and the limit on offshore mitigation for meeting emissions budgets</w:t>
      </w:r>
    </w:p>
    <w:p w14:paraId="5339CD84" w14:textId="6A0543C1" w:rsidR="00A2618D" w:rsidRPr="00A2618D" w:rsidRDefault="0050727E" w:rsidP="00655722">
      <w:pPr>
        <w:pStyle w:val="ListParagraph"/>
        <w:numPr>
          <w:ilvl w:val="0"/>
          <w:numId w:val="13"/>
        </w:numPr>
        <w:ind w:left="714" w:hanging="357"/>
        <w:contextualSpacing w:val="0"/>
      </w:pPr>
      <w:r w:rsidRPr="00A933C8">
        <w:rPr>
          <w:b/>
          <w:bCs/>
        </w:rPr>
        <w:t>enabling</w:t>
      </w:r>
      <w:r w:rsidR="00A2618D" w:rsidRPr="00A933C8">
        <w:rPr>
          <w:b/>
          <w:bCs/>
        </w:rPr>
        <w:t xml:space="preserve"> recommendations</w:t>
      </w:r>
      <w:r w:rsidR="00A2618D" w:rsidRPr="00A2618D">
        <w:t xml:space="preserve"> </w:t>
      </w:r>
      <w:r w:rsidR="002B3361">
        <w:t xml:space="preserve">– these recommendations </w:t>
      </w:r>
      <w:r w:rsidR="00B42BF5">
        <w:t xml:space="preserve">are </w:t>
      </w:r>
      <w:r w:rsidR="00456446">
        <w:t>crucial for ensuring that</w:t>
      </w:r>
      <w:r w:rsidR="00321DAD">
        <w:t xml:space="preserve"> </w:t>
      </w:r>
      <w:r w:rsidR="0004541D">
        <w:t>processes are in place so that the</w:t>
      </w:r>
      <w:r w:rsidR="00321DAD">
        <w:t xml:space="preserve"> action</w:t>
      </w:r>
      <w:r w:rsidR="0004541D">
        <w:t>s to address</w:t>
      </w:r>
      <w:r w:rsidR="00321DAD">
        <w:t xml:space="preserve"> climate change </w:t>
      </w:r>
      <w:r w:rsidR="00D546C7">
        <w:t>are</w:t>
      </w:r>
      <w:r w:rsidR="00456430">
        <w:t xml:space="preserve"> </w:t>
      </w:r>
      <w:r w:rsidR="00B42BF5">
        <w:t>enduring</w:t>
      </w:r>
    </w:p>
    <w:p w14:paraId="66EF192B" w14:textId="4A5E15C0" w:rsidR="0004541D" w:rsidRPr="0004541D" w:rsidRDefault="0050727E" w:rsidP="00655722">
      <w:pPr>
        <w:pStyle w:val="ListParagraph"/>
        <w:numPr>
          <w:ilvl w:val="0"/>
          <w:numId w:val="13"/>
        </w:numPr>
        <w:ind w:left="714" w:hanging="357"/>
        <w:contextualSpacing w:val="0"/>
      </w:pPr>
      <w:r w:rsidRPr="0004541D">
        <w:rPr>
          <w:b/>
          <w:bCs/>
        </w:rPr>
        <w:t>policy</w:t>
      </w:r>
      <w:r w:rsidR="0004541D" w:rsidRPr="0004541D">
        <w:rPr>
          <w:b/>
          <w:bCs/>
        </w:rPr>
        <w:t xml:space="preserve"> recommendations</w:t>
      </w:r>
      <w:r w:rsidR="0004541D">
        <w:t xml:space="preserve"> – these recommendations inform the direction of policy needed in the Government’s </w:t>
      </w:r>
      <w:r w:rsidR="00B9719F">
        <w:t>e</w:t>
      </w:r>
      <w:r w:rsidR="0004541D">
        <w:t xml:space="preserve">missions </w:t>
      </w:r>
      <w:r w:rsidR="00B9719F">
        <w:t>r</w:t>
      </w:r>
      <w:r w:rsidR="0004541D">
        <w:t xml:space="preserve">eduction </w:t>
      </w:r>
      <w:r w:rsidR="00B9719F">
        <w:t>p</w:t>
      </w:r>
      <w:r w:rsidR="0004541D">
        <w:t>lan. There are two sub-categories:</w:t>
      </w:r>
    </w:p>
    <w:p w14:paraId="381FD13B" w14:textId="1435E2BE" w:rsidR="00A2618D" w:rsidRPr="00A2618D" w:rsidRDefault="0050727E" w:rsidP="00655722">
      <w:pPr>
        <w:pStyle w:val="ListParagraph"/>
        <w:numPr>
          <w:ilvl w:val="1"/>
          <w:numId w:val="13"/>
        </w:numPr>
        <w:contextualSpacing w:val="0"/>
      </w:pPr>
      <w:r w:rsidRPr="00A933C8">
        <w:rPr>
          <w:b/>
          <w:bCs/>
        </w:rPr>
        <w:t>time</w:t>
      </w:r>
      <w:r w:rsidR="00A2618D" w:rsidRPr="00A933C8">
        <w:rPr>
          <w:b/>
          <w:bCs/>
        </w:rPr>
        <w:t xml:space="preserve">-critical </w:t>
      </w:r>
      <w:r w:rsidR="004004C4">
        <w:rPr>
          <w:b/>
          <w:bCs/>
        </w:rPr>
        <w:t>necessary</w:t>
      </w:r>
      <w:r w:rsidR="00A2618D" w:rsidRPr="00A933C8">
        <w:rPr>
          <w:b/>
          <w:bCs/>
        </w:rPr>
        <w:t xml:space="preserve"> </w:t>
      </w:r>
      <w:r w:rsidR="00854FD9">
        <w:rPr>
          <w:b/>
          <w:bCs/>
        </w:rPr>
        <w:t>actions</w:t>
      </w:r>
      <w:r w:rsidR="00EE0D33">
        <w:t xml:space="preserve"> – these are the</w:t>
      </w:r>
      <w:r w:rsidR="00367DB4">
        <w:t xml:space="preserve"> policy recommendations that we consider critical for being able to deliver on our proposed emissions budgets</w:t>
      </w:r>
    </w:p>
    <w:p w14:paraId="37AAA398" w14:textId="59883832" w:rsidR="00A2618D" w:rsidRPr="00A2618D" w:rsidRDefault="0050727E" w:rsidP="00655722">
      <w:pPr>
        <w:pStyle w:val="ListParagraph"/>
        <w:numPr>
          <w:ilvl w:val="1"/>
          <w:numId w:val="13"/>
        </w:numPr>
        <w:contextualSpacing w:val="0"/>
      </w:pPr>
      <w:r>
        <w:rPr>
          <w:b/>
          <w:bCs/>
        </w:rPr>
        <w:t>necessary</w:t>
      </w:r>
      <w:r w:rsidR="00A2618D" w:rsidRPr="002963F8">
        <w:rPr>
          <w:b/>
        </w:rPr>
        <w:t xml:space="preserve"> actions</w:t>
      </w:r>
      <w:r w:rsidR="00A933C8">
        <w:rPr>
          <w:b/>
          <w:bCs/>
        </w:rPr>
        <w:t xml:space="preserve"> </w:t>
      </w:r>
      <w:r w:rsidR="00F61D37">
        <w:t xml:space="preserve">– these are further policy actions that </w:t>
      </w:r>
      <w:r w:rsidR="00861331">
        <w:t xml:space="preserve">support the time-critical recommendations </w:t>
      </w:r>
      <w:r w:rsidR="00FC023F">
        <w:t>and</w:t>
      </w:r>
      <w:r w:rsidR="00F61D37">
        <w:t xml:space="preserve"> will be important for meeting emissions budgets</w:t>
      </w:r>
      <w:r w:rsidR="00A933C8">
        <w:t>.</w:t>
      </w:r>
    </w:p>
    <w:p w14:paraId="42E8782C" w14:textId="3BDAA6C9" w:rsidR="002650B4" w:rsidRDefault="00070173" w:rsidP="00971E3C">
      <w:pPr>
        <w:pStyle w:val="Heading2"/>
      </w:pPr>
      <w:bookmarkStart w:id="19" w:name="_Toc62650236"/>
      <w:r>
        <w:t xml:space="preserve">1.4 </w:t>
      </w:r>
      <w:r w:rsidR="00971E3C">
        <w:t xml:space="preserve">Our </w:t>
      </w:r>
      <w:r w:rsidR="005E4B8A">
        <w:t xml:space="preserve">analytical </w:t>
      </w:r>
      <w:r w:rsidR="00971E3C">
        <w:t>approach</w:t>
      </w:r>
      <w:bookmarkEnd w:id="19"/>
    </w:p>
    <w:p w14:paraId="057E53A8" w14:textId="52DAF032" w:rsidR="009B68A4" w:rsidRDefault="008A2862" w:rsidP="008A2862">
      <w:r>
        <w:t xml:space="preserve">In providing </w:t>
      </w:r>
      <w:r w:rsidR="000C0568">
        <w:t xml:space="preserve">our </w:t>
      </w:r>
      <w:r>
        <w:t xml:space="preserve">draft advice, we have </w:t>
      </w:r>
      <w:r w:rsidR="00A8251A">
        <w:t>carried out analysis in</w:t>
      </w:r>
      <w:r>
        <w:t xml:space="preserve"> </w:t>
      </w:r>
      <w:r w:rsidR="00624424">
        <w:t xml:space="preserve">the </w:t>
      </w:r>
      <w:r w:rsidR="00365049">
        <w:t xml:space="preserve">four </w:t>
      </w:r>
      <w:r w:rsidR="00ED2BE3">
        <w:t xml:space="preserve">major </w:t>
      </w:r>
      <w:r w:rsidR="00A8251A">
        <w:t>areas</w:t>
      </w:r>
      <w:r w:rsidR="00624424">
        <w:t xml:space="preserve"> described below</w:t>
      </w:r>
      <w:r w:rsidR="0020663F">
        <w:t xml:space="preserve">. These four areas cover the </w:t>
      </w:r>
      <w:r w:rsidR="006C7786">
        <w:t xml:space="preserve">matters </w:t>
      </w:r>
      <w:r w:rsidR="001746CE">
        <w:t>required to be considered</w:t>
      </w:r>
      <w:r w:rsidR="006C7786">
        <w:t xml:space="preserve"> in </w:t>
      </w:r>
      <w:r w:rsidR="008A1CB6">
        <w:t>the Climate Change Response Act</w:t>
      </w:r>
      <w:r w:rsidR="0004541D">
        <w:t>.</w:t>
      </w:r>
    </w:p>
    <w:p w14:paraId="507ADDC3" w14:textId="404E87EA" w:rsidR="009B68A4" w:rsidRDefault="009B68A4" w:rsidP="008A2862">
      <w:r>
        <w:t>In this analysis</w:t>
      </w:r>
      <w:r w:rsidRPr="00507989">
        <w:t>,</w:t>
      </w:r>
      <w:r>
        <w:t xml:space="preserve"> </w:t>
      </w:r>
      <w:r w:rsidRPr="00507989">
        <w:t>we</w:t>
      </w:r>
      <w:r>
        <w:t xml:space="preserve"> </w:t>
      </w:r>
      <w:r w:rsidRPr="00507989">
        <w:t>break</w:t>
      </w:r>
      <w:r>
        <w:t xml:space="preserve"> </w:t>
      </w:r>
      <w:r w:rsidRPr="00507989">
        <w:t>down</w:t>
      </w:r>
      <w:r>
        <w:t xml:space="preserve"> </w:t>
      </w:r>
      <w:r w:rsidRPr="00507989">
        <w:t>emissions</w:t>
      </w:r>
      <w:r>
        <w:t xml:space="preserve"> </w:t>
      </w:r>
      <w:r w:rsidRPr="00507989">
        <w:t>into</w:t>
      </w:r>
      <w:r>
        <w:t xml:space="preserve"> </w:t>
      </w:r>
      <w:r w:rsidRPr="00507989">
        <w:t>biogenic</w:t>
      </w:r>
      <w:r>
        <w:t xml:space="preserve"> </w:t>
      </w:r>
      <w:r w:rsidRPr="00507989">
        <w:t>methane</w:t>
      </w:r>
      <w:r>
        <w:t xml:space="preserve"> </w:t>
      </w:r>
      <w:r w:rsidRPr="00507989">
        <w:t>and</w:t>
      </w:r>
      <w:r>
        <w:t xml:space="preserve"> </w:t>
      </w:r>
      <w:r w:rsidRPr="00507989">
        <w:t>all</w:t>
      </w:r>
      <w:r>
        <w:t xml:space="preserve"> </w:t>
      </w:r>
      <w:r w:rsidRPr="00507989">
        <w:t>other</w:t>
      </w:r>
      <w:r>
        <w:t xml:space="preserve"> </w:t>
      </w:r>
      <w:r w:rsidRPr="00507989">
        <w:t>greenhouse</w:t>
      </w:r>
      <w:r>
        <w:t xml:space="preserve"> </w:t>
      </w:r>
      <w:r w:rsidRPr="00507989">
        <w:t>gases.</w:t>
      </w:r>
      <w:r>
        <w:t xml:space="preserve"> This is </w:t>
      </w:r>
      <w:r w:rsidRPr="00507989">
        <w:t>to</w:t>
      </w:r>
      <w:r>
        <w:t xml:space="preserve"> </w:t>
      </w:r>
      <w:r w:rsidRPr="00507989">
        <w:t>acknowledge</w:t>
      </w:r>
      <w:r>
        <w:t xml:space="preserve"> </w:t>
      </w:r>
      <w:r w:rsidRPr="00507989">
        <w:t>the</w:t>
      </w:r>
      <w:r>
        <w:t xml:space="preserve"> </w:t>
      </w:r>
      <w:r w:rsidRPr="00507989">
        <w:t>short-lived</w:t>
      </w:r>
      <w:r>
        <w:t xml:space="preserve"> </w:t>
      </w:r>
      <w:r w:rsidRPr="00507989">
        <w:t>nature</w:t>
      </w:r>
      <w:r>
        <w:t xml:space="preserve"> </w:t>
      </w:r>
      <w:r w:rsidRPr="00507989">
        <w:t>of</w:t>
      </w:r>
      <w:r>
        <w:t xml:space="preserve"> biogenic </w:t>
      </w:r>
      <w:r w:rsidRPr="00507989">
        <w:t>methane</w:t>
      </w:r>
      <w:r>
        <w:t xml:space="preserve"> compared to other greenhouse gases</w:t>
      </w:r>
      <w:r w:rsidRPr="00507989">
        <w:t>,</w:t>
      </w:r>
      <w:r>
        <w:t xml:space="preserve"> </w:t>
      </w:r>
      <w:r w:rsidRPr="00507989">
        <w:t>as</w:t>
      </w:r>
      <w:r>
        <w:t xml:space="preserve"> </w:t>
      </w:r>
      <w:r w:rsidRPr="00507989">
        <w:t>well</w:t>
      </w:r>
      <w:r>
        <w:t xml:space="preserve"> </w:t>
      </w:r>
      <w:r w:rsidRPr="00507989">
        <w:t>as</w:t>
      </w:r>
      <w:r>
        <w:t xml:space="preserve"> </w:t>
      </w:r>
      <w:r w:rsidRPr="00507989">
        <w:t>the</w:t>
      </w:r>
      <w:r>
        <w:t xml:space="preserve"> </w:t>
      </w:r>
      <w:r w:rsidRPr="00507989">
        <w:t>split-gas</w:t>
      </w:r>
      <w:r>
        <w:t xml:space="preserve"> </w:t>
      </w:r>
      <w:r w:rsidRPr="00507989">
        <w:t>targets</w:t>
      </w:r>
      <w:r>
        <w:t xml:space="preserve"> </w:t>
      </w:r>
      <w:r w:rsidRPr="00507989">
        <w:t>contained</w:t>
      </w:r>
      <w:r>
        <w:t xml:space="preserve"> </w:t>
      </w:r>
      <w:r w:rsidRPr="00507989">
        <w:t>in</w:t>
      </w:r>
      <w:r>
        <w:t xml:space="preserve"> </w:t>
      </w:r>
      <w:r w:rsidRPr="00507989">
        <w:t>the</w:t>
      </w:r>
      <w:r w:rsidR="008A1CB6">
        <w:t xml:space="preserve"> Climate Change Response</w:t>
      </w:r>
      <w:r>
        <w:t xml:space="preserve"> </w:t>
      </w:r>
      <w:r w:rsidRPr="00507989">
        <w:t>Act.</w:t>
      </w:r>
      <w:r>
        <w:t xml:space="preserve"> </w:t>
      </w:r>
      <w:r w:rsidRPr="00507989">
        <w:t>For</w:t>
      </w:r>
      <w:r>
        <w:t xml:space="preserve"> </w:t>
      </w:r>
      <w:r w:rsidRPr="00507989">
        <w:t>ease</w:t>
      </w:r>
      <w:r w:rsidR="000B654E">
        <w:t xml:space="preserve"> of presentation</w:t>
      </w:r>
      <w:r w:rsidRPr="00507989">
        <w:t>,</w:t>
      </w:r>
      <w:r>
        <w:t xml:space="preserve"> </w:t>
      </w:r>
      <w:r w:rsidRPr="00507989">
        <w:t>we</w:t>
      </w:r>
      <w:r>
        <w:t xml:space="preserve"> </w:t>
      </w:r>
      <w:r w:rsidRPr="00507989">
        <w:t>refer</w:t>
      </w:r>
      <w:r>
        <w:t xml:space="preserve"> </w:t>
      </w:r>
      <w:r w:rsidRPr="00507989">
        <w:t>to</w:t>
      </w:r>
      <w:r>
        <w:t xml:space="preserve"> </w:t>
      </w:r>
      <w:r w:rsidRPr="00507989">
        <w:t>all</w:t>
      </w:r>
      <w:r>
        <w:t xml:space="preserve"> </w:t>
      </w:r>
      <w:r w:rsidRPr="00507989">
        <w:t>other</w:t>
      </w:r>
      <w:r>
        <w:t xml:space="preserve"> </w:t>
      </w:r>
      <w:r w:rsidRPr="00507989">
        <w:t>greenhouse</w:t>
      </w:r>
      <w:r>
        <w:t xml:space="preserve"> </w:t>
      </w:r>
      <w:r w:rsidRPr="00507989">
        <w:t>gases</w:t>
      </w:r>
      <w:r>
        <w:t xml:space="preserve"> </w:t>
      </w:r>
      <w:r w:rsidRPr="00507989">
        <w:t>as</w:t>
      </w:r>
      <w:r>
        <w:t xml:space="preserve"> </w:t>
      </w:r>
      <w:r w:rsidRPr="00507989">
        <w:t>long-lived</w:t>
      </w:r>
      <w:r>
        <w:t xml:space="preserve"> </w:t>
      </w:r>
      <w:r w:rsidRPr="00507989">
        <w:t>gases</w:t>
      </w:r>
      <w:r>
        <w:t xml:space="preserve">, though note that this does include a small amount of </w:t>
      </w:r>
      <w:r w:rsidR="001A3325">
        <w:t xml:space="preserve">non-biogenic </w:t>
      </w:r>
      <w:r>
        <w:t xml:space="preserve">methane and some short-lived </w:t>
      </w:r>
      <w:r w:rsidR="00AE489D">
        <w:t>fluorinated gases (</w:t>
      </w:r>
      <w:r>
        <w:t>F-gases</w:t>
      </w:r>
      <w:r w:rsidR="00AE489D">
        <w:t>)</w:t>
      </w:r>
      <w:r w:rsidRPr="00507989">
        <w:t>.</w:t>
      </w:r>
    </w:p>
    <w:p w14:paraId="08EEEE55" w14:textId="5C9D9B38" w:rsidR="008A2862" w:rsidRDefault="007757C6" w:rsidP="008A2862">
      <w:r>
        <w:t xml:space="preserve">These four areas </w:t>
      </w:r>
      <w:r w:rsidR="009B68A4">
        <w:t xml:space="preserve">of analysis </w:t>
      </w:r>
      <w:r w:rsidR="00097E10">
        <w:t>ensure that</w:t>
      </w:r>
      <w:r>
        <w:t>:</w:t>
      </w:r>
    </w:p>
    <w:p w14:paraId="1BDFC300" w14:textId="77777777" w:rsidR="003936E0" w:rsidRPr="002D2E8C" w:rsidRDefault="003936E0" w:rsidP="00655722">
      <w:pPr>
        <w:pStyle w:val="ListParagraph"/>
        <w:keepNext/>
        <w:numPr>
          <w:ilvl w:val="0"/>
          <w:numId w:val="12"/>
        </w:numPr>
        <w:ind w:left="425" w:hanging="425"/>
        <w:contextualSpacing w:val="0"/>
        <w:rPr>
          <w:b/>
          <w:bCs/>
        </w:rPr>
      </w:pPr>
      <w:r>
        <w:rPr>
          <w:b/>
          <w:bCs/>
        </w:rPr>
        <w:t>Our proposed emissions budgets are t</w:t>
      </w:r>
      <w:r w:rsidRPr="002D2E8C">
        <w:rPr>
          <w:b/>
          <w:bCs/>
        </w:rPr>
        <w:t>echnically and economically achievable</w:t>
      </w:r>
      <w:r>
        <w:rPr>
          <w:b/>
          <w:bCs/>
        </w:rPr>
        <w:t>.</w:t>
      </w:r>
    </w:p>
    <w:p w14:paraId="61075FF3" w14:textId="46823013" w:rsidR="00A93ADC" w:rsidRPr="00563833" w:rsidRDefault="005C01D5" w:rsidP="00A93ADC">
      <w:pPr>
        <w:spacing w:before="0" w:after="160"/>
        <w:ind w:left="426"/>
      </w:pPr>
      <w:r>
        <w:t>For the first step of our analys</w:t>
      </w:r>
      <w:r w:rsidR="00DB00EC">
        <w:t>is</w:t>
      </w:r>
      <w:r>
        <w:t>, we</w:t>
      </w:r>
      <w:r w:rsidR="003936E0">
        <w:t xml:space="preserve"> carried out a detailed assessment of the opportunities to reduce and remove emissions in each sector. These opportunities include both technological </w:t>
      </w:r>
      <w:r w:rsidR="003936E0">
        <w:lastRenderedPageBreak/>
        <w:t>change and behaviour change. For each opportunity, we have assessed the potential emissions reductions, cost, timeframes</w:t>
      </w:r>
      <w:r w:rsidR="007434CB">
        <w:t>,</w:t>
      </w:r>
      <w:r w:rsidR="003936E0">
        <w:t xml:space="preserve"> constraints, risks, uncertainties, barriers and co-benefits. </w:t>
      </w:r>
      <w:r w:rsidR="003936E0" w:rsidDel="00D62F08">
        <w:t xml:space="preserve">Further, we have looked at the </w:t>
      </w:r>
      <w:r w:rsidR="003936E0" w:rsidRPr="00563833" w:rsidDel="00D62F08">
        <w:t>interactions across the economy, and considered economy-wide labour and capital constraints</w:t>
      </w:r>
      <w:r w:rsidR="00EF218F" w:rsidDel="00D62F08">
        <w:t>.</w:t>
      </w:r>
    </w:p>
    <w:p w14:paraId="062A2F0F" w14:textId="25E1DDEB" w:rsidR="00022A78" w:rsidRDefault="003936E0" w:rsidP="003936E0">
      <w:pPr>
        <w:pStyle w:val="ListParagraph"/>
        <w:ind w:left="426"/>
        <w:contextualSpacing w:val="0"/>
      </w:pPr>
      <w:r w:rsidRPr="00563833">
        <w:t>We have modelled a range of scenarios</w:t>
      </w:r>
      <w:r w:rsidR="00DB00EC">
        <w:t xml:space="preserve"> looking </w:t>
      </w:r>
      <w:r w:rsidR="00A15155">
        <w:t>at possible futures</w:t>
      </w:r>
      <w:r w:rsidR="00DB00EC">
        <w:t xml:space="preserve"> to 2050 and beyond</w:t>
      </w:r>
      <w:r w:rsidR="00A93ADC">
        <w:t xml:space="preserve">. </w:t>
      </w:r>
      <w:r w:rsidR="00A15155">
        <w:t>These help</w:t>
      </w:r>
      <w:r w:rsidR="00FC4323">
        <w:t>ed</w:t>
      </w:r>
      <w:r w:rsidR="00A15155">
        <w:t xml:space="preserve"> us to understand </w:t>
      </w:r>
      <w:r w:rsidR="00F51DFA">
        <w:t>the</w:t>
      </w:r>
      <w:r w:rsidR="00754CB7">
        <w:t xml:space="preserve"> range of ways that Aotearoa could meet the 2050 targets</w:t>
      </w:r>
      <w:r w:rsidR="00CE3651">
        <w:t xml:space="preserve"> and the critical actions that are necessary to achieve this. This factored in </w:t>
      </w:r>
      <w:r w:rsidR="003D364A">
        <w:t xml:space="preserve">the changes we have seen from COVID-19, and </w:t>
      </w:r>
      <w:r w:rsidR="00D62F08" w:rsidRPr="00563833">
        <w:t xml:space="preserve">interactions </w:t>
      </w:r>
      <w:r w:rsidR="00CE3651">
        <w:t xml:space="preserve">within sectors and </w:t>
      </w:r>
      <w:r w:rsidR="00D62F08" w:rsidRPr="00563833">
        <w:t>across the economy</w:t>
      </w:r>
      <w:r w:rsidR="00CE3651">
        <w:t xml:space="preserve"> – for example</w:t>
      </w:r>
      <w:r w:rsidR="00E51E72">
        <w:t>,</w:t>
      </w:r>
      <w:r w:rsidR="00CE3651">
        <w:t xml:space="preserve"> </w:t>
      </w:r>
      <w:r w:rsidR="002D04C1">
        <w:t xml:space="preserve">increasing electricity demand </w:t>
      </w:r>
      <w:r w:rsidR="005748AE">
        <w:t>from charging electric vehicles</w:t>
      </w:r>
      <w:r w:rsidR="00D62F08" w:rsidDel="005C38B0">
        <w:t>.</w:t>
      </w:r>
    </w:p>
    <w:p w14:paraId="65D82643" w14:textId="128536FD" w:rsidR="003936E0" w:rsidRPr="00563833" w:rsidRDefault="00CF406B" w:rsidP="003936E0">
      <w:pPr>
        <w:pStyle w:val="ListParagraph"/>
        <w:ind w:left="426"/>
        <w:contextualSpacing w:val="0"/>
      </w:pPr>
      <w:r>
        <w:t xml:space="preserve">Drawing on our scenarios, we </w:t>
      </w:r>
      <w:r w:rsidR="008854AD">
        <w:t>focus</w:t>
      </w:r>
      <w:r>
        <w:t>ed on the path to 2035</w:t>
      </w:r>
      <w:r w:rsidR="00365CCE">
        <w:t xml:space="preserve">. We looked in more detail at </w:t>
      </w:r>
      <w:r w:rsidR="00B53AE0">
        <w:t>the available options that could be deployed in the next 15 years and used this to test different levels of emissions budgets</w:t>
      </w:r>
      <w:r w:rsidR="002B1C0A">
        <w:t xml:space="preserve"> that could set Aotearoa up to meet the 2050 targets</w:t>
      </w:r>
      <w:r w:rsidR="00B53AE0">
        <w:t xml:space="preserve">. </w:t>
      </w:r>
      <w:r w:rsidR="005D035D">
        <w:t xml:space="preserve">We also </w:t>
      </w:r>
      <w:r w:rsidR="00433E34">
        <w:t xml:space="preserve">tested our proposed emissions budgets to ensure that they could be achieved. </w:t>
      </w:r>
      <w:r w:rsidR="003936E0" w:rsidRPr="00563833">
        <w:t>For example, if a particular</w:t>
      </w:r>
      <w:r w:rsidR="009E44E1">
        <w:t xml:space="preserve"> </w:t>
      </w:r>
      <w:r w:rsidR="003936E0" w:rsidRPr="00563833">
        <w:t>technology does</w:t>
      </w:r>
      <w:r w:rsidR="002956FC">
        <w:t xml:space="preserve"> not</w:t>
      </w:r>
      <w:r w:rsidR="003936E0" w:rsidRPr="00563833">
        <w:t xml:space="preserve"> play out as we might expect, is it still possible to meet the emissions budgets?</w:t>
      </w:r>
    </w:p>
    <w:p w14:paraId="3040D672" w14:textId="156DCBC4" w:rsidR="003936E0" w:rsidRPr="00563833" w:rsidRDefault="003936E0" w:rsidP="003936E0">
      <w:pPr>
        <w:pStyle w:val="ListParagraph"/>
        <w:ind w:left="426"/>
        <w:contextualSpacing w:val="0"/>
      </w:pPr>
      <w:r w:rsidRPr="00563833">
        <w:t xml:space="preserve">This analysis is outlined in </w:t>
      </w:r>
      <w:r w:rsidR="0085576D">
        <w:t>c</w:t>
      </w:r>
      <w:r w:rsidRPr="00563833">
        <w:t xml:space="preserve">hapter </w:t>
      </w:r>
      <w:r w:rsidR="00563833" w:rsidRPr="00563833">
        <w:t>3</w:t>
      </w:r>
      <w:r w:rsidRPr="00563833">
        <w:t>.</w:t>
      </w:r>
    </w:p>
    <w:p w14:paraId="5139F03F" w14:textId="5E501A6D" w:rsidR="008A2862" w:rsidRPr="00563833" w:rsidRDefault="00357968" w:rsidP="00655722">
      <w:pPr>
        <w:pStyle w:val="ListParagraph"/>
        <w:numPr>
          <w:ilvl w:val="0"/>
          <w:numId w:val="12"/>
        </w:numPr>
        <w:ind w:left="425" w:hanging="425"/>
        <w:contextualSpacing w:val="0"/>
        <w:rPr>
          <w:b/>
          <w:bCs/>
        </w:rPr>
      </w:pPr>
      <w:r w:rsidRPr="00563833">
        <w:rPr>
          <w:b/>
          <w:bCs/>
        </w:rPr>
        <w:t>Our proposed e</w:t>
      </w:r>
      <w:r w:rsidR="000C7AE2" w:rsidRPr="00563833">
        <w:rPr>
          <w:b/>
          <w:bCs/>
        </w:rPr>
        <w:t>missions budgets are a</w:t>
      </w:r>
      <w:r w:rsidR="008A2862" w:rsidRPr="00563833">
        <w:rPr>
          <w:b/>
          <w:bCs/>
        </w:rPr>
        <w:t>mbitious, put Aotearoa on track to meeting targets and contribute to the global goal to limit warming to within 1.5</w:t>
      </w:r>
      <w:r w:rsidR="0015673F">
        <w:rPr>
          <w:b/>
          <w:bCs/>
        </w:rPr>
        <w:t xml:space="preserve"> </w:t>
      </w:r>
      <w:r w:rsidR="008A2862" w:rsidRPr="002D2E8C">
        <w:rPr>
          <w:b/>
        </w:rPr>
        <w:t>°</w:t>
      </w:r>
      <w:r w:rsidR="008A2862" w:rsidRPr="00563833">
        <w:rPr>
          <w:b/>
          <w:bCs/>
        </w:rPr>
        <w:t>C of pre-industrial levels.</w:t>
      </w:r>
    </w:p>
    <w:p w14:paraId="36C271A9" w14:textId="5BC8E40B" w:rsidR="008A2862" w:rsidRPr="00563833" w:rsidRDefault="00A8251A" w:rsidP="000C0568">
      <w:pPr>
        <w:pStyle w:val="ListParagraph"/>
        <w:ind w:left="426"/>
        <w:contextualSpacing w:val="0"/>
      </w:pPr>
      <w:r w:rsidRPr="00563833">
        <w:t>We have</w:t>
      </w:r>
      <w:r w:rsidR="008A2862" w:rsidRPr="00563833">
        <w:t xml:space="preserve"> considered the global pathways that are consistent with limiting warming to within 1.5</w:t>
      </w:r>
      <w:r w:rsidR="0023234C">
        <w:t> </w:t>
      </w:r>
      <w:r w:rsidR="008A2862" w:rsidRPr="00563833">
        <w:t xml:space="preserve">°C, the contribution of the different greenhouse gases to those pathways, and </w:t>
      </w:r>
      <w:r w:rsidR="00AC46EA">
        <w:t>the</w:t>
      </w:r>
      <w:r w:rsidR="008A2862" w:rsidRPr="00563833">
        <w:t xml:space="preserve"> specific circumstances </w:t>
      </w:r>
      <w:r w:rsidR="00AC46EA">
        <w:t>for Aotearoa</w:t>
      </w:r>
      <w:r w:rsidR="008A2862" w:rsidRPr="00563833">
        <w:t>.</w:t>
      </w:r>
    </w:p>
    <w:p w14:paraId="7CA02E24" w14:textId="469F8A04" w:rsidR="008A2862" w:rsidRPr="00563833" w:rsidRDefault="008A2862" w:rsidP="000C0568">
      <w:pPr>
        <w:pStyle w:val="ListParagraph"/>
        <w:ind w:left="426"/>
        <w:contextualSpacing w:val="0"/>
      </w:pPr>
      <w:r w:rsidRPr="00563833">
        <w:t xml:space="preserve">This analysis is outlined in </w:t>
      </w:r>
      <w:r w:rsidR="0085576D">
        <w:t>c</w:t>
      </w:r>
      <w:r w:rsidRPr="00563833">
        <w:t xml:space="preserve">hapter </w:t>
      </w:r>
      <w:r w:rsidR="00563833" w:rsidRPr="00563833">
        <w:t>4</w:t>
      </w:r>
      <w:r w:rsidRPr="00563833">
        <w:t>.</w:t>
      </w:r>
    </w:p>
    <w:p w14:paraId="6C0E7F5B" w14:textId="204DBA20" w:rsidR="008A2862" w:rsidRPr="00563833" w:rsidRDefault="00357968" w:rsidP="00655722">
      <w:pPr>
        <w:pStyle w:val="ListParagraph"/>
        <w:numPr>
          <w:ilvl w:val="0"/>
          <w:numId w:val="12"/>
        </w:numPr>
        <w:ind w:left="426" w:hanging="426"/>
        <w:contextualSpacing w:val="0"/>
        <w:rPr>
          <w:b/>
          <w:bCs/>
        </w:rPr>
      </w:pPr>
      <w:r w:rsidRPr="00563833">
        <w:rPr>
          <w:b/>
          <w:bCs/>
        </w:rPr>
        <w:t>A</w:t>
      </w:r>
      <w:r w:rsidR="00FA5AD9" w:rsidRPr="00563833">
        <w:rPr>
          <w:b/>
          <w:bCs/>
        </w:rPr>
        <w:t xml:space="preserve">ny potential negative impacts of </w:t>
      </w:r>
      <w:r w:rsidRPr="00563833">
        <w:rPr>
          <w:b/>
          <w:bCs/>
        </w:rPr>
        <w:t xml:space="preserve">our proposed </w:t>
      </w:r>
      <w:r w:rsidR="00FA5AD9" w:rsidRPr="00563833">
        <w:rPr>
          <w:b/>
          <w:bCs/>
        </w:rPr>
        <w:t>emissions budgets can be sufficiently mitigated, and any</w:t>
      </w:r>
      <w:r w:rsidR="00E77E91" w:rsidRPr="00563833">
        <w:rPr>
          <w:b/>
          <w:bCs/>
        </w:rPr>
        <w:t xml:space="preserve"> </w:t>
      </w:r>
      <w:r w:rsidR="001D7B22" w:rsidRPr="00563833">
        <w:rPr>
          <w:b/>
          <w:bCs/>
        </w:rPr>
        <w:t xml:space="preserve">co-benefits </w:t>
      </w:r>
      <w:r w:rsidR="00E77E91" w:rsidRPr="00563833">
        <w:rPr>
          <w:b/>
          <w:bCs/>
        </w:rPr>
        <w:t>can be maximised</w:t>
      </w:r>
      <w:r w:rsidR="008A2862" w:rsidRPr="00563833">
        <w:rPr>
          <w:b/>
          <w:bCs/>
        </w:rPr>
        <w:t>.</w:t>
      </w:r>
    </w:p>
    <w:p w14:paraId="0338BACD" w14:textId="21390CD3" w:rsidR="008A2862" w:rsidRPr="00563833" w:rsidRDefault="00E77E91" w:rsidP="000C0568">
      <w:pPr>
        <w:ind w:left="426"/>
      </w:pPr>
      <w:r w:rsidRPr="00563833">
        <w:t>We have</w:t>
      </w:r>
      <w:r w:rsidR="008A2862" w:rsidRPr="00563833">
        <w:t xml:space="preserve"> carried out analysis looking at the potential impacts of the path to 2050 and of </w:t>
      </w:r>
      <w:r w:rsidR="00652943" w:rsidRPr="00563833">
        <w:t xml:space="preserve">our proposed </w:t>
      </w:r>
      <w:r w:rsidR="008A2862" w:rsidRPr="00563833">
        <w:t>emissions budget levels on the economy, different sectors, regions, communities, households</w:t>
      </w:r>
      <w:r w:rsidR="00652943" w:rsidRPr="00563833">
        <w:t xml:space="preserve">, </w:t>
      </w:r>
      <w:r w:rsidR="008A2862" w:rsidRPr="00563833">
        <w:t>different socioeconomic groups, iwi</w:t>
      </w:r>
      <w:r w:rsidR="00652943" w:rsidRPr="00563833">
        <w:t>/</w:t>
      </w:r>
      <w:r w:rsidR="008A2862" w:rsidRPr="00563833">
        <w:t>Māori and different generations. This analysis considers economic, social, cultural, environmental and ecological impacts.</w:t>
      </w:r>
      <w:r w:rsidR="00FF4607">
        <w:t xml:space="preserve"> </w:t>
      </w:r>
      <w:r w:rsidR="00FF4607" w:rsidRPr="00FF4607">
        <w:t xml:space="preserve">We have sought to take a </w:t>
      </w:r>
      <w:r w:rsidR="007005A5">
        <w:t>broad</w:t>
      </w:r>
      <w:r w:rsidR="00FF4607" w:rsidRPr="00FF4607">
        <w:t xml:space="preserve"> system view so we understand what our advice means for people, environment, land and economy, now and into the future.</w:t>
      </w:r>
    </w:p>
    <w:p w14:paraId="32630C30" w14:textId="058F2625" w:rsidR="008A2862" w:rsidRDefault="008A2862" w:rsidP="000C0568">
      <w:pPr>
        <w:ind w:left="426"/>
      </w:pPr>
      <w:r w:rsidRPr="00563833">
        <w:t xml:space="preserve">This analysis is outlined in </w:t>
      </w:r>
      <w:r w:rsidR="0085576D">
        <w:t>c</w:t>
      </w:r>
      <w:r w:rsidRPr="00563833">
        <w:t xml:space="preserve">hapter </w:t>
      </w:r>
      <w:r w:rsidR="00563833" w:rsidRPr="00563833">
        <w:t>5</w:t>
      </w:r>
      <w:r w:rsidRPr="00563833">
        <w:t>.</w:t>
      </w:r>
    </w:p>
    <w:p w14:paraId="09D632F9" w14:textId="204DBA20" w:rsidR="00986222" w:rsidRPr="00FF7ECF" w:rsidRDefault="00357968" w:rsidP="00655722">
      <w:pPr>
        <w:pStyle w:val="ListParagraph"/>
        <w:numPr>
          <w:ilvl w:val="0"/>
          <w:numId w:val="12"/>
        </w:numPr>
        <w:ind w:left="426" w:hanging="426"/>
        <w:rPr>
          <w:b/>
          <w:bCs/>
        </w:rPr>
      </w:pPr>
      <w:r>
        <w:rPr>
          <w:b/>
          <w:bCs/>
        </w:rPr>
        <w:t>Our proposed</w:t>
      </w:r>
      <w:r w:rsidR="00FA5AD9" w:rsidRPr="00FF7ECF">
        <w:rPr>
          <w:b/>
          <w:bCs/>
        </w:rPr>
        <w:t xml:space="preserve"> </w:t>
      </w:r>
      <w:r w:rsidR="00FF7ECF" w:rsidRPr="00FF7ECF">
        <w:rPr>
          <w:b/>
          <w:bCs/>
        </w:rPr>
        <w:t>emissions budgets and targets can be delivered through policy</w:t>
      </w:r>
    </w:p>
    <w:p w14:paraId="15FE57CE" w14:textId="14A7DD51" w:rsidR="00986222" w:rsidRDefault="004427EA" w:rsidP="00FF7ECF">
      <w:pPr>
        <w:ind w:left="426"/>
      </w:pPr>
      <w:r>
        <w:t xml:space="preserve">We have looked across </w:t>
      </w:r>
      <w:r w:rsidR="007C7AD2">
        <w:t>all sectors and across the economy at the direction of policies needed to deliver our proposed emissions budgets.</w:t>
      </w:r>
      <w:r w:rsidR="00E60B3A">
        <w:t xml:space="preserve"> </w:t>
      </w:r>
      <w:r w:rsidR="00B309B1">
        <w:t>We have focused our advice on identifying the goals and key interventions that government climate change mitigation policies need to deliver</w:t>
      </w:r>
      <w:r w:rsidR="002B0F59">
        <w:t>, as well as mitigating impacts where necessary</w:t>
      </w:r>
      <w:r w:rsidR="00B309B1">
        <w:t>.</w:t>
      </w:r>
    </w:p>
    <w:p w14:paraId="3B1CC273" w14:textId="0B203CD3" w:rsidR="00390471" w:rsidRDefault="00FF7ECF" w:rsidP="00624212">
      <w:pPr>
        <w:ind w:left="426"/>
      </w:pPr>
      <w:r w:rsidRPr="00B309B1">
        <w:t xml:space="preserve">This analysis is outlined in </w:t>
      </w:r>
      <w:r w:rsidR="0085576D">
        <w:t>c</w:t>
      </w:r>
      <w:r w:rsidRPr="00B309B1">
        <w:t xml:space="preserve">hapter </w:t>
      </w:r>
      <w:r w:rsidR="00B309B1">
        <w:t>6</w:t>
      </w:r>
      <w:r w:rsidRPr="00B309B1">
        <w:t>.</w:t>
      </w:r>
    </w:p>
    <w:p w14:paraId="1ED70370" w14:textId="58113D34" w:rsidR="00D97334" w:rsidRDefault="00BB2EE3" w:rsidP="00697B45">
      <w:r>
        <w:lastRenderedPageBreak/>
        <w:t xml:space="preserve">Further details on the analytical approach are set out in </w:t>
      </w:r>
      <w:r w:rsidRPr="00E54661">
        <w:t>the</w:t>
      </w:r>
      <w:r w:rsidR="00E3245C" w:rsidRPr="00E54661">
        <w:t xml:space="preserve"> </w:t>
      </w:r>
      <w:r w:rsidR="00E3245C" w:rsidRPr="0083178B">
        <w:t>Introduction to the</w:t>
      </w:r>
      <w:r w:rsidRPr="0083178B">
        <w:t xml:space="preserve"> Evidence Report.</w:t>
      </w:r>
    </w:p>
    <w:p w14:paraId="72145EB0" w14:textId="2B0B9A31" w:rsidR="00972CCD" w:rsidRDefault="00070173" w:rsidP="00972CCD">
      <w:pPr>
        <w:pStyle w:val="Heading2"/>
      </w:pPr>
      <w:bookmarkStart w:id="20" w:name="_Toc58840880"/>
      <w:bookmarkStart w:id="21" w:name="_Toc58857554"/>
      <w:bookmarkStart w:id="22" w:name="_Toc62650237"/>
      <w:r>
        <w:t xml:space="preserve">1.5 </w:t>
      </w:r>
      <w:r w:rsidR="00972CCD">
        <w:t xml:space="preserve">What is different about </w:t>
      </w:r>
      <w:r w:rsidR="00D26F3F">
        <w:t xml:space="preserve">our </w:t>
      </w:r>
      <w:r w:rsidR="00972CCD">
        <w:t>analytical approach?</w:t>
      </w:r>
      <w:bookmarkEnd w:id="20"/>
      <w:bookmarkEnd w:id="21"/>
      <w:bookmarkEnd w:id="22"/>
    </w:p>
    <w:p w14:paraId="0461949A" w14:textId="21B0736A" w:rsidR="00021A86" w:rsidRDefault="00247BD2" w:rsidP="008321E6">
      <w:pPr>
        <w:rPr>
          <w:noProof/>
        </w:rPr>
      </w:pPr>
      <w:r w:rsidRPr="00247BD2">
        <w:rPr>
          <w:noProof/>
        </w:rPr>
        <w:t>W</w:t>
      </w:r>
      <w:r w:rsidR="00CE6935" w:rsidRPr="00247BD2">
        <w:rPr>
          <w:noProof/>
        </w:rPr>
        <w:t xml:space="preserve">e commissioned two </w:t>
      </w:r>
      <w:r w:rsidR="007B0293">
        <w:rPr>
          <w:noProof/>
        </w:rPr>
        <w:t xml:space="preserve">economy-wide </w:t>
      </w:r>
      <w:r w:rsidR="00CE6935" w:rsidRPr="00247BD2">
        <w:rPr>
          <w:noProof/>
        </w:rPr>
        <w:t>models</w:t>
      </w:r>
      <w:r w:rsidR="00851E93" w:rsidRPr="00247BD2">
        <w:rPr>
          <w:noProof/>
        </w:rPr>
        <w:t xml:space="preserve"> that were designed specifically for </w:t>
      </w:r>
      <w:r w:rsidR="00780696" w:rsidRPr="00247BD2">
        <w:rPr>
          <w:noProof/>
        </w:rPr>
        <w:t xml:space="preserve">informing </w:t>
      </w:r>
      <w:r w:rsidR="00DB69A5" w:rsidRPr="00247BD2">
        <w:rPr>
          <w:noProof/>
        </w:rPr>
        <w:t xml:space="preserve">us on the transition to a </w:t>
      </w:r>
      <w:r w:rsidR="00741F04">
        <w:rPr>
          <w:noProof/>
        </w:rPr>
        <w:t xml:space="preserve">thriving, </w:t>
      </w:r>
      <w:r w:rsidR="00DB69A5" w:rsidRPr="00247BD2">
        <w:rPr>
          <w:noProof/>
        </w:rPr>
        <w:t xml:space="preserve">low </w:t>
      </w:r>
      <w:r w:rsidRPr="00247BD2">
        <w:rPr>
          <w:noProof/>
        </w:rPr>
        <w:t>emissions</w:t>
      </w:r>
      <w:r w:rsidR="00DB69A5" w:rsidRPr="00247BD2">
        <w:rPr>
          <w:noProof/>
        </w:rPr>
        <w:t xml:space="preserve"> </w:t>
      </w:r>
      <w:r w:rsidR="001A6D03">
        <w:rPr>
          <w:noProof/>
        </w:rPr>
        <w:t>Aotearoa</w:t>
      </w:r>
      <w:r w:rsidR="003C696C">
        <w:rPr>
          <w:noProof/>
        </w:rPr>
        <w:t xml:space="preserve">. These models </w:t>
      </w:r>
      <w:r w:rsidRPr="00247BD2">
        <w:rPr>
          <w:noProof/>
        </w:rPr>
        <w:t>allow</w:t>
      </w:r>
      <w:r w:rsidR="003C696C">
        <w:rPr>
          <w:noProof/>
        </w:rPr>
        <w:t>ed</w:t>
      </w:r>
      <w:r w:rsidRPr="00247BD2">
        <w:rPr>
          <w:noProof/>
        </w:rPr>
        <w:t xml:space="preserve"> us to understand the scale of the transformation that </w:t>
      </w:r>
      <w:r w:rsidR="003C696C">
        <w:rPr>
          <w:noProof/>
        </w:rPr>
        <w:t>c</w:t>
      </w:r>
      <w:r w:rsidRPr="00247BD2">
        <w:rPr>
          <w:noProof/>
        </w:rPr>
        <w:t>ould happen in Aotearoa</w:t>
      </w:r>
      <w:r w:rsidR="00851E93" w:rsidRPr="00247BD2">
        <w:rPr>
          <w:noProof/>
        </w:rPr>
        <w:t xml:space="preserve">. </w:t>
      </w:r>
    </w:p>
    <w:p w14:paraId="4A92336D" w14:textId="00EDB7CB" w:rsidR="001E05AA" w:rsidRDefault="00247BD2" w:rsidP="008321E6">
      <w:pPr>
        <w:rPr>
          <w:noProof/>
        </w:rPr>
      </w:pPr>
      <w:r w:rsidRPr="00247BD2">
        <w:rPr>
          <w:noProof/>
        </w:rPr>
        <w:t>For the f</w:t>
      </w:r>
      <w:r w:rsidR="0093059A" w:rsidRPr="00247BD2">
        <w:rPr>
          <w:noProof/>
        </w:rPr>
        <w:t xml:space="preserve">irst </w:t>
      </w:r>
      <w:r w:rsidR="003C696C">
        <w:rPr>
          <w:noProof/>
        </w:rPr>
        <w:t>t</w:t>
      </w:r>
      <w:r w:rsidR="0093059A" w:rsidRPr="00247BD2">
        <w:rPr>
          <w:noProof/>
        </w:rPr>
        <w:t>ime</w:t>
      </w:r>
      <w:r w:rsidRPr="00247BD2">
        <w:rPr>
          <w:noProof/>
        </w:rPr>
        <w:t xml:space="preserve"> in Aotearoa, we have </w:t>
      </w:r>
      <w:r w:rsidR="00EE4A69">
        <w:rPr>
          <w:noProof/>
        </w:rPr>
        <w:t>taken a comprehensive look at</w:t>
      </w:r>
      <w:r w:rsidR="0093059A" w:rsidRPr="00247BD2">
        <w:rPr>
          <w:noProof/>
        </w:rPr>
        <w:t xml:space="preserve"> at</w:t>
      </w:r>
      <w:r w:rsidR="0073717E">
        <w:rPr>
          <w:noProof/>
        </w:rPr>
        <w:t xml:space="preserve"> the</w:t>
      </w:r>
      <w:r w:rsidR="0093059A" w:rsidRPr="00247BD2">
        <w:rPr>
          <w:noProof/>
        </w:rPr>
        <w:t xml:space="preserve"> </w:t>
      </w:r>
      <w:r w:rsidR="0073717E" w:rsidRPr="0073717E">
        <w:rPr>
          <w:noProof/>
        </w:rPr>
        <w:t xml:space="preserve">balance of </w:t>
      </w:r>
      <w:r w:rsidR="00452134">
        <w:rPr>
          <w:noProof/>
        </w:rPr>
        <w:t>emissions reductions from</w:t>
      </w:r>
      <w:r w:rsidR="0073717E" w:rsidRPr="0073717E">
        <w:rPr>
          <w:noProof/>
        </w:rPr>
        <w:t xml:space="preserve"> long-lived gases and biogenic methane, </w:t>
      </w:r>
      <w:r w:rsidR="00452134">
        <w:rPr>
          <w:noProof/>
        </w:rPr>
        <w:t>and the balance</w:t>
      </w:r>
      <w:r w:rsidR="0073717E" w:rsidRPr="0073717E">
        <w:rPr>
          <w:noProof/>
        </w:rPr>
        <w:t xml:space="preserve"> between gross emission</w:t>
      </w:r>
      <w:r w:rsidR="00452134">
        <w:rPr>
          <w:noProof/>
        </w:rPr>
        <w:t>s reductions</w:t>
      </w:r>
      <w:r w:rsidR="0073717E" w:rsidRPr="0073717E">
        <w:rPr>
          <w:noProof/>
        </w:rPr>
        <w:t xml:space="preserve"> and removals </w:t>
      </w:r>
      <w:r w:rsidR="00972CCD">
        <w:rPr>
          <w:noProof/>
        </w:rPr>
        <w:t xml:space="preserve">of carbon </w:t>
      </w:r>
      <w:r w:rsidR="0073717E" w:rsidRPr="0073717E">
        <w:rPr>
          <w:noProof/>
        </w:rPr>
        <w:t>from</w:t>
      </w:r>
      <w:r w:rsidR="00972CCD">
        <w:rPr>
          <w:noProof/>
        </w:rPr>
        <w:t xml:space="preserve"> the atmosphere</w:t>
      </w:r>
      <w:r w:rsidR="00452134">
        <w:rPr>
          <w:noProof/>
        </w:rPr>
        <w:t>.</w:t>
      </w:r>
      <w:r w:rsidR="002716D2">
        <w:rPr>
          <w:noProof/>
        </w:rPr>
        <w:t xml:space="preserve"> </w:t>
      </w:r>
      <w:r w:rsidR="002716D2" w:rsidRPr="00096E34">
        <w:rPr>
          <w:noProof/>
        </w:rPr>
        <w:t xml:space="preserve">This </w:t>
      </w:r>
      <w:r w:rsidR="00363FA0">
        <w:rPr>
          <w:noProof/>
        </w:rPr>
        <w:t>approach</w:t>
      </w:r>
      <w:r w:rsidR="002716D2" w:rsidRPr="00096E34">
        <w:rPr>
          <w:noProof/>
        </w:rPr>
        <w:t xml:space="preserve"> </w:t>
      </w:r>
      <w:r w:rsidR="001E05AA" w:rsidRPr="00096E34">
        <w:t xml:space="preserve">has guided our conclusions around the relative importance of reducing gross emissions compared to offsetting them through carbon removals from forestry. </w:t>
      </w:r>
      <w:r w:rsidR="00833857">
        <w:rPr>
          <w:noProof/>
        </w:rPr>
        <w:t xml:space="preserve">Previous exercises </w:t>
      </w:r>
      <w:r w:rsidR="00601585">
        <w:rPr>
          <w:noProof/>
        </w:rPr>
        <w:t xml:space="preserve">carried out by others </w:t>
      </w:r>
      <w:r w:rsidR="00833857">
        <w:rPr>
          <w:noProof/>
        </w:rPr>
        <w:t xml:space="preserve">pre-dated the </w:t>
      </w:r>
      <w:r w:rsidR="00833857" w:rsidRPr="002A7880">
        <w:rPr>
          <w:noProof/>
        </w:rPr>
        <w:t>Climate Change Response (Zero Carbon) Amendment Act 2019</w:t>
      </w:r>
      <w:r w:rsidR="00833857">
        <w:rPr>
          <w:noProof/>
        </w:rPr>
        <w:t xml:space="preserve">, and so </w:t>
      </w:r>
      <w:r w:rsidR="008854AD">
        <w:rPr>
          <w:noProof/>
        </w:rPr>
        <w:t>focus</w:t>
      </w:r>
      <w:r w:rsidR="00833857">
        <w:rPr>
          <w:noProof/>
        </w:rPr>
        <w:t>ed on reducing overall net emissions.</w:t>
      </w:r>
    </w:p>
    <w:p w14:paraId="558B8B96" w14:textId="7070BB48" w:rsidR="00972CCD" w:rsidRDefault="00FF4607" w:rsidP="008321E6">
      <w:r>
        <w:t xml:space="preserve">Core to our approach is the need to </w:t>
      </w:r>
      <w:r w:rsidR="009A2EFA">
        <w:t xml:space="preserve">make actual emissions reductions – that is </w:t>
      </w:r>
      <w:r>
        <w:t xml:space="preserve">gross emissions </w:t>
      </w:r>
      <w:r w:rsidR="009A2EFA">
        <w:t xml:space="preserve">reductions – </w:t>
      </w:r>
      <w:r>
        <w:t>to</w:t>
      </w:r>
      <w:r w:rsidR="009A2EFA">
        <w:t xml:space="preserve"> </w:t>
      </w:r>
      <w:r>
        <w:t xml:space="preserve">prevent further warming of the atmosphere and meet the 2050 targets. </w:t>
      </w:r>
      <w:r w:rsidDel="0002696A">
        <w:t xml:space="preserve">There </w:t>
      </w:r>
      <w:r>
        <w:t xml:space="preserve">are risks associated with </w:t>
      </w:r>
      <w:r w:rsidR="0002696A">
        <w:t xml:space="preserve">the permanence of </w:t>
      </w:r>
      <w:r>
        <w:t xml:space="preserve">forestry removals, especially as climate change </w:t>
      </w:r>
      <w:r w:rsidR="00391E05">
        <w:t>makes</w:t>
      </w:r>
      <w:r>
        <w:t xml:space="preserve"> </w:t>
      </w:r>
      <w:r w:rsidRPr="00AB78D2">
        <w:t>forest fires, heavy winds, storms, droughts</w:t>
      </w:r>
      <w:r w:rsidR="005D08A7">
        <w:t>, pests</w:t>
      </w:r>
      <w:r w:rsidRPr="00AB78D2">
        <w:t xml:space="preserve"> and pathogens</w:t>
      </w:r>
      <w:r w:rsidR="00391E05">
        <w:t xml:space="preserve"> more likely</w:t>
      </w:r>
      <w:r>
        <w:t xml:space="preserve">. Gross emissions reductions must be </w:t>
      </w:r>
      <w:r w:rsidR="000A2FB9">
        <w:t>achieved</w:t>
      </w:r>
      <w:r>
        <w:t xml:space="preserve"> to meet and sustain </w:t>
      </w:r>
      <w:r w:rsidR="00AC46EA">
        <w:t xml:space="preserve">the country’s </w:t>
      </w:r>
      <w:r>
        <w:t xml:space="preserve">emissions targets, </w:t>
      </w:r>
      <w:r w:rsidR="00E934F5">
        <w:t xml:space="preserve">and </w:t>
      </w:r>
      <w:r>
        <w:t>to avoid pushing the burden to future generations. Therefore, we take the approach of reducing gross emissions where it is feasible and leave carbon removals to offset the hard-to-abate sectors.</w:t>
      </w:r>
    </w:p>
    <w:p w14:paraId="780A9569" w14:textId="133A81EF" w:rsidR="004127BE" w:rsidRPr="00744521" w:rsidRDefault="00070173" w:rsidP="004127BE">
      <w:pPr>
        <w:pStyle w:val="Heading2"/>
      </w:pPr>
      <w:bookmarkStart w:id="23" w:name="_Toc62650238"/>
      <w:r>
        <w:t xml:space="preserve">1.6 </w:t>
      </w:r>
      <w:r w:rsidR="00813DF1">
        <w:t>Our engagement so far</w:t>
      </w:r>
      <w:bookmarkEnd w:id="23"/>
    </w:p>
    <w:p w14:paraId="22ADF70B" w14:textId="2A99DCA1" w:rsidR="002B0F59" w:rsidRPr="00744521" w:rsidRDefault="002B0F59" w:rsidP="002B0F59">
      <w:r>
        <w:t xml:space="preserve">We thank </w:t>
      </w:r>
      <w:r w:rsidR="008D39B8">
        <w:t>the people who have met with us</w:t>
      </w:r>
      <w:r>
        <w:t xml:space="preserve"> for their time and expertise. The conversations we have had and the evidence that has been shared with us ha</w:t>
      </w:r>
      <w:r w:rsidR="00AB64CD">
        <w:t>ve</w:t>
      </w:r>
      <w:r>
        <w:t xml:space="preserve"> been invaluable. Our discussions with interest groups and </w:t>
      </w:r>
      <w:r w:rsidR="00B142D7">
        <w:t>subject matter experts</w:t>
      </w:r>
      <w:r>
        <w:t xml:space="preserve"> have helped to build our evidence base and shape how we have approached our analysis. They </w:t>
      </w:r>
      <w:r w:rsidR="009722C3">
        <w:t>have</w:t>
      </w:r>
      <w:r>
        <w:t xml:space="preserve"> also helped us understand the breadth of the task ahead of us and the ambition that exists within Aotearoa. </w:t>
      </w:r>
    </w:p>
    <w:p w14:paraId="45CBFD82" w14:textId="418C82A0" w:rsidR="000B4741" w:rsidRDefault="004127BE" w:rsidP="008321E6">
      <w:r>
        <w:t xml:space="preserve">Since the Commission was established, Commissioners and staff have held over </w:t>
      </w:r>
      <w:r w:rsidR="00601585">
        <w:t>7</w:t>
      </w:r>
      <w:r>
        <w:t>00 meetings</w:t>
      </w:r>
      <w:r w:rsidR="00B142D7">
        <w:t xml:space="preserve">, </w:t>
      </w:r>
      <w:r w:rsidR="004F2ABE">
        <w:t>workshops</w:t>
      </w:r>
      <w:r w:rsidR="00080AB3">
        <w:t xml:space="preserve"> and hui</w:t>
      </w:r>
      <w:r>
        <w:t xml:space="preserve">. We have met with different sectors, </w:t>
      </w:r>
      <w:r w:rsidR="00392634">
        <w:t>people</w:t>
      </w:r>
      <w:r>
        <w:t xml:space="preserve">, partners and </w:t>
      </w:r>
      <w:r w:rsidR="00392634">
        <w:t>organisations</w:t>
      </w:r>
      <w:r>
        <w:t xml:space="preserve"> to introduce ourselves and our work, and </w:t>
      </w:r>
      <w:r w:rsidR="00987B49">
        <w:t xml:space="preserve">to </w:t>
      </w:r>
      <w:r>
        <w:t>hear varied views on what needs to be considered in Aotearoa</w:t>
      </w:r>
      <w:r w:rsidR="00AC46EA">
        <w:t xml:space="preserve"> in </w:t>
      </w:r>
      <w:r>
        <w:t>respon</w:t>
      </w:r>
      <w:r w:rsidR="00AC46EA">
        <w:t>ding</w:t>
      </w:r>
      <w:r>
        <w:t xml:space="preserve"> to climate change</w:t>
      </w:r>
      <w:r w:rsidR="00F14B6E">
        <w:t>.</w:t>
      </w:r>
      <w:r w:rsidR="00713C81">
        <w:t xml:space="preserve"> </w:t>
      </w:r>
      <w:r w:rsidR="005A1B34">
        <w:t xml:space="preserve">More information about </w:t>
      </w:r>
      <w:r w:rsidR="00033425">
        <w:t>the organisations we</w:t>
      </w:r>
      <w:r w:rsidR="00086C95">
        <w:t xml:space="preserve"> have met</w:t>
      </w:r>
      <w:r w:rsidR="00E128D5">
        <w:t xml:space="preserve"> with</w:t>
      </w:r>
      <w:r w:rsidR="00086C95">
        <w:t xml:space="preserve"> is available on our website. </w:t>
      </w:r>
    </w:p>
    <w:p w14:paraId="55A3DD10" w14:textId="023337EC" w:rsidR="00FB3865" w:rsidRDefault="009A1840" w:rsidP="00FB3865">
      <w:r>
        <w:t>W</w:t>
      </w:r>
      <w:r w:rsidR="00FB3865">
        <w:t>e established four technical reference groups covering land, waste, transport, a</w:t>
      </w:r>
      <w:r w:rsidR="00B1536D">
        <w:t>s well as</w:t>
      </w:r>
      <w:r w:rsidR="00FB3865">
        <w:t xml:space="preserve"> heat, industry and power. These groups met</w:t>
      </w:r>
      <w:r w:rsidR="00AA0264">
        <w:t xml:space="preserve"> </w:t>
      </w:r>
      <w:r w:rsidR="00501988">
        <w:t>on a regular basis</w:t>
      </w:r>
      <w:r w:rsidR="00ED2427">
        <w:t>, helping to</w:t>
      </w:r>
      <w:r>
        <w:t xml:space="preserve"> </w:t>
      </w:r>
      <w:r w:rsidR="00584E2E">
        <w:t xml:space="preserve">build the evidence base and </w:t>
      </w:r>
      <w:r>
        <w:t xml:space="preserve">test </w:t>
      </w:r>
      <w:r w:rsidR="00584E2E">
        <w:t xml:space="preserve">our </w:t>
      </w:r>
      <w:r>
        <w:t>anal</w:t>
      </w:r>
      <w:r w:rsidR="00584E2E">
        <w:t xml:space="preserve">ysis. </w:t>
      </w:r>
      <w:r w:rsidR="00A3094A">
        <w:t>We also established an expert modelling group to test and advise us on our modelling approach</w:t>
      </w:r>
      <w:r w:rsidR="00501988">
        <w:t>.</w:t>
      </w:r>
    </w:p>
    <w:p w14:paraId="43AD65E2" w14:textId="24B5C627" w:rsidR="00D352B4" w:rsidRPr="00744521" w:rsidRDefault="00D11E28" w:rsidP="00D352B4">
      <w:r>
        <w:t>The Interim Climate Change Committee</w:t>
      </w:r>
      <w:r w:rsidR="00D352B4">
        <w:t xml:space="preserve"> carried out a Call for Evidence</w:t>
      </w:r>
      <w:r w:rsidR="007C5851">
        <w:t xml:space="preserve"> in late 2019</w:t>
      </w:r>
      <w:r w:rsidR="009419BE">
        <w:t xml:space="preserve"> and received</w:t>
      </w:r>
      <w:r w:rsidR="00D352B4">
        <w:t xml:space="preserve"> input fro</w:t>
      </w:r>
      <w:r w:rsidR="00D352B4" w:rsidRPr="00FF4607">
        <w:t>m 7</w:t>
      </w:r>
      <w:r w:rsidR="007662E3">
        <w:t>7</w:t>
      </w:r>
      <w:r w:rsidR="00D352B4" w:rsidRPr="00FF4607">
        <w:t xml:space="preserve"> individuals</w:t>
      </w:r>
      <w:r w:rsidR="00D352B4">
        <w:t xml:space="preserve"> and organisations.</w:t>
      </w:r>
      <w:r w:rsidR="00FF4607">
        <w:t xml:space="preserve"> </w:t>
      </w:r>
      <w:r w:rsidR="007662E3">
        <w:t>Submissions covered topics including land use, transport, buildings and urban design, waste, and heat, industry and power, and included information on opportunities to reduce emissions, the linkages and interactions between different sectors and the potential benefits or impacts of different actions that could be taken. Several submitters indicated that they had data and analyses that they were willing to share with the</w:t>
      </w:r>
      <w:r>
        <w:t xml:space="preserve"> </w:t>
      </w:r>
      <w:r w:rsidR="001B588D">
        <w:t>Interim Climate Change Committee and</w:t>
      </w:r>
      <w:r w:rsidR="007662E3">
        <w:t xml:space="preserve"> Commission.</w:t>
      </w:r>
    </w:p>
    <w:p w14:paraId="3E236A29" w14:textId="412FBD16" w:rsidR="00B854D4" w:rsidRDefault="00F1372A" w:rsidP="00C25190">
      <w:r w:rsidRPr="00FF4607">
        <w:lastRenderedPageBreak/>
        <w:t>We held</w:t>
      </w:r>
      <w:r w:rsidRPr="00FF4607" w:rsidDel="00B32FE3">
        <w:t xml:space="preserve"> </w:t>
      </w:r>
      <w:r w:rsidR="00B32FE3">
        <w:t>seven</w:t>
      </w:r>
      <w:r w:rsidR="00B32FE3" w:rsidRPr="00FF4607">
        <w:t xml:space="preserve"> </w:t>
      </w:r>
      <w:r w:rsidRPr="00FF4607">
        <w:t>workshops</w:t>
      </w:r>
      <w:r w:rsidR="00B854D4" w:rsidRPr="00FF4607">
        <w:t xml:space="preserve"> covering</w:t>
      </w:r>
      <w:r w:rsidR="00C25190" w:rsidRPr="00FF4607">
        <w:t xml:space="preserve"> equitable transitions, behaviour change,</w:t>
      </w:r>
      <w:r w:rsidR="00C60640" w:rsidRPr="00FF4607">
        <w:t xml:space="preserve"> equity in access to transport,</w:t>
      </w:r>
      <w:r w:rsidR="00C25190" w:rsidRPr="00FF4607">
        <w:t xml:space="preserve"> </w:t>
      </w:r>
      <w:r w:rsidR="00671442" w:rsidRPr="00FF4607">
        <w:t>rural impacts</w:t>
      </w:r>
      <w:r w:rsidR="001658B6" w:rsidRPr="00FF4607">
        <w:t>, urban form, bioeconomy</w:t>
      </w:r>
      <w:r w:rsidR="00FD7A7E" w:rsidRPr="00FF4607">
        <w:t xml:space="preserve"> and </w:t>
      </w:r>
      <w:r w:rsidR="004C3469" w:rsidRPr="00FF4607">
        <w:t xml:space="preserve">the circular economy. </w:t>
      </w:r>
      <w:r w:rsidR="00320A17" w:rsidRPr="00FF4607">
        <w:t xml:space="preserve">The insights from these workshops have grounded our analysis, particularly in helping </w:t>
      </w:r>
      <w:r w:rsidR="001F53F4">
        <w:t xml:space="preserve">us to </w:t>
      </w:r>
      <w:r w:rsidR="00320A17" w:rsidRPr="00FF4607">
        <w:t>understand how changes w</w:t>
      </w:r>
      <w:r w:rsidR="004905FB">
        <w:t>ould</w:t>
      </w:r>
      <w:r w:rsidR="00320A17" w:rsidRPr="00FF4607">
        <w:t xml:space="preserve"> impact different groups of society.</w:t>
      </w:r>
    </w:p>
    <w:p w14:paraId="6326F89A" w14:textId="4F738E45" w:rsidR="00FF4815" w:rsidRDefault="00FF4815" w:rsidP="00FF4815">
      <w:pPr>
        <w:pStyle w:val="Content"/>
      </w:pPr>
      <w:r>
        <w:rPr>
          <w:lang w:val="en-US"/>
        </w:rPr>
        <w:t>To give effect to the Treaty principles of partnership, participation and protection, we took a multi-faceted approach to engaging with iwi/M</w:t>
      </w:r>
      <w:r>
        <w:rPr>
          <w:lang w:val="mi-NZ"/>
        </w:rPr>
        <w:t>āori. This included carrying over the insights gathered by the Interim Climate Change Committee (to reduce engagement fatigue). In addition to the hui and technical reference groups, we also initiated interviews and high-level case studies with Māori thought leaders and technical experts as well as Māori-collectives (including representatives of marae, iwi, and Ahu Whenua Trusts). In developing our work we applied the He Ara Waiora framework (version 2.0) to ensure the insights we gathered from iwi/Māori were understood from a Te Ao Māori and mātauranga Māori perspective</w:t>
      </w:r>
      <w:r w:rsidR="00043C2C">
        <w:rPr>
          <w:lang w:val="mi-NZ"/>
        </w:rPr>
        <w:t>. We</w:t>
      </w:r>
      <w:r>
        <w:rPr>
          <w:lang w:val="mi-NZ"/>
        </w:rPr>
        <w:t xml:space="preserve"> also undertook research to ensure insights were understood in their historic and contemporary context.</w:t>
      </w:r>
      <w:r w:rsidR="00305778">
        <w:rPr>
          <w:lang w:val="mi-NZ"/>
        </w:rPr>
        <w:t xml:space="preserve"> </w:t>
      </w:r>
    </w:p>
    <w:p w14:paraId="72D0E255" w14:textId="5787B90C" w:rsidR="002B0F59" w:rsidRDefault="002B0F59" w:rsidP="00C25190">
      <w:r>
        <w:t xml:space="preserve">Work done by the private sector and business community, including by the Aotearoa Circle, Business NZ Energy Council, Climate Leaders Coalition, Primary Sector Council and Sustainable Business Council, has been helpful in </w:t>
      </w:r>
      <w:r w:rsidR="00FF4607">
        <w:t>strengthening</w:t>
      </w:r>
      <w:r>
        <w:t xml:space="preserve"> the evidence base and business case for transitioning to a thriving</w:t>
      </w:r>
      <w:r w:rsidR="007C0243">
        <w:t>,</w:t>
      </w:r>
      <w:r>
        <w:t xml:space="preserve"> </w:t>
      </w:r>
      <w:r w:rsidR="000A354F">
        <w:t xml:space="preserve">climate-resilient and </w:t>
      </w:r>
      <w:r>
        <w:t>low emissions Aotearoa. A message that has clearly come through our engagement is that businesses require a stable</w:t>
      </w:r>
      <w:r w:rsidR="00ED7AE4">
        <w:t>,</w:t>
      </w:r>
      <w:r>
        <w:t xml:space="preserve"> predictable policy environment </w:t>
      </w:r>
      <w:r w:rsidR="001F2170">
        <w:t xml:space="preserve">in order </w:t>
      </w:r>
      <w:r>
        <w:t xml:space="preserve">to allow them to invest </w:t>
      </w:r>
      <w:r w:rsidR="00B27965">
        <w:t xml:space="preserve">in ways that </w:t>
      </w:r>
      <w:r>
        <w:t xml:space="preserve">help deliver on </w:t>
      </w:r>
      <w:r w:rsidR="00AC46EA">
        <w:t xml:space="preserve">the country’s </w:t>
      </w:r>
      <w:r>
        <w:t xml:space="preserve">2050 climate targets. </w:t>
      </w:r>
    </w:p>
    <w:p w14:paraId="788FD267" w14:textId="3AD52827" w:rsidR="005960FE" w:rsidRPr="00744521" w:rsidRDefault="00070173" w:rsidP="005960FE">
      <w:pPr>
        <w:pStyle w:val="Heading2"/>
      </w:pPr>
      <w:bookmarkStart w:id="24" w:name="_Toc62650239"/>
      <w:r>
        <w:t xml:space="preserve">1.7 </w:t>
      </w:r>
      <w:r w:rsidR="007662E3">
        <w:t>Our consultation questions</w:t>
      </w:r>
      <w:bookmarkEnd w:id="24"/>
    </w:p>
    <w:p w14:paraId="645A3E02" w14:textId="3B3DAE65" w:rsidR="00CA70B5" w:rsidRDefault="00313CB6" w:rsidP="00313CB6">
      <w:r w:rsidRPr="3BCBB5A6">
        <w:rPr>
          <w:rFonts w:ascii="Calibri" w:eastAsia="Calibri" w:hAnsi="Calibri" w:cs="Calibri"/>
          <w:color w:val="000000" w:themeColor="text1"/>
        </w:rPr>
        <w:t xml:space="preserve">As a Commission we need to consider the perspectives of all New Zealanders. </w:t>
      </w:r>
      <w:r>
        <w:t xml:space="preserve">We know our work </w:t>
      </w:r>
      <w:r w:rsidR="00142759">
        <w:t xml:space="preserve">will </w:t>
      </w:r>
      <w:r>
        <w:t xml:space="preserve">mean changes for all of us. </w:t>
      </w:r>
    </w:p>
    <w:p w14:paraId="7D875CF5" w14:textId="17E7F3F3" w:rsidR="00780231" w:rsidRDefault="00313CB6" w:rsidP="00313CB6">
      <w:r>
        <w:t xml:space="preserve">We are releasing our draft advice and recommendations </w:t>
      </w:r>
      <w:r w:rsidR="00CA70B5">
        <w:t>to give</w:t>
      </w:r>
      <w:r>
        <w:t xml:space="preserve"> </w:t>
      </w:r>
      <w:r w:rsidR="00D87884">
        <w:t xml:space="preserve">people outside the Commission the </w:t>
      </w:r>
      <w:r w:rsidR="00780231">
        <w:t>opportunity to share their knowledge and</w:t>
      </w:r>
      <w:r>
        <w:t xml:space="preserve"> tell us whether we are steering Aotearoa in the right direction. </w:t>
      </w:r>
      <w:r w:rsidR="00780231">
        <w:t xml:space="preserve">The Commission is </w:t>
      </w:r>
      <w:r w:rsidR="002148B2">
        <w:t>required</w:t>
      </w:r>
      <w:r w:rsidR="00780231">
        <w:t xml:space="preserve"> to consult publicly on our advice</w:t>
      </w:r>
      <w:r w:rsidR="007B3D2B">
        <w:t xml:space="preserve">, recognising the importance of </w:t>
      </w:r>
      <w:r w:rsidR="00D33118">
        <w:t>public input</w:t>
      </w:r>
      <w:r w:rsidR="00780231">
        <w:t xml:space="preserve">. </w:t>
      </w:r>
    </w:p>
    <w:p w14:paraId="30682E45" w14:textId="7B8AC60B" w:rsidR="008D677E" w:rsidRPr="008D677E" w:rsidRDefault="00313CB6">
      <w:r>
        <w:t xml:space="preserve">There are some key components </w:t>
      </w:r>
      <w:r w:rsidR="00AF42D2">
        <w:t>about which</w:t>
      </w:r>
      <w:r>
        <w:t xml:space="preserve"> we are particularly interested to hear from you. </w:t>
      </w:r>
      <w:r w:rsidR="002E0D6A">
        <w:t xml:space="preserve">These </w:t>
      </w:r>
      <w:r w:rsidR="0000393D">
        <w:t>consultation questions are contained throughout this report.</w:t>
      </w:r>
    </w:p>
    <w:p w14:paraId="14A790A1" w14:textId="09544832" w:rsidR="00914A30" w:rsidRDefault="00732BDD" w:rsidP="0083178B">
      <w:r>
        <w:t>We are seeking your responses to these questions via our website.</w:t>
      </w:r>
    </w:p>
    <w:p w14:paraId="462EC001" w14:textId="16373E9A" w:rsidR="005F3500" w:rsidRPr="0058136D" w:rsidRDefault="00070173" w:rsidP="007662E3">
      <w:pPr>
        <w:pStyle w:val="Heading2"/>
      </w:pPr>
      <w:bookmarkStart w:id="25" w:name="_Toc62650240"/>
      <w:r>
        <w:t xml:space="preserve">1.8 </w:t>
      </w:r>
      <w:r w:rsidR="005F3500" w:rsidRPr="00687675">
        <w:t xml:space="preserve">Biogenic </w:t>
      </w:r>
      <w:r w:rsidR="005F3500" w:rsidRPr="009659CC">
        <w:t>methan</w:t>
      </w:r>
      <w:r w:rsidR="005F3500" w:rsidRPr="0058136D">
        <w:t>e and NDC advice</w:t>
      </w:r>
      <w:bookmarkEnd w:id="25"/>
    </w:p>
    <w:p w14:paraId="65AAEA70" w14:textId="066123AF" w:rsidR="00D95023" w:rsidRDefault="00C02486" w:rsidP="00313CB6">
      <w:r>
        <w:t>Beyond our e</w:t>
      </w:r>
      <w:r w:rsidRPr="00C02486">
        <w:t>missions budgets and emissions reduction plan advice</w:t>
      </w:r>
      <w:r w:rsidR="00313CB6" w:rsidRPr="00F35953">
        <w:t xml:space="preserve">, we </w:t>
      </w:r>
      <w:r w:rsidR="00B71740">
        <w:t xml:space="preserve">are </w:t>
      </w:r>
      <w:r w:rsidR="00B27E2B">
        <w:t xml:space="preserve">also </w:t>
      </w:r>
      <w:r w:rsidR="00B71740">
        <w:t xml:space="preserve">consulting on </w:t>
      </w:r>
      <w:r w:rsidR="00907394">
        <w:t xml:space="preserve">two </w:t>
      </w:r>
      <w:r w:rsidR="00631D9D">
        <w:t>additional</w:t>
      </w:r>
      <w:r w:rsidR="00907394">
        <w:t xml:space="preserve"> pieces of</w:t>
      </w:r>
      <w:r w:rsidR="00B71740">
        <w:t xml:space="preserve"> </w:t>
      </w:r>
      <w:r w:rsidR="00313CB6" w:rsidRPr="00F35953">
        <w:t>draft advice</w:t>
      </w:r>
      <w:r w:rsidR="00907394">
        <w:t xml:space="preserve">. One looks at </w:t>
      </w:r>
      <w:r w:rsidR="00313CB6">
        <w:t xml:space="preserve">the eventual reductions Aotearoa </w:t>
      </w:r>
      <w:r w:rsidR="00616EF5">
        <w:t xml:space="preserve">might </w:t>
      </w:r>
      <w:r w:rsidR="00313CB6">
        <w:t xml:space="preserve">need to make </w:t>
      </w:r>
      <w:r w:rsidR="00BE66A3">
        <w:t>to</w:t>
      </w:r>
      <w:r w:rsidR="00313CB6">
        <w:t xml:space="preserve"> </w:t>
      </w:r>
      <w:r w:rsidR="00313CB6" w:rsidRPr="00F35953">
        <w:t>biogenic methane</w:t>
      </w:r>
      <w:r w:rsidR="0096536B">
        <w:t xml:space="preserve"> emissions</w:t>
      </w:r>
      <w:r w:rsidR="00907394">
        <w:t>. The second considers the</w:t>
      </w:r>
      <w:r w:rsidR="00B71740">
        <w:t xml:space="preserve"> compatibility of </w:t>
      </w:r>
      <w:r w:rsidR="00AC46EA">
        <w:t xml:space="preserve">the country’s </w:t>
      </w:r>
      <w:r w:rsidR="00B71740">
        <w:t xml:space="preserve">Nationally Determined Contribution </w:t>
      </w:r>
      <w:r w:rsidR="00241F4E">
        <w:t xml:space="preserve">(NDC) </w:t>
      </w:r>
      <w:r w:rsidR="00B71740">
        <w:t>with contributing to the</w:t>
      </w:r>
      <w:r w:rsidR="00313CB6" w:rsidRPr="00F35953">
        <w:t xml:space="preserve"> 1.5</w:t>
      </w:r>
      <w:r w:rsidR="00313CB6" w:rsidRPr="652FC3AB">
        <w:t>°</w:t>
      </w:r>
      <w:r w:rsidR="00313CB6" w:rsidRPr="00F35953">
        <w:t>C global goal under the Paris Agreement</w:t>
      </w:r>
      <w:r w:rsidR="00B71740">
        <w:t>.</w:t>
      </w:r>
      <w:r w:rsidR="0075387C">
        <w:t xml:space="preserve"> </w:t>
      </w:r>
    </w:p>
    <w:p w14:paraId="04EEBB68" w14:textId="6CF25A79" w:rsidR="00313CB6" w:rsidRPr="007A2586" w:rsidRDefault="0075387C" w:rsidP="007A2586">
      <w:r>
        <w:t>Th</w:t>
      </w:r>
      <w:r w:rsidR="00E3052A">
        <w:t xml:space="preserve">ese two </w:t>
      </w:r>
      <w:r w:rsidR="00631D9D">
        <w:t>additional</w:t>
      </w:r>
      <w:r w:rsidR="00E3052A">
        <w:t xml:space="preserve"> pieces of </w:t>
      </w:r>
      <w:r>
        <w:t xml:space="preserve">draft advice </w:t>
      </w:r>
      <w:r w:rsidR="00E3052A">
        <w:t>are</w:t>
      </w:r>
      <w:r w:rsidR="00DC6DF6">
        <w:t xml:space="preserve"> outlined in </w:t>
      </w:r>
      <w:r w:rsidR="00886C1E">
        <w:t xml:space="preserve">part </w:t>
      </w:r>
      <w:r w:rsidR="00B142D7">
        <w:t xml:space="preserve">B </w:t>
      </w:r>
      <w:r w:rsidR="00886C1E">
        <w:t>of this</w:t>
      </w:r>
      <w:r w:rsidR="00B142D7">
        <w:t xml:space="preserve"> </w:t>
      </w:r>
      <w:r w:rsidR="00DC6DF6">
        <w:t>report</w:t>
      </w:r>
      <w:r w:rsidR="00B142D7">
        <w:t>.</w:t>
      </w:r>
      <w:r w:rsidR="00313CB6">
        <w:br w:type="page"/>
      </w:r>
    </w:p>
    <w:p w14:paraId="73C831A6" w14:textId="4C35B893" w:rsidR="00E65DA0" w:rsidRDefault="00E65DA0" w:rsidP="00E65DA0">
      <w:pPr>
        <w:pStyle w:val="Heading1"/>
      </w:pPr>
      <w:bookmarkStart w:id="26" w:name="_Toc57818176"/>
      <w:bookmarkStart w:id="27" w:name="_Toc62650241"/>
      <w:bookmarkStart w:id="28" w:name="_Toc57818180"/>
      <w:bookmarkEnd w:id="0"/>
      <w:bookmarkEnd w:id="1"/>
      <w:bookmarkEnd w:id="2"/>
      <w:bookmarkEnd w:id="3"/>
      <w:bookmarkEnd w:id="4"/>
      <w:bookmarkEnd w:id="5"/>
      <w:r>
        <w:lastRenderedPageBreak/>
        <w:t>Chapter 2: Our proposed emissions budgets advice</w:t>
      </w:r>
      <w:bookmarkEnd w:id="26"/>
      <w:bookmarkEnd w:id="27"/>
    </w:p>
    <w:p w14:paraId="6225B167" w14:textId="4D58A16C" w:rsidR="00E65DA0" w:rsidRPr="005F5FE7" w:rsidRDefault="00E65DA0" w:rsidP="00E65DA0">
      <w:r w:rsidRPr="005F5FE7">
        <w:t>In passing the Climate Change Response (Zero Carbon) Amendment Act in 2019 – better known as the Zero Carbon Act – Parliament committed to long-term and enduring action on climate change</w:t>
      </w:r>
      <w:r w:rsidR="00082150">
        <w:t xml:space="preserve"> and </w:t>
      </w:r>
      <w:r w:rsidRPr="005F5FE7">
        <w:t>set emissions reductions targets for Aotearoa. The</w:t>
      </w:r>
      <w:r w:rsidR="00082150">
        <w:t>se</w:t>
      </w:r>
      <w:r w:rsidRPr="005F5FE7">
        <w:t xml:space="preserve"> targets were developed with the goal of halting </w:t>
      </w:r>
      <w:r w:rsidR="00AC46EA">
        <w:t>the</w:t>
      </w:r>
      <w:r w:rsidR="00AC46EA" w:rsidRPr="005F5FE7">
        <w:t xml:space="preserve"> </w:t>
      </w:r>
      <w:r w:rsidRPr="005F5FE7">
        <w:t xml:space="preserve">contribution </w:t>
      </w:r>
      <w:r w:rsidR="00AC46EA">
        <w:t xml:space="preserve">Aotearoa makes </w:t>
      </w:r>
      <w:r w:rsidRPr="005F5FE7">
        <w:t xml:space="preserve">to climate change. </w:t>
      </w:r>
    </w:p>
    <w:p w14:paraId="5B139F3F" w14:textId="7F924121" w:rsidR="00E65DA0" w:rsidRPr="00507989" w:rsidRDefault="00E65DA0" w:rsidP="00E65DA0">
      <w:r w:rsidRPr="00507989">
        <w:t>The</w:t>
      </w:r>
      <w:r>
        <w:t xml:space="preserve"> </w:t>
      </w:r>
      <w:r w:rsidRPr="00507989">
        <w:t>targets</w:t>
      </w:r>
      <w:r>
        <w:t xml:space="preserve"> require Aotearoa </w:t>
      </w:r>
      <w:r w:rsidRPr="00507989">
        <w:t>to:</w:t>
      </w:r>
    </w:p>
    <w:p w14:paraId="1AD12422" w14:textId="0B9DEAF7" w:rsidR="00E65DA0" w:rsidRDefault="0020547E" w:rsidP="00F52090">
      <w:pPr>
        <w:pStyle w:val="ListParagraph"/>
        <w:numPr>
          <w:ilvl w:val="0"/>
          <w:numId w:val="3"/>
        </w:numPr>
        <w:spacing w:after="0" w:line="240" w:lineRule="auto"/>
        <w:ind w:left="714" w:hanging="357"/>
        <w:contextualSpacing w:val="0"/>
      </w:pPr>
      <w:r w:rsidRPr="00507989">
        <w:t>reduce</w:t>
      </w:r>
      <w:r w:rsidR="00E65DA0">
        <w:t xml:space="preserve"> </w:t>
      </w:r>
      <w:r w:rsidR="00E65DA0" w:rsidRPr="00507989">
        <w:t>emissions</w:t>
      </w:r>
      <w:r w:rsidR="00E65DA0">
        <w:t xml:space="preserve"> </w:t>
      </w:r>
      <w:r w:rsidR="00E65DA0" w:rsidRPr="00507989">
        <w:t>of</w:t>
      </w:r>
      <w:r w:rsidR="00E65DA0">
        <w:t xml:space="preserve"> </w:t>
      </w:r>
      <w:r w:rsidR="00E65DA0" w:rsidRPr="00507989">
        <w:t>greenhouse</w:t>
      </w:r>
      <w:r w:rsidR="00E65DA0">
        <w:t xml:space="preserve"> </w:t>
      </w:r>
      <w:r w:rsidR="00E65DA0" w:rsidRPr="00507989">
        <w:t>gases</w:t>
      </w:r>
      <w:r w:rsidR="00E65DA0">
        <w:t xml:space="preserve">, other than biogenic methane, </w:t>
      </w:r>
      <w:r w:rsidR="00E65DA0" w:rsidRPr="00507989">
        <w:t>to</w:t>
      </w:r>
      <w:r w:rsidR="00E65DA0">
        <w:t xml:space="preserve"> </w:t>
      </w:r>
      <w:r w:rsidR="00E65DA0" w:rsidRPr="00507989">
        <w:t>net</w:t>
      </w:r>
      <w:r w:rsidR="00E65DA0">
        <w:t xml:space="preserve"> </w:t>
      </w:r>
      <w:r w:rsidR="00E65DA0" w:rsidRPr="00507989">
        <w:t>zero</w:t>
      </w:r>
      <w:r w:rsidR="00E65DA0">
        <w:t xml:space="preserve"> </w:t>
      </w:r>
      <w:r w:rsidR="00E65DA0" w:rsidRPr="00507989">
        <w:t>by</w:t>
      </w:r>
      <w:r w:rsidR="00E65DA0">
        <w:t xml:space="preserve"> </w:t>
      </w:r>
      <w:r w:rsidR="00E65DA0" w:rsidRPr="00507989">
        <w:t>2050</w:t>
      </w:r>
      <w:r w:rsidR="00E65DA0">
        <w:t xml:space="preserve"> and beyond. This refers to emissions of carbon dioxide, nitrous oxide, F-gases and non-biogenic methane</w:t>
      </w:r>
      <w:r w:rsidR="00E65DA0" w:rsidRPr="00507989">
        <w:t>.</w:t>
      </w:r>
      <w:r w:rsidR="00E65DA0">
        <w:t xml:space="preserve"> </w:t>
      </w:r>
    </w:p>
    <w:p w14:paraId="6463E392" w14:textId="0C94374B" w:rsidR="00E65DA0" w:rsidRDefault="0020547E" w:rsidP="00F52090">
      <w:pPr>
        <w:pStyle w:val="ListParagraph"/>
        <w:numPr>
          <w:ilvl w:val="0"/>
          <w:numId w:val="3"/>
        </w:numPr>
        <w:spacing w:after="0" w:line="240" w:lineRule="auto"/>
        <w:ind w:left="714" w:hanging="357"/>
        <w:contextualSpacing w:val="0"/>
      </w:pPr>
      <w:r w:rsidRPr="00507989">
        <w:t>reduce</w:t>
      </w:r>
      <w:r w:rsidR="00E65DA0">
        <w:t xml:space="preserve"> </w:t>
      </w:r>
      <w:r w:rsidR="00E65DA0" w:rsidRPr="00507989">
        <w:t>biogenic</w:t>
      </w:r>
      <w:r w:rsidR="00E65DA0">
        <w:t xml:space="preserve"> </w:t>
      </w:r>
      <w:r w:rsidR="00E65DA0" w:rsidRPr="00507989">
        <w:t>methane</w:t>
      </w:r>
      <w:r w:rsidR="00E65DA0">
        <w:t xml:space="preserve"> </w:t>
      </w:r>
      <w:r w:rsidR="00E65DA0" w:rsidRPr="00507989">
        <w:t>emissions</w:t>
      </w:r>
      <w:r w:rsidR="00E65DA0">
        <w:t xml:space="preserve"> </w:t>
      </w:r>
      <w:r w:rsidR="00E65DA0" w:rsidRPr="00507989">
        <w:t>by</w:t>
      </w:r>
      <w:r w:rsidR="00E65DA0">
        <w:t xml:space="preserve"> at least </w:t>
      </w:r>
      <w:r w:rsidR="00E65DA0" w:rsidRPr="00507989">
        <w:t>10%</w:t>
      </w:r>
      <w:r w:rsidR="00E65DA0">
        <w:t xml:space="preserve"> </w:t>
      </w:r>
      <w:r w:rsidR="00E65DA0" w:rsidRPr="00507989">
        <w:t>by</w:t>
      </w:r>
      <w:r w:rsidR="00E65DA0">
        <w:t xml:space="preserve"> </w:t>
      </w:r>
      <w:r w:rsidR="00E65DA0" w:rsidRPr="00507989">
        <w:t>2030</w:t>
      </w:r>
      <w:r w:rsidR="00E65DA0">
        <w:t xml:space="preserve"> </w:t>
      </w:r>
      <w:r w:rsidR="00E65DA0" w:rsidRPr="00507989">
        <w:t>and</w:t>
      </w:r>
      <w:r w:rsidR="00E65DA0">
        <w:t xml:space="preserve"> </w:t>
      </w:r>
      <w:r w:rsidR="00E65DA0" w:rsidRPr="00507989">
        <w:t>24-47%</w:t>
      </w:r>
      <w:r w:rsidR="00E65DA0">
        <w:t xml:space="preserve"> </w:t>
      </w:r>
      <w:r w:rsidR="00E65DA0" w:rsidRPr="00507989">
        <w:t>by</w:t>
      </w:r>
      <w:r w:rsidR="00E65DA0">
        <w:t xml:space="preserve"> </w:t>
      </w:r>
      <w:r w:rsidR="00E65DA0" w:rsidRPr="00507989">
        <w:t>2050</w:t>
      </w:r>
      <w:r w:rsidR="00E65DA0">
        <w:t xml:space="preserve"> and beyond</w:t>
      </w:r>
      <w:r w:rsidR="00E65DA0" w:rsidRPr="00507989">
        <w:t>,</w:t>
      </w:r>
      <w:r w:rsidR="00E65DA0">
        <w:t xml:space="preserve"> </w:t>
      </w:r>
      <w:r w:rsidR="00E65DA0" w:rsidRPr="00507989">
        <w:t>compared</w:t>
      </w:r>
      <w:r w:rsidR="00E65DA0">
        <w:t xml:space="preserve"> </w:t>
      </w:r>
      <w:r w:rsidR="00E65DA0" w:rsidRPr="00507989">
        <w:t>to</w:t>
      </w:r>
      <w:r w:rsidR="00E65DA0">
        <w:t xml:space="preserve"> </w:t>
      </w:r>
      <w:r w:rsidR="00E65DA0" w:rsidRPr="00507989">
        <w:t>2017</w:t>
      </w:r>
      <w:r w:rsidR="00E65DA0">
        <w:t xml:space="preserve"> </w:t>
      </w:r>
      <w:r w:rsidR="00E65DA0" w:rsidRPr="00507989">
        <w:t>levels</w:t>
      </w:r>
      <w:r w:rsidR="00E65DA0">
        <w:t>.</w:t>
      </w:r>
    </w:p>
    <w:p w14:paraId="671E5338" w14:textId="5C359D00" w:rsidR="00E65DA0" w:rsidRDefault="003427D2" w:rsidP="00E65DA0">
      <w:r>
        <w:t>It is our assessment that c</w:t>
      </w:r>
      <w:r w:rsidR="00E65DA0">
        <w:t>urrent policy settings do not put Aotearoa on track to meet these targets.</w:t>
      </w:r>
      <w:r>
        <w:t xml:space="preserve"> To do so,</w:t>
      </w:r>
      <w:r w:rsidR="00E65DA0">
        <w:t xml:space="preserve"> Aotearoa </w:t>
      </w:r>
      <w:r w:rsidR="00226955">
        <w:t>must</w:t>
      </w:r>
      <w:r w:rsidR="00E65DA0">
        <w:t xml:space="preserve"> </w:t>
      </w:r>
      <w:r w:rsidR="00B142D7">
        <w:t>accelerate action on climate change.</w:t>
      </w:r>
    </w:p>
    <w:p w14:paraId="17CF0267" w14:textId="2C55F519" w:rsidR="001859B7" w:rsidRDefault="00E65DA0" w:rsidP="00E65DA0">
      <w:r>
        <w:t xml:space="preserve">This </w:t>
      </w:r>
      <w:r w:rsidR="000D2BEF">
        <w:t>c</w:t>
      </w:r>
      <w:r>
        <w:t>hapter sets out our draft advice on the first three emissions budgets</w:t>
      </w:r>
      <w:r w:rsidR="00086F0B">
        <w:t>,</w:t>
      </w:r>
      <w:r>
        <w:t xml:space="preserve"> </w:t>
      </w:r>
      <w:r w:rsidR="00086F0B">
        <w:t>to</w:t>
      </w:r>
      <w:r>
        <w:t xml:space="preserve"> set Aotearoa up to achieve these targets</w:t>
      </w:r>
      <w:r w:rsidR="00104D35">
        <w:t xml:space="preserve"> and fulfil other requirements of the Climate Change Response Act</w:t>
      </w:r>
      <w:r>
        <w:t xml:space="preserve">. It outlines a set of principles that we have used to guide our draft advice. </w:t>
      </w:r>
      <w:r w:rsidR="0083172B">
        <w:t>Finally, i</w:t>
      </w:r>
      <w:r>
        <w:t xml:space="preserve">t outlines our draft recommendations for ensuring that Aotearoa enables change that is enduring. </w:t>
      </w:r>
    </w:p>
    <w:p w14:paraId="116B7CDD" w14:textId="29C404DE" w:rsidR="00E65DA0" w:rsidRPr="00507989" w:rsidRDefault="001859B7" w:rsidP="00E65DA0">
      <w:r>
        <w:t>Our</w:t>
      </w:r>
      <w:r w:rsidR="00E65DA0">
        <w:t xml:space="preserve"> policy recommendations can be found in </w:t>
      </w:r>
      <w:r>
        <w:t>c</w:t>
      </w:r>
      <w:r w:rsidR="00E65DA0" w:rsidRPr="007A2586">
        <w:t xml:space="preserve">hapter </w:t>
      </w:r>
      <w:r w:rsidR="007A2586" w:rsidRPr="007A2586">
        <w:t>6</w:t>
      </w:r>
      <w:r w:rsidR="00E65DA0">
        <w:t>.</w:t>
      </w:r>
    </w:p>
    <w:p w14:paraId="63A1E4E1" w14:textId="6600D768" w:rsidR="00E65DA0" w:rsidRDefault="00070173" w:rsidP="00E65DA0">
      <w:pPr>
        <w:pStyle w:val="Heading2"/>
      </w:pPr>
      <w:bookmarkStart w:id="29" w:name="_Toc62650242"/>
      <w:r>
        <w:t xml:space="preserve">2.1 </w:t>
      </w:r>
      <w:r w:rsidR="00AC46EA">
        <w:t>E</w:t>
      </w:r>
      <w:r w:rsidR="00E65DA0">
        <w:t>missions</w:t>
      </w:r>
      <w:r w:rsidR="00AC46EA">
        <w:t xml:space="preserve"> in Aotearoa</w:t>
      </w:r>
      <w:bookmarkEnd w:id="29"/>
    </w:p>
    <w:p w14:paraId="5751FB44" w14:textId="078AC1B6" w:rsidR="003944D0" w:rsidRDefault="00AC46EA" w:rsidP="00E65DA0">
      <w:r>
        <w:t>In 2018, g</w:t>
      </w:r>
      <w:r w:rsidR="00E65DA0">
        <w:t xml:space="preserve">ross </w:t>
      </w:r>
      <w:r w:rsidR="00E65DA0" w:rsidRPr="00507989">
        <w:t>greenhouse</w:t>
      </w:r>
      <w:r w:rsidR="00E65DA0">
        <w:t xml:space="preserve"> </w:t>
      </w:r>
      <w:r w:rsidR="00E65DA0" w:rsidRPr="00507989">
        <w:t>gas</w:t>
      </w:r>
      <w:r w:rsidR="00E65DA0">
        <w:t xml:space="preserve"> </w:t>
      </w:r>
      <w:r w:rsidR="00E65DA0" w:rsidRPr="00507989">
        <w:t>emissions</w:t>
      </w:r>
      <w:r w:rsidR="00E65DA0">
        <w:t xml:space="preserve"> </w:t>
      </w:r>
      <w:r>
        <w:t xml:space="preserve">in Aotearoa </w:t>
      </w:r>
      <w:r w:rsidR="00E65DA0">
        <w:t xml:space="preserve">were </w:t>
      </w:r>
      <w:r w:rsidR="00E65DA0" w:rsidRPr="00507989">
        <w:t>about</w:t>
      </w:r>
      <w:r w:rsidR="00E65DA0">
        <w:t xml:space="preserve"> 45.5 </w:t>
      </w:r>
      <w:r w:rsidR="00E65DA0" w:rsidRPr="00507989">
        <w:t>Mt</w:t>
      </w:r>
      <w:r w:rsidR="00E65DA0">
        <w:t xml:space="preserve"> </w:t>
      </w:r>
      <w:r w:rsidR="00E65DA0" w:rsidRPr="00507989">
        <w:t>CO</w:t>
      </w:r>
      <w:r w:rsidR="00E65DA0" w:rsidRPr="00444841">
        <w:rPr>
          <w:vertAlign w:val="subscript"/>
        </w:rPr>
        <w:t>2</w:t>
      </w:r>
      <w:r w:rsidR="00E65DA0" w:rsidRPr="00507989">
        <w:t>e</w:t>
      </w:r>
      <w:r w:rsidR="00E65DA0">
        <w:t xml:space="preserve"> of long-lived gases and 1.34 Mt CH</w:t>
      </w:r>
      <w:r w:rsidR="00E65DA0" w:rsidRPr="00444841">
        <w:rPr>
          <w:vertAlign w:val="subscript"/>
        </w:rPr>
        <w:t>4</w:t>
      </w:r>
      <w:r w:rsidR="00E65DA0">
        <w:t xml:space="preserve"> of biogenic methane</w:t>
      </w:r>
      <w:r w:rsidR="00E669D7">
        <w:t>. These are the most recent numbers available</w:t>
      </w:r>
      <w:r w:rsidR="00E65DA0" w:rsidRPr="00507989">
        <w:t>.</w:t>
      </w:r>
      <w:r w:rsidR="00E65DA0">
        <w:t xml:space="preserve"> </w:t>
      </w:r>
    </w:p>
    <w:p w14:paraId="3AC0031D" w14:textId="77777777" w:rsidR="003944D0" w:rsidRDefault="00E65DA0" w:rsidP="00E65DA0">
      <w:r w:rsidRPr="00507989">
        <w:t>Agriculture</w:t>
      </w:r>
      <w:r>
        <w:t xml:space="preserve"> </w:t>
      </w:r>
      <w:r w:rsidRPr="00507989">
        <w:t>is</w:t>
      </w:r>
      <w:r>
        <w:t xml:space="preserve"> </w:t>
      </w:r>
      <w:r w:rsidRPr="00507989">
        <w:t>currently</w:t>
      </w:r>
      <w:r>
        <w:t xml:space="preserve"> </w:t>
      </w:r>
      <w:r w:rsidRPr="00507989">
        <w:t>the</w:t>
      </w:r>
      <w:r>
        <w:t xml:space="preserve"> </w:t>
      </w:r>
      <w:r w:rsidRPr="00507989">
        <w:t>largest</w:t>
      </w:r>
      <w:r>
        <w:t xml:space="preserve"> </w:t>
      </w:r>
      <w:r w:rsidRPr="00507989">
        <w:t>source</w:t>
      </w:r>
      <w:r>
        <w:t xml:space="preserve"> </w:t>
      </w:r>
      <w:r w:rsidRPr="00507989">
        <w:t>of</w:t>
      </w:r>
      <w:r>
        <w:t xml:space="preserve"> </w:t>
      </w:r>
      <w:r w:rsidRPr="00507989">
        <w:t>biogenic</w:t>
      </w:r>
      <w:r>
        <w:t xml:space="preserve"> </w:t>
      </w:r>
      <w:r w:rsidRPr="00507989">
        <w:t>methane,</w:t>
      </w:r>
      <w:r>
        <w:t xml:space="preserve"> </w:t>
      </w:r>
      <w:r w:rsidRPr="00507989">
        <w:t>with</w:t>
      </w:r>
      <w:r>
        <w:t xml:space="preserve"> </w:t>
      </w:r>
      <w:r w:rsidRPr="00507989">
        <w:t>the</w:t>
      </w:r>
      <w:r>
        <w:t xml:space="preserve"> </w:t>
      </w:r>
      <w:r w:rsidRPr="00507989">
        <w:t>remainder</w:t>
      </w:r>
      <w:r>
        <w:t xml:space="preserve"> </w:t>
      </w:r>
      <w:r w:rsidRPr="00507989">
        <w:t>from</w:t>
      </w:r>
      <w:r>
        <w:t xml:space="preserve"> </w:t>
      </w:r>
      <w:r w:rsidRPr="00507989">
        <w:t>waste.</w:t>
      </w:r>
      <w:r>
        <w:t xml:space="preserve"> </w:t>
      </w:r>
    </w:p>
    <w:p w14:paraId="07ABC981" w14:textId="77568FF7" w:rsidR="00F43EEC" w:rsidRPr="00507989" w:rsidRDefault="00D94398" w:rsidP="00E65DA0">
      <w:r>
        <w:t>L</w:t>
      </w:r>
      <w:r w:rsidR="00E65DA0" w:rsidRPr="00507989">
        <w:t>ong-lived</w:t>
      </w:r>
      <w:r w:rsidR="00E65DA0">
        <w:t xml:space="preserve"> </w:t>
      </w:r>
      <w:r w:rsidR="00E65DA0" w:rsidRPr="00507989">
        <w:t>gas</w:t>
      </w:r>
      <w:r w:rsidR="00E65DA0">
        <w:t xml:space="preserve"> </w:t>
      </w:r>
      <w:r w:rsidR="00E65DA0" w:rsidRPr="00507989">
        <w:t>emissions</w:t>
      </w:r>
      <w:r w:rsidR="002B4007">
        <w:t xml:space="preserve"> are mainly from carbon dioxide</w:t>
      </w:r>
      <w:r w:rsidR="002945B3">
        <w:t>, but also include nitrous oxide</w:t>
      </w:r>
      <w:r w:rsidR="00D37723">
        <w:t xml:space="preserve">. We have also included </w:t>
      </w:r>
      <w:r w:rsidR="003E687A">
        <w:t>F-gases</w:t>
      </w:r>
      <w:r w:rsidR="00D37723">
        <w:t xml:space="preserve"> in this category</w:t>
      </w:r>
      <w:r w:rsidR="004662B6">
        <w:t xml:space="preserve"> to align with the split-gas target in the Act</w:t>
      </w:r>
      <w:r w:rsidR="0073107C">
        <w:t>, although some F-gases are short-lived</w:t>
      </w:r>
      <w:r w:rsidR="002B4007">
        <w:t xml:space="preserve">. </w:t>
      </w:r>
      <w:r w:rsidR="00F43EEC">
        <w:t>T</w:t>
      </w:r>
      <w:r w:rsidR="00E65DA0">
        <w:t>ransport,</w:t>
      </w:r>
      <w:r w:rsidR="00F43EEC">
        <w:t xml:space="preserve"> buildings, heat, industry and power, agriculture</w:t>
      </w:r>
      <w:r w:rsidR="00D37723">
        <w:t xml:space="preserve"> and</w:t>
      </w:r>
      <w:r w:rsidR="00F43EEC">
        <w:t xml:space="preserve"> waste</w:t>
      </w:r>
      <w:r w:rsidR="001B3A8A">
        <w:t xml:space="preserve"> </w:t>
      </w:r>
      <w:r w:rsidR="00A77553">
        <w:t xml:space="preserve">all </w:t>
      </w:r>
      <w:r w:rsidR="00134E24">
        <w:t xml:space="preserve">emit </w:t>
      </w:r>
      <w:r w:rsidR="00A77553">
        <w:t>long-lived gases</w:t>
      </w:r>
      <w:r w:rsidR="00E65DA0">
        <w:t xml:space="preserve"> (</w:t>
      </w:r>
      <w:r w:rsidR="00AC0EFC">
        <w:t>Figure 2.1</w:t>
      </w:r>
      <w:r w:rsidR="00E65DA0">
        <w:t>)</w:t>
      </w:r>
      <w:r w:rsidR="00E65DA0" w:rsidRPr="00507989">
        <w:t>.</w:t>
      </w:r>
      <w:r w:rsidR="00E65DA0">
        <w:t xml:space="preserve"> </w:t>
      </w:r>
    </w:p>
    <w:p w14:paraId="571DB792" w14:textId="77777777" w:rsidR="00A213E8" w:rsidRDefault="00E65DA0" w:rsidP="00E65DA0">
      <w:r>
        <w:t xml:space="preserve">Gross emissions </w:t>
      </w:r>
      <w:r w:rsidRPr="00507989">
        <w:t>have</w:t>
      </w:r>
      <w:r>
        <w:t xml:space="preserve"> been </w:t>
      </w:r>
      <w:r w:rsidRPr="00507989">
        <w:t>relatively</w:t>
      </w:r>
      <w:r>
        <w:t xml:space="preserve"> </w:t>
      </w:r>
      <w:r w:rsidRPr="00507989">
        <w:t>stable</w:t>
      </w:r>
      <w:r>
        <w:t xml:space="preserve"> </w:t>
      </w:r>
      <w:r w:rsidRPr="00507989">
        <w:t>in</w:t>
      </w:r>
      <w:r>
        <w:t xml:space="preserve"> </w:t>
      </w:r>
      <w:r w:rsidRPr="00507989">
        <w:t>recent</w:t>
      </w:r>
      <w:r>
        <w:t xml:space="preserve"> </w:t>
      </w:r>
      <w:r w:rsidRPr="00507989">
        <w:t>years.</w:t>
      </w:r>
      <w:r>
        <w:t xml:space="preserve"> </w:t>
      </w:r>
      <w:r w:rsidRPr="00507989">
        <w:t>However,</w:t>
      </w:r>
      <w:r>
        <w:t xml:space="preserve"> </w:t>
      </w:r>
      <w:r w:rsidRPr="00507989">
        <w:t>emissions</w:t>
      </w:r>
      <w:r>
        <w:t xml:space="preserve"> </w:t>
      </w:r>
      <w:r w:rsidRPr="00507989">
        <w:t>from</w:t>
      </w:r>
      <w:r>
        <w:t xml:space="preserve"> </w:t>
      </w:r>
      <w:r w:rsidRPr="00507989">
        <w:t>domestic</w:t>
      </w:r>
      <w:r>
        <w:t xml:space="preserve"> </w:t>
      </w:r>
      <w:r w:rsidRPr="00507989">
        <w:t>transport</w:t>
      </w:r>
      <w:r>
        <w:t xml:space="preserve"> </w:t>
      </w:r>
      <w:r w:rsidRPr="00507989">
        <w:t>have</w:t>
      </w:r>
      <w:r>
        <w:t xml:space="preserve"> </w:t>
      </w:r>
      <w:r w:rsidRPr="00507989">
        <w:t>continued</w:t>
      </w:r>
      <w:r>
        <w:t xml:space="preserve"> </w:t>
      </w:r>
      <w:r w:rsidRPr="00507989">
        <w:t>to</w:t>
      </w:r>
      <w:r>
        <w:t xml:space="preserve"> </w:t>
      </w:r>
      <w:r w:rsidRPr="00507989">
        <w:t>rise</w:t>
      </w:r>
      <w:r>
        <w:t xml:space="preserve"> even as </w:t>
      </w:r>
      <w:r w:rsidRPr="00507989">
        <w:t>emissions</w:t>
      </w:r>
      <w:r>
        <w:t xml:space="preserve"> </w:t>
      </w:r>
      <w:r w:rsidRPr="00507989">
        <w:t>from</w:t>
      </w:r>
      <w:r>
        <w:t xml:space="preserve"> </w:t>
      </w:r>
      <w:r w:rsidRPr="00507989">
        <w:t>other</w:t>
      </w:r>
      <w:r>
        <w:t xml:space="preserve"> </w:t>
      </w:r>
      <w:r w:rsidRPr="00507989">
        <w:t>sectors</w:t>
      </w:r>
      <w:r>
        <w:t xml:space="preserve"> </w:t>
      </w:r>
      <w:r w:rsidRPr="00507989">
        <w:t>stabilised</w:t>
      </w:r>
      <w:r>
        <w:t xml:space="preserve"> </w:t>
      </w:r>
      <w:r w:rsidRPr="00507989">
        <w:t>or</w:t>
      </w:r>
      <w:r>
        <w:t xml:space="preserve"> </w:t>
      </w:r>
      <w:r w:rsidRPr="00507989">
        <w:t>decreased.</w:t>
      </w:r>
      <w:r>
        <w:t xml:space="preserve"> </w:t>
      </w:r>
    </w:p>
    <w:p w14:paraId="4042ED98" w14:textId="15B28B47" w:rsidR="00E65DA0" w:rsidRDefault="00AC46EA" w:rsidP="00E65DA0">
      <w:r>
        <w:t>G</w:t>
      </w:r>
      <w:r w:rsidR="00E65DA0">
        <w:t xml:space="preserve">ross </w:t>
      </w:r>
      <w:r w:rsidR="00E65DA0" w:rsidRPr="00507989">
        <w:t>emissions</w:t>
      </w:r>
      <w:r w:rsidR="00E65DA0">
        <w:t xml:space="preserve"> </w:t>
      </w:r>
      <w:r w:rsidR="00E65DA0" w:rsidRPr="00507989">
        <w:t>are</w:t>
      </w:r>
      <w:r w:rsidR="00E65DA0">
        <w:t xml:space="preserve"> </w:t>
      </w:r>
      <w:r w:rsidR="00E65DA0" w:rsidRPr="00507989">
        <w:t>projected</w:t>
      </w:r>
      <w:r w:rsidR="00E65DA0">
        <w:t xml:space="preserve"> </w:t>
      </w:r>
      <w:r w:rsidR="00E65DA0" w:rsidRPr="00507989">
        <w:t>to</w:t>
      </w:r>
      <w:r w:rsidR="00E65DA0">
        <w:t xml:space="preserve"> </w:t>
      </w:r>
      <w:r w:rsidR="00E65DA0" w:rsidRPr="00507989">
        <w:t>decrease</w:t>
      </w:r>
      <w:r w:rsidR="00E65DA0">
        <w:t xml:space="preserve"> </w:t>
      </w:r>
      <w:r w:rsidR="00E65DA0" w:rsidRPr="00507989">
        <w:t>as</w:t>
      </w:r>
      <w:r w:rsidR="00E65DA0">
        <w:t xml:space="preserve"> </w:t>
      </w:r>
      <w:r w:rsidR="00E65DA0" w:rsidRPr="00507989">
        <w:t>a</w:t>
      </w:r>
      <w:r w:rsidR="00E65DA0">
        <w:t xml:space="preserve"> </w:t>
      </w:r>
      <w:r w:rsidR="00E65DA0" w:rsidRPr="00507989">
        <w:t>result</w:t>
      </w:r>
      <w:r w:rsidR="00E65DA0">
        <w:t xml:space="preserve"> </w:t>
      </w:r>
      <w:r w:rsidR="00E65DA0" w:rsidRPr="00507989">
        <w:t>of</w:t>
      </w:r>
      <w:r w:rsidR="00E65DA0">
        <w:t xml:space="preserve"> </w:t>
      </w:r>
      <w:r w:rsidR="00E65DA0" w:rsidRPr="00507989">
        <w:t>current</w:t>
      </w:r>
      <w:r w:rsidR="00E65DA0">
        <w:t xml:space="preserve"> </w:t>
      </w:r>
      <w:r w:rsidR="007A2586">
        <w:t>government</w:t>
      </w:r>
      <w:r w:rsidR="00E65DA0">
        <w:t xml:space="preserve"> </w:t>
      </w:r>
      <w:r w:rsidR="00E65DA0" w:rsidRPr="00507989">
        <w:t>policy</w:t>
      </w:r>
      <w:r w:rsidR="00E65DA0">
        <w:t>. However</w:t>
      </w:r>
      <w:r w:rsidR="00E65DA0" w:rsidRPr="00507989">
        <w:t>,</w:t>
      </w:r>
      <w:r w:rsidR="00E65DA0">
        <w:t xml:space="preserve"> </w:t>
      </w:r>
      <w:r w:rsidR="00E65DA0" w:rsidRPr="00507989">
        <w:t>this</w:t>
      </w:r>
      <w:r w:rsidR="00E65DA0">
        <w:t xml:space="preserve"> </w:t>
      </w:r>
      <w:r w:rsidR="00E65DA0" w:rsidRPr="00507989">
        <w:t>decrease</w:t>
      </w:r>
      <w:r w:rsidR="00E65DA0">
        <w:t xml:space="preserve"> </w:t>
      </w:r>
      <w:r w:rsidR="00E65DA0" w:rsidRPr="00507989">
        <w:t>would</w:t>
      </w:r>
      <w:r w:rsidR="00E65DA0">
        <w:t xml:space="preserve"> </w:t>
      </w:r>
      <w:r w:rsidR="00E65DA0" w:rsidRPr="00507989">
        <w:t>not</w:t>
      </w:r>
      <w:r w:rsidR="00E65DA0">
        <w:t xml:space="preserve"> </w:t>
      </w:r>
      <w:r w:rsidR="00E65DA0" w:rsidRPr="00507989">
        <w:t>be</w:t>
      </w:r>
      <w:r w:rsidR="00E65DA0">
        <w:t xml:space="preserve"> </w:t>
      </w:r>
      <w:r w:rsidR="00E65DA0" w:rsidRPr="00507989">
        <w:t>enough</w:t>
      </w:r>
      <w:r w:rsidR="00E65DA0">
        <w:t xml:space="preserve"> </w:t>
      </w:r>
      <w:r w:rsidR="00E65DA0" w:rsidRPr="00507989">
        <w:t>to</w:t>
      </w:r>
      <w:r w:rsidR="00E65DA0">
        <w:t xml:space="preserve"> </w:t>
      </w:r>
      <w:r w:rsidR="00E65DA0" w:rsidRPr="00507989">
        <w:t>meet</w:t>
      </w:r>
      <w:r w:rsidR="00E65DA0">
        <w:t xml:space="preserve"> </w:t>
      </w:r>
      <w:r>
        <w:t>the country’</w:t>
      </w:r>
      <w:r w:rsidR="00E65DA0" w:rsidRPr="00507989">
        <w:t>s</w:t>
      </w:r>
      <w:r w:rsidR="00E65DA0">
        <w:t xml:space="preserve"> </w:t>
      </w:r>
      <w:r w:rsidR="00E65DA0" w:rsidRPr="00507989">
        <w:t>2030</w:t>
      </w:r>
      <w:r w:rsidR="00E65DA0">
        <w:t xml:space="preserve"> </w:t>
      </w:r>
      <w:r w:rsidR="00E65DA0" w:rsidRPr="00507989">
        <w:t>and</w:t>
      </w:r>
      <w:r w:rsidR="00E65DA0">
        <w:t xml:space="preserve"> </w:t>
      </w:r>
      <w:r w:rsidR="00E65DA0" w:rsidRPr="00507989">
        <w:t>2050</w:t>
      </w:r>
      <w:r w:rsidR="00E65DA0">
        <w:t xml:space="preserve"> </w:t>
      </w:r>
      <w:r w:rsidR="00E65DA0" w:rsidRPr="00507989">
        <w:t>emissions</w:t>
      </w:r>
      <w:r w:rsidR="00E65DA0">
        <w:t xml:space="preserve"> </w:t>
      </w:r>
      <w:r w:rsidR="00E65DA0" w:rsidRPr="00507989">
        <w:t>reduction</w:t>
      </w:r>
      <w:r w:rsidR="00E65DA0">
        <w:t xml:space="preserve"> </w:t>
      </w:r>
      <w:r w:rsidR="00E65DA0" w:rsidRPr="00507989">
        <w:t>targets</w:t>
      </w:r>
      <w:r w:rsidR="00E65DA0">
        <w:t xml:space="preserve"> </w:t>
      </w:r>
      <w:r w:rsidR="00E65DA0" w:rsidRPr="00507989">
        <w:t>for</w:t>
      </w:r>
      <w:r w:rsidR="00E65DA0">
        <w:t xml:space="preserve"> </w:t>
      </w:r>
      <w:r w:rsidR="00E65DA0" w:rsidRPr="00507989">
        <w:t>biogenic</w:t>
      </w:r>
      <w:r w:rsidR="00E65DA0">
        <w:t xml:space="preserve"> </w:t>
      </w:r>
      <w:r w:rsidR="00E65DA0" w:rsidRPr="00507989">
        <w:t>methane</w:t>
      </w:r>
      <w:r w:rsidR="00E65DA0">
        <w:t xml:space="preserve"> </w:t>
      </w:r>
      <w:r w:rsidR="00E65DA0" w:rsidRPr="00507989">
        <w:t>and</w:t>
      </w:r>
      <w:r w:rsidR="00E65DA0">
        <w:t xml:space="preserve"> long-lived </w:t>
      </w:r>
      <w:r w:rsidR="00E65DA0" w:rsidRPr="00507989">
        <w:t>gases.</w:t>
      </w:r>
      <w:r w:rsidR="00E65DA0">
        <w:t xml:space="preserve"> </w:t>
      </w:r>
    </w:p>
    <w:p w14:paraId="3B44D2EF" w14:textId="2C5ED666" w:rsidR="0091465D" w:rsidRDefault="00384167" w:rsidP="007574F6">
      <w:pPr>
        <w:pStyle w:val="Caption"/>
      </w:pPr>
      <w:bookmarkStart w:id="30" w:name="_Ref58148582"/>
      <w:bookmarkStart w:id="31" w:name="_Ref58333318"/>
      <w:r>
        <w:rPr>
          <w:noProof/>
        </w:rPr>
        <w:lastRenderedPageBreak/>
        <w:drawing>
          <wp:inline distT="0" distB="0" distL="0" distR="0" wp14:anchorId="337440AA" wp14:editId="064D8CEB">
            <wp:extent cx="5724940" cy="2761615"/>
            <wp:effectExtent l="0" t="0" r="952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5">
                      <a:extLst>
                        <a:ext uri="{28A0092B-C50C-407E-A947-70E740481C1C}">
                          <a14:useLocalDpi xmlns:a14="http://schemas.microsoft.com/office/drawing/2010/main" val="0"/>
                        </a:ext>
                      </a:extLst>
                    </a:blip>
                    <a:srcRect r="10221"/>
                    <a:stretch>
                      <a:fillRect/>
                    </a:stretch>
                  </pic:blipFill>
                  <pic:spPr>
                    <a:xfrm>
                      <a:off x="0" y="0"/>
                      <a:ext cx="5724940" cy="2761615"/>
                    </a:xfrm>
                    <a:prstGeom prst="rect">
                      <a:avLst/>
                    </a:prstGeom>
                  </pic:spPr>
                </pic:pic>
              </a:graphicData>
            </a:graphic>
          </wp:inline>
        </w:drawing>
      </w:r>
    </w:p>
    <w:p w14:paraId="254DBDA8" w14:textId="6829B17B" w:rsidR="009E0CF4" w:rsidRDefault="00E65DA0" w:rsidP="00E65DA0">
      <w:pPr>
        <w:pStyle w:val="Caption"/>
      </w:pPr>
      <w:r>
        <w:t xml:space="preserve">Figure </w:t>
      </w:r>
      <w:r w:rsidR="00AC0EFC">
        <w:t>2</w:t>
      </w:r>
      <w:bookmarkEnd w:id="30"/>
      <w:r w:rsidR="00AC0EFC">
        <w:t>.</w:t>
      </w:r>
      <w:r w:rsidR="00454D64">
        <w:t>1</w:t>
      </w:r>
      <w:r>
        <w:t xml:space="preserve">: The sources of </w:t>
      </w:r>
      <w:r w:rsidR="007A54AD">
        <w:t xml:space="preserve">gross </w:t>
      </w:r>
      <w:r>
        <w:t>long-lived greenhouse gases and biogenic methane in 2018</w:t>
      </w:r>
      <w:bookmarkEnd w:id="31"/>
      <w:r w:rsidR="00033817">
        <w:t xml:space="preserve"> broken down by sectors. </w:t>
      </w:r>
      <w:r w:rsidR="006F0902">
        <w:t>Note</w:t>
      </w:r>
      <w:r w:rsidR="005D11A4">
        <w:t>:</w:t>
      </w:r>
      <w:r w:rsidR="006F0902">
        <w:t xml:space="preserve"> building emissions </w:t>
      </w:r>
      <w:r w:rsidR="00EB649D">
        <w:t>relates to their</w:t>
      </w:r>
      <w:r w:rsidR="006F0902">
        <w:t xml:space="preserve"> energy use</w:t>
      </w:r>
      <w:r w:rsidR="008A389A">
        <w:t>,</w:t>
      </w:r>
      <w:r w:rsidR="006F0902">
        <w:t xml:space="preserve"> but no</w:t>
      </w:r>
      <w:r w:rsidR="00EB649D">
        <w:t>t construction.</w:t>
      </w:r>
      <w:r w:rsidR="00AE5ADF">
        <w:t xml:space="preserve"> </w:t>
      </w:r>
      <w:r w:rsidR="007E4B1B">
        <w:t xml:space="preserve">Emissions are </w:t>
      </w:r>
      <w:r w:rsidR="00C850CD">
        <w:t>presented</w:t>
      </w:r>
      <w:r w:rsidR="00EA662A">
        <w:t xml:space="preserve"> differently</w:t>
      </w:r>
      <w:r w:rsidR="000F3CB5">
        <w:t xml:space="preserve"> to the New Zealand </w:t>
      </w:r>
      <w:r w:rsidR="00EA662A">
        <w:t xml:space="preserve">Greenhouse Gas </w:t>
      </w:r>
      <w:r w:rsidR="000F3CB5">
        <w:t xml:space="preserve">Inventory, </w:t>
      </w:r>
      <w:r w:rsidR="003043B0">
        <w:t>see</w:t>
      </w:r>
      <w:r w:rsidR="000F3CB5">
        <w:t xml:space="preserve"> Evidence Report</w:t>
      </w:r>
      <w:r w:rsidR="003043B0">
        <w:t xml:space="preserve"> for info</w:t>
      </w:r>
      <w:r w:rsidR="000F3CB5">
        <w:t xml:space="preserve">. </w:t>
      </w:r>
    </w:p>
    <w:p w14:paraId="31D26F0A" w14:textId="22A4BF5B" w:rsidR="00E65DA0" w:rsidRDefault="00BF31F4" w:rsidP="00730A86">
      <w:pPr>
        <w:pStyle w:val="Content"/>
        <w:spacing w:before="0"/>
        <w:jc w:val="right"/>
      </w:pPr>
      <w:r>
        <w:t xml:space="preserve">Source: New Zealand’s Greenhouse Gas Inventory. </w:t>
      </w:r>
    </w:p>
    <w:p w14:paraId="45976568" w14:textId="77777777" w:rsidR="00C965DF" w:rsidRDefault="00C965DF" w:rsidP="00730A86">
      <w:pPr>
        <w:pStyle w:val="Content"/>
        <w:spacing w:before="0"/>
        <w:jc w:val="right"/>
      </w:pPr>
    </w:p>
    <w:p w14:paraId="0CB0397B" w14:textId="77777777" w:rsidR="005D11A4" w:rsidRPr="00822465" w:rsidRDefault="005D11A4" w:rsidP="00822465">
      <w:pPr>
        <w:pStyle w:val="Content"/>
        <w:spacing w:before="0"/>
        <w:rPr>
          <w:sz w:val="10"/>
          <w:szCs w:val="10"/>
        </w:rPr>
      </w:pPr>
    </w:p>
    <w:tbl>
      <w:tblPr>
        <w:tblStyle w:val="GridTable4-Accent6"/>
        <w:tblW w:w="0" w:type="auto"/>
        <w:tblLook w:val="04A0" w:firstRow="1" w:lastRow="0" w:firstColumn="1" w:lastColumn="0" w:noHBand="0" w:noVBand="1"/>
      </w:tblPr>
      <w:tblGrid>
        <w:gridCol w:w="9016"/>
      </w:tblGrid>
      <w:tr w:rsidR="000D3A9D" w:rsidRPr="00EA4071" w14:paraId="6DDDE133" w14:textId="77777777" w:rsidTr="00B06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D75DE4C" w14:textId="55077B7C" w:rsidR="000D3A9D" w:rsidRPr="00EA4071" w:rsidRDefault="00901C0B" w:rsidP="00B06594">
            <w:pPr>
              <w:pStyle w:val="Content"/>
              <w:spacing w:before="0" w:after="0"/>
              <w:jc w:val="center"/>
              <w:rPr>
                <w:b w:val="0"/>
                <w:sz w:val="28"/>
                <w:szCs w:val="28"/>
              </w:rPr>
            </w:pPr>
            <w:r>
              <w:rPr>
                <w:b w:val="0"/>
                <w:sz w:val="28"/>
                <w:szCs w:val="28"/>
                <w:lang w:val="en-US"/>
              </w:rPr>
              <w:t>Box</w:t>
            </w:r>
            <w:r w:rsidR="00873545">
              <w:rPr>
                <w:b w:val="0"/>
                <w:sz w:val="28"/>
                <w:szCs w:val="28"/>
                <w:lang w:val="en-US"/>
              </w:rPr>
              <w:t xml:space="preserve"> 2.1</w:t>
            </w:r>
            <w:r>
              <w:rPr>
                <w:b w:val="0"/>
                <w:sz w:val="28"/>
                <w:szCs w:val="28"/>
                <w:lang w:val="en-US"/>
              </w:rPr>
              <w:t xml:space="preserve">: </w:t>
            </w:r>
            <w:r w:rsidR="000F3C81">
              <w:rPr>
                <w:b w:val="0"/>
                <w:sz w:val="28"/>
                <w:szCs w:val="28"/>
                <w:lang w:val="en-US"/>
              </w:rPr>
              <w:t xml:space="preserve">How we present </w:t>
            </w:r>
            <w:r w:rsidR="00A50F01">
              <w:rPr>
                <w:b w:val="0"/>
                <w:sz w:val="28"/>
                <w:szCs w:val="28"/>
                <w:lang w:val="en-US"/>
              </w:rPr>
              <w:t>emissions in this report</w:t>
            </w:r>
          </w:p>
        </w:tc>
      </w:tr>
      <w:tr w:rsidR="000D3A9D" w:rsidRPr="00EA4071" w14:paraId="6F84A072" w14:textId="77777777" w:rsidTr="00B06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68EE98E" w14:textId="3D984E3E" w:rsidR="00AB10F8" w:rsidRPr="009800E6" w:rsidRDefault="00AB10F8" w:rsidP="00DF5409">
            <w:pPr>
              <w:pStyle w:val="Content"/>
            </w:pPr>
            <w:r w:rsidRPr="00AB10F8">
              <w:t>Gross and net emissions</w:t>
            </w:r>
          </w:p>
          <w:p w14:paraId="2F6E5378" w14:textId="77777777" w:rsidR="00F3513E" w:rsidRDefault="00D772AC" w:rsidP="00DF5409">
            <w:pPr>
              <w:pStyle w:val="Content"/>
            </w:pPr>
            <w:r>
              <w:rPr>
                <w:b w:val="0"/>
                <w:bCs w:val="0"/>
              </w:rPr>
              <w:t xml:space="preserve">We present both gross and net emissions in this report. </w:t>
            </w:r>
            <w:r w:rsidR="00AB10F8">
              <w:rPr>
                <w:b w:val="0"/>
                <w:bCs w:val="0"/>
              </w:rPr>
              <w:t xml:space="preserve">Gross emissions </w:t>
            </w:r>
            <w:r w:rsidR="00007636">
              <w:rPr>
                <w:b w:val="0"/>
                <w:bCs w:val="0"/>
              </w:rPr>
              <w:t>include</w:t>
            </w:r>
            <w:r w:rsidR="009115A6">
              <w:rPr>
                <w:b w:val="0"/>
                <w:bCs w:val="0"/>
              </w:rPr>
              <w:t>s</w:t>
            </w:r>
            <w:r w:rsidR="00007636">
              <w:rPr>
                <w:b w:val="0"/>
                <w:bCs w:val="0"/>
              </w:rPr>
              <w:t xml:space="preserve"> emissions from</w:t>
            </w:r>
            <w:r w:rsidR="00A0541A">
              <w:rPr>
                <w:b w:val="0"/>
                <w:bCs w:val="0"/>
              </w:rPr>
              <w:t xml:space="preserve"> </w:t>
            </w:r>
            <w:r w:rsidR="00007636">
              <w:rPr>
                <w:b w:val="0"/>
                <w:bCs w:val="0"/>
              </w:rPr>
              <w:t>a</w:t>
            </w:r>
            <w:r w:rsidR="00E92057">
              <w:rPr>
                <w:b w:val="0"/>
                <w:bCs w:val="0"/>
              </w:rPr>
              <w:t>ll sectors, including from</w:t>
            </w:r>
            <w:r w:rsidR="00F3513E">
              <w:rPr>
                <w:b w:val="0"/>
                <w:bCs w:val="0"/>
              </w:rPr>
              <w:t>:</w:t>
            </w:r>
          </w:p>
          <w:p w14:paraId="1EAD226F" w14:textId="5F51FF75" w:rsidR="00F3513E" w:rsidRDefault="00F3513E" w:rsidP="00655722">
            <w:pPr>
              <w:pStyle w:val="Content"/>
              <w:numPr>
                <w:ilvl w:val="0"/>
                <w:numId w:val="47"/>
              </w:numPr>
              <w:ind w:left="714" w:hanging="357"/>
              <w:contextualSpacing/>
            </w:pPr>
            <w:r>
              <w:rPr>
                <w:b w:val="0"/>
                <w:bCs w:val="0"/>
              </w:rPr>
              <w:t>t</w:t>
            </w:r>
            <w:r w:rsidR="003E491E">
              <w:rPr>
                <w:b w:val="0"/>
                <w:bCs w:val="0"/>
              </w:rPr>
              <w:t>ransport</w:t>
            </w:r>
          </w:p>
          <w:p w14:paraId="198334F0" w14:textId="18D55855" w:rsidR="00F3513E" w:rsidRDefault="00F3513E" w:rsidP="00655722">
            <w:pPr>
              <w:pStyle w:val="Content"/>
              <w:numPr>
                <w:ilvl w:val="0"/>
                <w:numId w:val="47"/>
              </w:numPr>
              <w:ind w:left="714" w:hanging="357"/>
              <w:contextualSpacing/>
            </w:pPr>
            <w:r>
              <w:rPr>
                <w:b w:val="0"/>
                <w:bCs w:val="0"/>
              </w:rPr>
              <w:t>b</w:t>
            </w:r>
            <w:r w:rsidR="003E491E">
              <w:rPr>
                <w:b w:val="0"/>
                <w:bCs w:val="0"/>
              </w:rPr>
              <w:t>uildings</w:t>
            </w:r>
          </w:p>
          <w:p w14:paraId="7B5E4F16" w14:textId="678E4D65" w:rsidR="00F3513E" w:rsidRDefault="00F3513E" w:rsidP="00655722">
            <w:pPr>
              <w:pStyle w:val="Content"/>
              <w:numPr>
                <w:ilvl w:val="0"/>
                <w:numId w:val="47"/>
              </w:numPr>
              <w:ind w:left="714" w:hanging="357"/>
              <w:contextualSpacing/>
            </w:pPr>
            <w:r>
              <w:rPr>
                <w:b w:val="0"/>
                <w:bCs w:val="0"/>
              </w:rPr>
              <w:t>heat, industry and power</w:t>
            </w:r>
          </w:p>
          <w:p w14:paraId="3B027D82" w14:textId="70240796" w:rsidR="00F3513E" w:rsidRDefault="00F3513E" w:rsidP="00655722">
            <w:pPr>
              <w:pStyle w:val="Content"/>
              <w:numPr>
                <w:ilvl w:val="0"/>
                <w:numId w:val="47"/>
              </w:numPr>
              <w:ind w:left="714" w:hanging="357"/>
              <w:contextualSpacing/>
            </w:pPr>
            <w:r>
              <w:rPr>
                <w:b w:val="0"/>
                <w:bCs w:val="0"/>
              </w:rPr>
              <w:t>agriculture</w:t>
            </w:r>
          </w:p>
          <w:p w14:paraId="3D60DFAC" w14:textId="19CF0D16" w:rsidR="00AB10F8" w:rsidRDefault="00F3513E" w:rsidP="00655722">
            <w:pPr>
              <w:pStyle w:val="Content"/>
              <w:numPr>
                <w:ilvl w:val="0"/>
                <w:numId w:val="47"/>
              </w:numPr>
              <w:ind w:left="714" w:hanging="357"/>
              <w:contextualSpacing/>
            </w:pPr>
            <w:r>
              <w:rPr>
                <w:b w:val="0"/>
                <w:bCs w:val="0"/>
              </w:rPr>
              <w:t>waste and F-gases.</w:t>
            </w:r>
          </w:p>
          <w:p w14:paraId="7689A676" w14:textId="6B1D9F37" w:rsidR="008A0AB6" w:rsidRDefault="008A0AB6" w:rsidP="00DF5409">
            <w:pPr>
              <w:pStyle w:val="Content"/>
            </w:pPr>
            <w:r>
              <w:rPr>
                <w:b w:val="0"/>
                <w:bCs w:val="0"/>
              </w:rPr>
              <w:t xml:space="preserve">Net emissions </w:t>
            </w:r>
            <w:r w:rsidR="00F25319">
              <w:rPr>
                <w:b w:val="0"/>
                <w:bCs w:val="0"/>
              </w:rPr>
              <w:t>refers to</w:t>
            </w:r>
            <w:r w:rsidR="005A22B6">
              <w:rPr>
                <w:b w:val="0"/>
                <w:bCs w:val="0"/>
              </w:rPr>
              <w:t xml:space="preserve"> </w:t>
            </w:r>
            <w:r w:rsidR="0042259C">
              <w:rPr>
                <w:b w:val="0"/>
                <w:bCs w:val="0"/>
              </w:rPr>
              <w:t xml:space="preserve">gross emissions </w:t>
            </w:r>
            <w:r w:rsidR="00EE2DFF">
              <w:rPr>
                <w:b w:val="0"/>
                <w:bCs w:val="0"/>
              </w:rPr>
              <w:t>combined with</w:t>
            </w:r>
            <w:r w:rsidR="005A22B6">
              <w:rPr>
                <w:b w:val="0"/>
                <w:bCs w:val="0"/>
              </w:rPr>
              <w:t xml:space="preserve"> </w:t>
            </w:r>
            <w:r w:rsidR="009907D9">
              <w:rPr>
                <w:b w:val="0"/>
                <w:bCs w:val="0"/>
              </w:rPr>
              <w:t xml:space="preserve">emissions and removals </w:t>
            </w:r>
            <w:r w:rsidR="002B3DF6">
              <w:rPr>
                <w:b w:val="0"/>
                <w:bCs w:val="0"/>
              </w:rPr>
              <w:t>through</w:t>
            </w:r>
            <w:r w:rsidR="009907D9">
              <w:rPr>
                <w:b w:val="0"/>
                <w:bCs w:val="0"/>
              </w:rPr>
              <w:t xml:space="preserve"> land-use</w:t>
            </w:r>
            <w:r w:rsidR="007E787D">
              <w:rPr>
                <w:b w:val="0"/>
                <w:bCs w:val="0"/>
              </w:rPr>
              <w:t xml:space="preserve">, land-use change and forestry. In Aotearoa, </w:t>
            </w:r>
            <w:r w:rsidR="00DD1B6E">
              <w:rPr>
                <w:b w:val="0"/>
                <w:bCs w:val="0"/>
              </w:rPr>
              <w:t>emissions are mainly removed by</w:t>
            </w:r>
            <w:r w:rsidR="008D2337">
              <w:rPr>
                <w:b w:val="0"/>
                <w:bCs w:val="0"/>
              </w:rPr>
              <w:t xml:space="preserve"> forests</w:t>
            </w:r>
            <w:r w:rsidR="00DD1B6E">
              <w:rPr>
                <w:b w:val="0"/>
                <w:bCs w:val="0"/>
              </w:rPr>
              <w:t>, which</w:t>
            </w:r>
            <w:r w:rsidR="008D2337">
              <w:rPr>
                <w:b w:val="0"/>
                <w:bCs w:val="0"/>
              </w:rPr>
              <w:t xml:space="preserve"> sequester carbon dioxide from the atmosphere as they grow. </w:t>
            </w:r>
          </w:p>
          <w:p w14:paraId="085EE52C" w14:textId="29A65F01" w:rsidR="00A50F01" w:rsidRDefault="00A50F01" w:rsidP="00DF5409">
            <w:pPr>
              <w:pStyle w:val="Content"/>
            </w:pPr>
            <w:r>
              <w:t>Split-gas approach</w:t>
            </w:r>
          </w:p>
          <w:p w14:paraId="3A4D855D" w14:textId="5F766FFD" w:rsidR="007B15D9" w:rsidRPr="00097335" w:rsidRDefault="000D3A9D" w:rsidP="00DF5409">
            <w:pPr>
              <w:pStyle w:val="Content"/>
              <w:rPr>
                <w:b w:val="0"/>
                <w:bCs w:val="0"/>
              </w:rPr>
            </w:pPr>
            <w:r w:rsidRPr="00CD0DF6">
              <w:rPr>
                <w:b w:val="0"/>
                <w:bCs w:val="0"/>
              </w:rPr>
              <w:t xml:space="preserve">Throughout this report we present biogenic methane emissions in units of </w:t>
            </w:r>
            <w:proofErr w:type="spellStart"/>
            <w:r w:rsidRPr="00CD0DF6">
              <w:rPr>
                <w:b w:val="0"/>
                <w:bCs w:val="0"/>
              </w:rPr>
              <w:t>megatonnes</w:t>
            </w:r>
            <w:proofErr w:type="spellEnd"/>
            <w:r w:rsidRPr="00CD0DF6">
              <w:rPr>
                <w:b w:val="0"/>
                <w:bCs w:val="0"/>
              </w:rPr>
              <w:t xml:space="preserve"> of methane (Mt CH</w:t>
            </w:r>
            <w:r w:rsidRPr="00CD0DF6">
              <w:rPr>
                <w:b w:val="0"/>
                <w:bCs w:val="0"/>
                <w:vertAlign w:val="subscript"/>
              </w:rPr>
              <w:t>4</w:t>
            </w:r>
            <w:r w:rsidRPr="00CD0DF6">
              <w:rPr>
                <w:b w:val="0"/>
                <w:bCs w:val="0"/>
              </w:rPr>
              <w:t xml:space="preserve">) to take account of the short-lived nature of the gas and for consistency with the split-gas target. </w:t>
            </w:r>
          </w:p>
          <w:p w14:paraId="3EF3E62A" w14:textId="23B37E92" w:rsidR="001C332C" w:rsidRPr="00097335" w:rsidRDefault="000D3A9D" w:rsidP="00DF5409">
            <w:pPr>
              <w:pStyle w:val="Content"/>
              <w:rPr>
                <w:b w:val="0"/>
                <w:bCs w:val="0"/>
              </w:rPr>
            </w:pPr>
            <w:r w:rsidRPr="00CD0DF6">
              <w:rPr>
                <w:b w:val="0"/>
                <w:bCs w:val="0"/>
              </w:rPr>
              <w:t>Long-lived greenhouse gases, and our proposed all gases emissions budgets</w:t>
            </w:r>
            <w:r w:rsidR="007D34A4">
              <w:rPr>
                <w:b w:val="0"/>
                <w:bCs w:val="0"/>
              </w:rPr>
              <w:t>,</w:t>
            </w:r>
            <w:r w:rsidRPr="00CD0DF6">
              <w:rPr>
                <w:b w:val="0"/>
                <w:bCs w:val="0"/>
              </w:rPr>
              <w:t xml:space="preserve"> are expressed in units of </w:t>
            </w:r>
            <w:proofErr w:type="spellStart"/>
            <w:r w:rsidRPr="00CD0DF6">
              <w:rPr>
                <w:b w:val="0"/>
                <w:bCs w:val="0"/>
              </w:rPr>
              <w:t>megatonnes</w:t>
            </w:r>
            <w:proofErr w:type="spellEnd"/>
            <w:r w:rsidRPr="00CD0DF6">
              <w:rPr>
                <w:b w:val="0"/>
                <w:bCs w:val="0"/>
              </w:rPr>
              <w:t xml:space="preserve"> of carbon dioxide equivalent (Mt CO</w:t>
            </w:r>
            <w:r w:rsidRPr="00CD0DF6">
              <w:rPr>
                <w:b w:val="0"/>
                <w:bCs w:val="0"/>
                <w:vertAlign w:val="subscript"/>
              </w:rPr>
              <w:t>2</w:t>
            </w:r>
            <w:r w:rsidRPr="00CD0DF6">
              <w:rPr>
                <w:b w:val="0"/>
                <w:bCs w:val="0"/>
              </w:rPr>
              <w:t>e)</w:t>
            </w:r>
            <w:r w:rsidR="001C332C" w:rsidRPr="00CD0DF6">
              <w:rPr>
                <w:b w:val="0"/>
                <w:bCs w:val="0"/>
              </w:rPr>
              <w:t>.</w:t>
            </w:r>
          </w:p>
          <w:p w14:paraId="5F5DC86F" w14:textId="6E2C99E2" w:rsidR="001C332C" w:rsidRDefault="00CD0DF6" w:rsidP="00BE248A">
            <w:pPr>
              <w:pStyle w:val="Content"/>
              <w:keepNext/>
            </w:pPr>
            <w:r>
              <w:lastRenderedPageBreak/>
              <w:t>Comparing gases using Global Warming Potential over 100 years (</w:t>
            </w:r>
            <w:r w:rsidR="000559E4">
              <w:t>GWP</w:t>
            </w:r>
            <w:r w:rsidR="000559E4" w:rsidRPr="00CD0DF6">
              <w:rPr>
                <w:vertAlign w:val="subscript"/>
              </w:rPr>
              <w:t>100</w:t>
            </w:r>
            <w:r>
              <w:t>)</w:t>
            </w:r>
          </w:p>
          <w:p w14:paraId="2B90549E" w14:textId="778A3AA7" w:rsidR="007B15D9" w:rsidRPr="00CD0DF6" w:rsidRDefault="006549F0" w:rsidP="00DF5409">
            <w:pPr>
              <w:pStyle w:val="Content"/>
              <w:rPr>
                <w:b w:val="0"/>
                <w:bCs w:val="0"/>
              </w:rPr>
            </w:pPr>
            <w:r w:rsidRPr="00CD0DF6">
              <w:rPr>
                <w:b w:val="0"/>
                <w:bCs w:val="0"/>
              </w:rPr>
              <w:t>When presenting numbers in Mt CO</w:t>
            </w:r>
            <w:r w:rsidRPr="00CD0DF6">
              <w:rPr>
                <w:b w:val="0"/>
                <w:bCs w:val="0"/>
                <w:vertAlign w:val="subscript"/>
              </w:rPr>
              <w:t>2</w:t>
            </w:r>
            <w:r w:rsidRPr="00CD0DF6">
              <w:rPr>
                <w:b w:val="0"/>
                <w:bCs w:val="0"/>
              </w:rPr>
              <w:t>e, these numbers are</w:t>
            </w:r>
            <w:r w:rsidR="00B5636A" w:rsidRPr="00CD0DF6">
              <w:rPr>
                <w:b w:val="0"/>
                <w:bCs w:val="0"/>
              </w:rPr>
              <w:t xml:space="preserve"> </w:t>
            </w:r>
            <w:r w:rsidR="000D3A9D" w:rsidRPr="00CD0DF6">
              <w:rPr>
                <w:b w:val="0"/>
                <w:bCs w:val="0"/>
              </w:rPr>
              <w:t>based on the GWP</w:t>
            </w:r>
            <w:r w:rsidR="000D3A9D" w:rsidRPr="00CD0DF6">
              <w:rPr>
                <w:b w:val="0"/>
                <w:bCs w:val="0"/>
                <w:vertAlign w:val="subscript"/>
              </w:rPr>
              <w:t>100</w:t>
            </w:r>
            <w:r w:rsidR="000D3A9D" w:rsidRPr="00CD0DF6">
              <w:rPr>
                <w:b w:val="0"/>
                <w:bCs w:val="0"/>
              </w:rPr>
              <w:t xml:space="preserve"> metric values from the</w:t>
            </w:r>
            <w:r w:rsidR="002F78F8">
              <w:rPr>
                <w:b w:val="0"/>
                <w:bCs w:val="0"/>
              </w:rPr>
              <w:t xml:space="preserve"> Intergovernmental Panel on Climate Change</w:t>
            </w:r>
            <w:r w:rsidR="0005699B">
              <w:rPr>
                <w:b w:val="0"/>
                <w:bCs w:val="0"/>
              </w:rPr>
              <w:t>’s (IPCC)</w:t>
            </w:r>
            <w:r w:rsidR="000D3A9D" w:rsidRPr="00CD0DF6" w:rsidDel="0005699B">
              <w:rPr>
                <w:b w:val="0"/>
                <w:bCs w:val="0"/>
              </w:rPr>
              <w:t xml:space="preserve"> </w:t>
            </w:r>
            <w:r w:rsidR="000D3A9D" w:rsidRPr="00CD0DF6">
              <w:rPr>
                <w:b w:val="0"/>
                <w:bCs w:val="0"/>
              </w:rPr>
              <w:t xml:space="preserve">4th Assessment Report of the IPCC (AR4). This aligns with </w:t>
            </w:r>
            <w:r w:rsidR="00AC46EA">
              <w:rPr>
                <w:b w:val="0"/>
                <w:bCs w:val="0"/>
              </w:rPr>
              <w:t xml:space="preserve">the country’s </w:t>
            </w:r>
            <w:r w:rsidR="000D3A9D" w:rsidRPr="00CD0DF6">
              <w:rPr>
                <w:b w:val="0"/>
                <w:bCs w:val="0"/>
              </w:rPr>
              <w:t xml:space="preserve">most recent Greenhouse Gas Inventory. </w:t>
            </w:r>
          </w:p>
          <w:p w14:paraId="74154853" w14:textId="3E9FCC83" w:rsidR="00AB10F8" w:rsidRPr="009800E6" w:rsidRDefault="000D3A9D" w:rsidP="00B06594">
            <w:pPr>
              <w:pStyle w:val="Content"/>
            </w:pPr>
            <w:r w:rsidRPr="00CD0DF6">
              <w:rPr>
                <w:b w:val="0"/>
                <w:bCs w:val="0"/>
              </w:rPr>
              <w:t>Emissions generated from 2021 onwards will be reported in the Inventory using more up-to-date GWP</w:t>
            </w:r>
            <w:r w:rsidRPr="00CD0DF6">
              <w:rPr>
                <w:b w:val="0"/>
                <w:bCs w:val="0"/>
                <w:vertAlign w:val="subscript"/>
              </w:rPr>
              <w:t>100</w:t>
            </w:r>
            <w:r w:rsidRPr="00CD0DF6">
              <w:rPr>
                <w:b w:val="0"/>
                <w:bCs w:val="0"/>
              </w:rPr>
              <w:t xml:space="preserve"> values from the IPCC’s 5th Assessment Report (AR5). When we provide our final advice, we will convert the proposed emissions budgets using the AR5 GWP</w:t>
            </w:r>
            <w:r w:rsidRPr="00CD0DF6">
              <w:rPr>
                <w:b w:val="0"/>
                <w:bCs w:val="0"/>
                <w:vertAlign w:val="subscript"/>
              </w:rPr>
              <w:t>100</w:t>
            </w:r>
            <w:r w:rsidRPr="00CD0DF6">
              <w:rPr>
                <w:b w:val="0"/>
                <w:bCs w:val="0"/>
              </w:rPr>
              <w:t xml:space="preserve"> values</w:t>
            </w:r>
            <w:r w:rsidR="00831B94" w:rsidRPr="00CD0DF6">
              <w:rPr>
                <w:b w:val="0"/>
                <w:bCs w:val="0"/>
              </w:rPr>
              <w:t>. We</w:t>
            </w:r>
            <w:r w:rsidRPr="00CD0DF6">
              <w:rPr>
                <w:b w:val="0"/>
                <w:bCs w:val="0"/>
              </w:rPr>
              <w:t xml:space="preserve"> expect that the Government </w:t>
            </w:r>
            <w:r w:rsidR="00FD6D80" w:rsidRPr="00CD0DF6">
              <w:rPr>
                <w:b w:val="0"/>
                <w:bCs w:val="0"/>
              </w:rPr>
              <w:t xml:space="preserve">will </w:t>
            </w:r>
            <w:r w:rsidRPr="00CD0DF6">
              <w:rPr>
                <w:b w:val="0"/>
                <w:bCs w:val="0"/>
              </w:rPr>
              <w:t>set emissions budgets using the GWP</w:t>
            </w:r>
            <w:r w:rsidRPr="00CD0DF6">
              <w:rPr>
                <w:b w:val="0"/>
                <w:bCs w:val="0"/>
                <w:vertAlign w:val="subscript"/>
              </w:rPr>
              <w:t>100</w:t>
            </w:r>
            <w:r w:rsidRPr="00CD0DF6">
              <w:rPr>
                <w:b w:val="0"/>
                <w:bCs w:val="0"/>
              </w:rPr>
              <w:t xml:space="preserve"> metric from AR5 for consistency with the Inventory.</w:t>
            </w:r>
          </w:p>
        </w:tc>
      </w:tr>
    </w:tbl>
    <w:p w14:paraId="70FA96F7" w14:textId="35438A09" w:rsidR="00E65DA0" w:rsidRPr="00E70BE9" w:rsidRDefault="00070173" w:rsidP="00E65DA0">
      <w:pPr>
        <w:pStyle w:val="Heading2"/>
        <w:rPr>
          <w:rFonts w:eastAsia="Times New Roman"/>
          <w:lang w:eastAsia="en-NZ"/>
        </w:rPr>
      </w:pPr>
      <w:bookmarkStart w:id="32" w:name="_Toc57818174"/>
      <w:bookmarkStart w:id="33" w:name="_Toc62650243"/>
      <w:bookmarkStart w:id="34" w:name="_Toc57818178"/>
      <w:r>
        <w:rPr>
          <w:rFonts w:eastAsia="Times New Roman"/>
          <w:lang w:eastAsia="en-NZ"/>
        </w:rPr>
        <w:lastRenderedPageBreak/>
        <w:t xml:space="preserve">2.2 </w:t>
      </w:r>
      <w:r w:rsidR="00E65DA0">
        <w:rPr>
          <w:rFonts w:eastAsia="Times New Roman"/>
          <w:lang w:eastAsia="en-NZ"/>
        </w:rPr>
        <w:t>A</w:t>
      </w:r>
      <w:r w:rsidR="00E65DA0" w:rsidRPr="00E70BE9">
        <w:rPr>
          <w:rFonts w:eastAsia="Times New Roman"/>
          <w:lang w:eastAsia="en-NZ"/>
        </w:rPr>
        <w:t>ccelerat</w:t>
      </w:r>
      <w:r w:rsidR="00E65DA0">
        <w:rPr>
          <w:rFonts w:eastAsia="Times New Roman"/>
          <w:lang w:eastAsia="en-NZ"/>
        </w:rPr>
        <w:t xml:space="preserve">ing </w:t>
      </w:r>
      <w:r w:rsidR="00E65DA0" w:rsidRPr="00E70BE9">
        <w:rPr>
          <w:rFonts w:eastAsia="Times New Roman"/>
          <w:lang w:eastAsia="en-NZ"/>
        </w:rPr>
        <w:t>action</w:t>
      </w:r>
      <w:r w:rsidR="00E65DA0">
        <w:rPr>
          <w:rFonts w:eastAsia="Times New Roman"/>
          <w:lang w:eastAsia="en-NZ"/>
        </w:rPr>
        <w:t xml:space="preserve"> </w:t>
      </w:r>
      <w:bookmarkEnd w:id="32"/>
      <w:r w:rsidR="00E65DA0">
        <w:rPr>
          <w:rFonts w:eastAsia="Times New Roman"/>
          <w:lang w:eastAsia="en-NZ"/>
        </w:rPr>
        <w:t>to reduce emissions</w:t>
      </w:r>
      <w:bookmarkEnd w:id="33"/>
    </w:p>
    <w:p w14:paraId="71AAB21A" w14:textId="5CEB9CFE" w:rsidR="00E65DA0" w:rsidRPr="00E70BE9" w:rsidRDefault="00E65DA0" w:rsidP="00E65DA0">
      <w:r w:rsidRPr="00B75337">
        <w:t>We have developed a set of key principles to help guide our advice and</w:t>
      </w:r>
      <w:r w:rsidRPr="00B75337" w:rsidDel="00257CEE">
        <w:t xml:space="preserve"> </w:t>
      </w:r>
      <w:r w:rsidR="00257CEE">
        <w:t>the</w:t>
      </w:r>
      <w:r w:rsidRPr="00B75337">
        <w:t xml:space="preserve"> transition to a thriving</w:t>
      </w:r>
      <w:r w:rsidR="007C0243">
        <w:t>,</w:t>
      </w:r>
      <w:r w:rsidR="000A354F" w:rsidRPr="000A354F">
        <w:t xml:space="preserve"> </w:t>
      </w:r>
      <w:r w:rsidR="000A354F" w:rsidRPr="00B75337">
        <w:t>climate-resilient</w:t>
      </w:r>
      <w:r w:rsidR="000A354F">
        <w:t xml:space="preserve"> and</w:t>
      </w:r>
      <w:r w:rsidRPr="00B75337">
        <w:t xml:space="preserve"> low emissions </w:t>
      </w:r>
      <w:r w:rsidR="00257CEE">
        <w:t>Aotearoa</w:t>
      </w:r>
      <w:r w:rsidRPr="00B75337">
        <w:t xml:space="preserve">. </w:t>
      </w:r>
      <w:r>
        <w:t>Our key principles are:</w:t>
      </w:r>
    </w:p>
    <w:p w14:paraId="56F7B667" w14:textId="172F96FA" w:rsidR="0050768D" w:rsidRPr="00E70BE9" w:rsidRDefault="00E65DA0" w:rsidP="00655722">
      <w:pPr>
        <w:pStyle w:val="ListParagraph"/>
        <w:numPr>
          <w:ilvl w:val="0"/>
          <w:numId w:val="16"/>
        </w:numPr>
        <w:spacing w:before="120" w:after="120"/>
        <w:ind w:left="714" w:hanging="357"/>
        <w:contextualSpacing w:val="0"/>
      </w:pPr>
      <w:r w:rsidRPr="00912D8A">
        <w:rPr>
          <w:b/>
          <w:bCs/>
        </w:rPr>
        <w:t xml:space="preserve">Principle 1: Align with the 2050 targets. </w:t>
      </w:r>
      <w:r w:rsidRPr="00E70BE9">
        <w:t xml:space="preserve">Aotearoa must </w:t>
      </w:r>
      <w:r>
        <w:t>adopt</w:t>
      </w:r>
      <w:r w:rsidRPr="00E70BE9">
        <w:t xml:space="preserve"> actions t</w:t>
      </w:r>
      <w:r>
        <w:t>hat</w:t>
      </w:r>
      <w:r w:rsidRPr="00E70BE9">
        <w:t xml:space="preserve"> set it on a path to meet</w:t>
      </w:r>
      <w:r>
        <w:t xml:space="preserve"> </w:t>
      </w:r>
      <w:r w:rsidRPr="00E70BE9">
        <w:t>the 2030 and 2050 emissions reduction targets</w:t>
      </w:r>
      <w:r w:rsidR="0062427E">
        <w:t>,</w:t>
      </w:r>
      <w:r>
        <w:t xml:space="preserve"> </w:t>
      </w:r>
      <w:r w:rsidR="0011557E">
        <w:t xml:space="preserve">sustain those targets </w:t>
      </w:r>
      <w:r w:rsidR="00782939">
        <w:t>and</w:t>
      </w:r>
      <w:r w:rsidR="0011557E">
        <w:t xml:space="preserve"> set Aotearoa up for net negative emissions</w:t>
      </w:r>
      <w:r w:rsidR="00782939">
        <w:t xml:space="preserve"> later</w:t>
      </w:r>
      <w:r w:rsidR="0011557E">
        <w:t xml:space="preserve">, </w:t>
      </w:r>
      <w:r>
        <w:t>and contribute</w:t>
      </w:r>
      <w:r w:rsidRPr="00E70BE9">
        <w:t xml:space="preserve"> to the global effort to limit warming to 1.5°C. </w:t>
      </w:r>
      <w:r w:rsidR="00CD7A4B">
        <w:t>Meeting these targets requires a long-term view of investments and infrastructure developments. A</w:t>
      </w:r>
      <w:r w:rsidRPr="00B142D7">
        <w:t>ssets and investments with long lifetimes</w:t>
      </w:r>
      <w:r w:rsidR="00CD7A4B">
        <w:t xml:space="preserve"> will need to be transformed, and p</w:t>
      </w:r>
      <w:r w:rsidR="007F7B3A">
        <w:t>lanning</w:t>
      </w:r>
      <w:r w:rsidR="00CD7A4B">
        <w:t xml:space="preserve"> for</w:t>
      </w:r>
      <w:r w:rsidR="007F7B3A">
        <w:t xml:space="preserve"> and developing new </w:t>
      </w:r>
      <w:r w:rsidR="001A10C3">
        <w:t>low</w:t>
      </w:r>
      <w:r w:rsidR="00C77C52">
        <w:t xml:space="preserve"> </w:t>
      </w:r>
      <w:r w:rsidR="001A10C3">
        <w:t xml:space="preserve">emissions </w:t>
      </w:r>
      <w:r w:rsidR="007F7B3A">
        <w:t xml:space="preserve">infrastructure will </w:t>
      </w:r>
      <w:r w:rsidR="004F3EFA">
        <w:t>take time</w:t>
      </w:r>
      <w:r w:rsidRPr="00B142D7">
        <w:t>.</w:t>
      </w:r>
      <w:r w:rsidRPr="00E70BE9">
        <w:t xml:space="preserve"> </w:t>
      </w:r>
      <w:r w:rsidR="007A1638">
        <w:t>For th</w:t>
      </w:r>
      <w:r w:rsidR="00542DBF">
        <w:t>e</w:t>
      </w:r>
      <w:r w:rsidR="007A1638">
        <w:t>s</w:t>
      </w:r>
      <w:r w:rsidR="00542DBF">
        <w:t>e</w:t>
      </w:r>
      <w:r w:rsidR="007A1638">
        <w:t xml:space="preserve"> reason</w:t>
      </w:r>
      <w:r w:rsidR="00542DBF">
        <w:t>s</w:t>
      </w:r>
      <w:r w:rsidR="001E12DB">
        <w:t>,</w:t>
      </w:r>
      <w:r w:rsidRPr="00E70BE9">
        <w:t xml:space="preserve"> actions </w:t>
      </w:r>
      <w:r>
        <w:t xml:space="preserve">taken in the next </w:t>
      </w:r>
      <w:r w:rsidR="008F7011">
        <w:t>five</w:t>
      </w:r>
      <w:r>
        <w:t xml:space="preserve"> years </w:t>
      </w:r>
      <w:r w:rsidR="007B7E03">
        <w:t>will need to</w:t>
      </w:r>
      <w:r w:rsidR="00AA3D21">
        <w:t xml:space="preserve"> set </w:t>
      </w:r>
      <w:r w:rsidR="009D2557">
        <w:t xml:space="preserve">Aotearoa up to deliver </w:t>
      </w:r>
      <w:r w:rsidR="00454EDB">
        <w:t xml:space="preserve">the </w:t>
      </w:r>
      <w:r w:rsidR="0058636C">
        <w:t>deeper reductions</w:t>
      </w:r>
      <w:r w:rsidR="009D2557">
        <w:t xml:space="preserve"> </w:t>
      </w:r>
      <w:r w:rsidR="00454EDB">
        <w:t>required in</w:t>
      </w:r>
      <w:r w:rsidR="009D2557">
        <w:t xml:space="preserve"> subsequent emissions budgets</w:t>
      </w:r>
      <w:r w:rsidR="00535FB3">
        <w:t xml:space="preserve"> and to meet </w:t>
      </w:r>
      <w:r w:rsidR="00A14EAD">
        <w:t xml:space="preserve">and sustain </w:t>
      </w:r>
      <w:r w:rsidR="00535FB3">
        <w:t xml:space="preserve">the </w:t>
      </w:r>
      <w:r w:rsidR="00414453">
        <w:t>2050 targets</w:t>
      </w:r>
      <w:r w:rsidRPr="00E70BE9">
        <w:t xml:space="preserve">. </w:t>
      </w:r>
    </w:p>
    <w:p w14:paraId="03A87136" w14:textId="2544CE22" w:rsidR="00E65DA0" w:rsidRPr="00E70BE9" w:rsidRDefault="00E65DA0" w:rsidP="00655722">
      <w:pPr>
        <w:pStyle w:val="ListParagraph"/>
        <w:numPr>
          <w:ilvl w:val="0"/>
          <w:numId w:val="16"/>
        </w:numPr>
        <w:spacing w:before="120" w:after="120"/>
        <w:ind w:left="714" w:hanging="357"/>
        <w:contextualSpacing w:val="0"/>
      </w:pPr>
      <w:r w:rsidRPr="00912D8A">
        <w:rPr>
          <w:b/>
          <w:bCs/>
        </w:rPr>
        <w:t xml:space="preserve">Principle 2: </w:t>
      </w:r>
      <w:r w:rsidR="00D20BC4" w:rsidRPr="00D20BC4">
        <w:rPr>
          <w:b/>
          <w:bCs/>
        </w:rPr>
        <w:t xml:space="preserve">Focus on decarbonising </w:t>
      </w:r>
      <w:r w:rsidR="00257CEE">
        <w:rPr>
          <w:b/>
          <w:bCs/>
        </w:rPr>
        <w:t>the</w:t>
      </w:r>
      <w:r w:rsidR="00257CEE" w:rsidRPr="00D20BC4">
        <w:rPr>
          <w:b/>
          <w:bCs/>
        </w:rPr>
        <w:t xml:space="preserve"> </w:t>
      </w:r>
      <w:r w:rsidR="00D20BC4" w:rsidRPr="00D20BC4">
        <w:rPr>
          <w:b/>
          <w:bCs/>
        </w:rPr>
        <w:t>economy</w:t>
      </w:r>
      <w:r w:rsidRPr="00D20BC4">
        <w:rPr>
          <w:b/>
          <w:bCs/>
        </w:rPr>
        <w:t>.</w:t>
      </w:r>
      <w:r w:rsidRPr="00912D8A">
        <w:rPr>
          <w:b/>
          <w:bCs/>
        </w:rPr>
        <w:t xml:space="preserve"> </w:t>
      </w:r>
      <w:r w:rsidRPr="00E70BE9">
        <w:t>Aotearoa should prioritise actions that reduce gross emissions</w:t>
      </w:r>
      <w:r w:rsidR="005644FC">
        <w:t xml:space="preserve"> within our borders</w:t>
      </w:r>
      <w:r w:rsidRPr="00E70BE9">
        <w:t xml:space="preserve">, </w:t>
      </w:r>
      <w:r>
        <w:t>as well as</w:t>
      </w:r>
      <w:r w:rsidRPr="00E70BE9">
        <w:t xml:space="preserve"> removing emissions by sequestering carbon dioxide in forests. </w:t>
      </w:r>
      <w:r w:rsidR="00FB5C8E">
        <w:t>Aotearoa</w:t>
      </w:r>
      <w:r w:rsidR="00B767A3">
        <w:t xml:space="preserve"> should focus on decarbo</w:t>
      </w:r>
      <w:r w:rsidR="007E79FD">
        <w:t>n</w:t>
      </w:r>
      <w:r w:rsidR="00B767A3">
        <w:t>is</w:t>
      </w:r>
      <w:r w:rsidR="00FB5C8E">
        <w:t xml:space="preserve">ing its industries rather than </w:t>
      </w:r>
      <w:r w:rsidR="00237165">
        <w:t xml:space="preserve">reducing production </w:t>
      </w:r>
      <w:r w:rsidR="0067330D">
        <w:t xml:space="preserve">in a way that </w:t>
      </w:r>
      <w:r w:rsidR="00EB7984">
        <w:t>could increase</w:t>
      </w:r>
      <w:r w:rsidR="00C17395">
        <w:t xml:space="preserve"> emissions</w:t>
      </w:r>
      <w:r w:rsidR="00EB7984">
        <w:t xml:space="preserve"> offshore.</w:t>
      </w:r>
      <w:r w:rsidR="00B767A3">
        <w:t xml:space="preserve"> </w:t>
      </w:r>
      <w:r>
        <w:t>Forest sequestration should not displace making gross emissions reductions.</w:t>
      </w:r>
      <w:r w:rsidRPr="00E70BE9">
        <w:t xml:space="preserve"> </w:t>
      </w:r>
      <w:r w:rsidR="00B142D7">
        <w:t>Relying heavily</w:t>
      </w:r>
      <w:r w:rsidRPr="00E70BE9">
        <w:t xml:space="preserve"> on forestry</w:t>
      </w:r>
      <w:r>
        <w:t xml:space="preserve"> before 2050</w:t>
      </w:r>
      <w:r w:rsidRPr="00E70BE9">
        <w:t xml:space="preserve"> is likely to make maintaining net zero </w:t>
      </w:r>
      <w:r>
        <w:t xml:space="preserve">long-lived greenhouse gas </w:t>
      </w:r>
      <w:r w:rsidRPr="00E70BE9">
        <w:t>emissions after 2050 challenging</w:t>
      </w:r>
      <w:r w:rsidR="00966F55">
        <w:t xml:space="preserve">. It would </w:t>
      </w:r>
      <w:r w:rsidR="00C82FF6">
        <w:t xml:space="preserve">delay action, </w:t>
      </w:r>
      <w:r w:rsidR="00966F55">
        <w:t xml:space="preserve">lead to higher cumulative emissions </w:t>
      </w:r>
      <w:r>
        <w:t>and pu</w:t>
      </w:r>
      <w:r w:rsidR="006D6C57">
        <w:t>t the burden of addressing gross emissions</w:t>
      </w:r>
      <w:r>
        <w:t xml:space="preserve"> on to future generation</w:t>
      </w:r>
      <w:r w:rsidR="005644FC">
        <w:t>s</w:t>
      </w:r>
      <w:r w:rsidRPr="00E70BE9">
        <w:t xml:space="preserve">. </w:t>
      </w:r>
      <w:r>
        <w:t>This</w:t>
      </w:r>
      <w:r w:rsidRPr="00E70BE9">
        <w:t xml:space="preserve"> would require significant</w:t>
      </w:r>
      <w:r w:rsidR="00B142D7">
        <w:t>ly more</w:t>
      </w:r>
      <w:r w:rsidRPr="00E70BE9">
        <w:t xml:space="preserve"> land to </w:t>
      </w:r>
      <w:r w:rsidR="00B142D7">
        <w:t xml:space="preserve">be converted </w:t>
      </w:r>
      <w:r w:rsidRPr="00E70BE9">
        <w:t xml:space="preserve">to forestry in the future. </w:t>
      </w:r>
    </w:p>
    <w:p w14:paraId="700BE25B" w14:textId="15525D1A" w:rsidR="00E65DA0" w:rsidRPr="00661DA3" w:rsidRDefault="00E65DA0" w:rsidP="00655722">
      <w:pPr>
        <w:pStyle w:val="ListParagraph"/>
        <w:numPr>
          <w:ilvl w:val="0"/>
          <w:numId w:val="16"/>
        </w:numPr>
        <w:spacing w:before="120" w:after="120"/>
        <w:ind w:left="714" w:hanging="357"/>
        <w:contextualSpacing w:val="0"/>
      </w:pPr>
      <w:r w:rsidRPr="00912D8A">
        <w:rPr>
          <w:b/>
        </w:rPr>
        <w:t xml:space="preserve">Principle 3: Create options. </w:t>
      </w:r>
      <w:r>
        <w:t>There is much</w:t>
      </w:r>
      <w:r w:rsidRPr="00E70BE9">
        <w:t xml:space="preserve"> </w:t>
      </w:r>
      <w:r w:rsidRPr="0049119C">
        <w:t xml:space="preserve">uncertainty in embarking on this decades-long </w:t>
      </w:r>
      <w:r>
        <w:t>transition. Uncertainty</w:t>
      </w:r>
      <w:r w:rsidRPr="0049119C">
        <w:t xml:space="preserve"> is not </w:t>
      </w:r>
      <w:r>
        <w:t>a reason</w:t>
      </w:r>
      <w:r w:rsidRPr="0049119C">
        <w:t xml:space="preserve"> for </w:t>
      </w:r>
      <w:r>
        <w:t>delay. T</w:t>
      </w:r>
      <w:r w:rsidRPr="0049119C">
        <w:t>here is value in creating options</w:t>
      </w:r>
      <w:r>
        <w:t xml:space="preserve"> </w:t>
      </w:r>
      <w:r w:rsidRPr="0049119C">
        <w:t xml:space="preserve">for </w:t>
      </w:r>
      <w:r>
        <w:t>meeting</w:t>
      </w:r>
      <w:r w:rsidRPr="0049119C">
        <w:t xml:space="preserve"> the </w:t>
      </w:r>
      <w:r>
        <w:t>targets</w:t>
      </w:r>
      <w:r w:rsidRPr="0049119C">
        <w:t xml:space="preserve"> and having the ability to adjust course as the transition proceeds.</w:t>
      </w:r>
      <w:r>
        <w:t xml:space="preserve"> T</w:t>
      </w:r>
      <w:r w:rsidRPr="0049119C">
        <w:t>he decisions taken now should open up a wide range of future options</w:t>
      </w:r>
      <w:r>
        <w:t xml:space="preserve"> and keep options open for as long as possible. This needs to be balanced </w:t>
      </w:r>
      <w:r w:rsidRPr="00A04D99">
        <w:t>with the need to take advantage of key windows of opportunity, where making significant investments in key technologies could ultimately make the transition to low emissions cheaper and faster.</w:t>
      </w:r>
    </w:p>
    <w:p w14:paraId="12F7B0AD" w14:textId="31617197" w:rsidR="00E65DA0" w:rsidRPr="000974D6" w:rsidRDefault="00E65DA0" w:rsidP="00655722">
      <w:pPr>
        <w:pStyle w:val="ListParagraph"/>
        <w:numPr>
          <w:ilvl w:val="0"/>
          <w:numId w:val="16"/>
        </w:numPr>
        <w:spacing w:before="120" w:after="120"/>
        <w:ind w:left="714" w:hanging="357"/>
        <w:contextualSpacing w:val="0"/>
      </w:pPr>
      <w:r w:rsidRPr="00912D8A">
        <w:rPr>
          <w:b/>
          <w:bCs/>
        </w:rPr>
        <w:t xml:space="preserve">Principle 4: Avoid unnecessary cost. </w:t>
      </w:r>
      <w:r>
        <w:t>T</w:t>
      </w:r>
      <w:r w:rsidRPr="007F039E">
        <w:t>he</w:t>
      </w:r>
      <w:r w:rsidRPr="00661DA3">
        <w:t xml:space="preserve"> actions </w:t>
      </w:r>
      <w:r>
        <w:t>Aotearoa</w:t>
      </w:r>
      <w:r w:rsidRPr="00661DA3">
        <w:t xml:space="preserve"> take</w:t>
      </w:r>
      <w:r>
        <w:t>s</w:t>
      </w:r>
      <w:r w:rsidRPr="00661DA3">
        <w:t xml:space="preserve"> to </w:t>
      </w:r>
      <w:r>
        <w:t>meet emissions budgets and targets</w:t>
      </w:r>
      <w:r w:rsidRPr="00661DA3">
        <w:t xml:space="preserve"> should avoid unnecessary costs. </w:t>
      </w:r>
      <w:r w:rsidR="008720FA" w:rsidRPr="00E70BE9">
        <w:t>This</w:t>
      </w:r>
      <w:r w:rsidRPr="00E70BE9">
        <w:t xml:space="preserve"> means</w:t>
      </w:r>
      <w:r>
        <w:t xml:space="preserve"> </w:t>
      </w:r>
      <w:r w:rsidRPr="00E70BE9">
        <w:t>using measures with lower costs</w:t>
      </w:r>
      <w:r>
        <w:t xml:space="preserve"> and </w:t>
      </w:r>
      <w:r w:rsidRPr="00E70BE9">
        <w:t xml:space="preserve">planning ahead so that technologies, assets and infrastructure can be replaced with low emissions </w:t>
      </w:r>
      <w:r w:rsidR="005F7188">
        <w:t>choices</w:t>
      </w:r>
      <w:r w:rsidRPr="00E70BE9">
        <w:t xml:space="preserve"> on as natural a cycle as possible</w:t>
      </w:r>
      <w:r>
        <w:t>. This will help to avoid</w:t>
      </w:r>
      <w:r w:rsidRPr="00E70BE9">
        <w:t xml:space="preserve"> scrapping </w:t>
      </w:r>
      <w:r>
        <w:t>assets</w:t>
      </w:r>
      <w:r w:rsidRPr="00E70BE9">
        <w:t xml:space="preserve"> before the end of their useful lives</w:t>
      </w:r>
      <w:r>
        <w:t xml:space="preserve"> or being left with stranded assets</w:t>
      </w:r>
      <w:r w:rsidRPr="00E70BE9">
        <w:t>.</w:t>
      </w:r>
    </w:p>
    <w:p w14:paraId="43419AD0" w14:textId="16BA64EB" w:rsidR="00E65DA0" w:rsidRPr="00FA6646" w:rsidRDefault="00E65DA0" w:rsidP="00655722">
      <w:pPr>
        <w:pStyle w:val="ListParagraph"/>
        <w:numPr>
          <w:ilvl w:val="0"/>
          <w:numId w:val="16"/>
        </w:numPr>
        <w:spacing w:before="120" w:after="120"/>
        <w:ind w:left="714" w:hanging="357"/>
        <w:contextualSpacing w:val="0"/>
      </w:pPr>
      <w:r w:rsidRPr="00912D8A">
        <w:rPr>
          <w:b/>
        </w:rPr>
        <w:lastRenderedPageBreak/>
        <w:t xml:space="preserve">Principle 5: </w:t>
      </w:r>
      <w:r w:rsidR="00A07162">
        <w:rPr>
          <w:b/>
        </w:rPr>
        <w:t xml:space="preserve">Transition in </w:t>
      </w:r>
      <w:r w:rsidR="002673B8">
        <w:rPr>
          <w:b/>
        </w:rPr>
        <w:t>an e</w:t>
      </w:r>
      <w:r w:rsidRPr="00912D8A">
        <w:rPr>
          <w:b/>
        </w:rPr>
        <w:t xml:space="preserve">quitable and inclusive </w:t>
      </w:r>
      <w:r w:rsidR="00A07162">
        <w:rPr>
          <w:b/>
        </w:rPr>
        <w:t>way</w:t>
      </w:r>
      <w:r w:rsidRPr="00912D8A">
        <w:rPr>
          <w:b/>
        </w:rPr>
        <w:t xml:space="preserve">. </w:t>
      </w:r>
      <w:r w:rsidR="00257CEE">
        <w:rPr>
          <w:bCs/>
        </w:rPr>
        <w:t xml:space="preserve">How </w:t>
      </w:r>
      <w:r w:rsidRPr="00912D8A">
        <w:rPr>
          <w:bCs/>
        </w:rPr>
        <w:t>Aotearoa</w:t>
      </w:r>
      <w:r w:rsidR="00257CEE">
        <w:rPr>
          <w:bCs/>
        </w:rPr>
        <w:t xml:space="preserve"> responds to</w:t>
      </w:r>
      <w:r w:rsidRPr="00912D8A">
        <w:rPr>
          <w:bCs/>
        </w:rPr>
        <w:t xml:space="preserve"> climate </w:t>
      </w:r>
      <w:r w:rsidR="00257CEE">
        <w:rPr>
          <w:bCs/>
        </w:rPr>
        <w:t>change</w:t>
      </w:r>
      <w:r w:rsidRPr="00FA6646" w:rsidDel="00257CEE">
        <w:t xml:space="preserve"> </w:t>
      </w:r>
      <w:r w:rsidRPr="00FA6646">
        <w:t xml:space="preserve">should </w:t>
      </w:r>
      <w:r>
        <w:t>consider who will be most impacted, how those impacts can be mitigated and how existing inequities can be reduced. It should consider equity across different groups of society, regions and communities and generations</w:t>
      </w:r>
      <w:r w:rsidR="002D2BDB">
        <w:t>.</w:t>
      </w:r>
      <w:r w:rsidRPr="00FA6646">
        <w:t xml:space="preserve"> </w:t>
      </w:r>
      <w:r>
        <w:t>The climate transition</w:t>
      </w:r>
      <w:r w:rsidRPr="000974D6">
        <w:t xml:space="preserve"> should be well planned and signalled </w:t>
      </w:r>
      <w:r>
        <w:t xml:space="preserve">in advance </w:t>
      </w:r>
      <w:r w:rsidRPr="000974D6">
        <w:t xml:space="preserve">to give </w:t>
      </w:r>
      <w:r w:rsidR="00E669D7">
        <w:t xml:space="preserve">communities, </w:t>
      </w:r>
      <w:r w:rsidRPr="000974D6">
        <w:t>businesses and individuals time to innovate and adapt</w:t>
      </w:r>
      <w:r>
        <w:t xml:space="preserve">, build new markets and retrain. </w:t>
      </w:r>
      <w:r w:rsidR="002A0079" w:rsidRPr="002A0079">
        <w:t>Aotearoa will need to build new markets, </w:t>
      </w:r>
      <w:proofErr w:type="spellStart"/>
      <w:r w:rsidR="002A0079" w:rsidRPr="002A0079">
        <w:t>i</w:t>
      </w:r>
      <w:r w:rsidR="002A0079" w:rsidRPr="002A0079">
        <w:rPr>
          <w:lang w:val="en-US"/>
        </w:rPr>
        <w:t>nvest</w:t>
      </w:r>
      <w:proofErr w:type="spellEnd"/>
      <w:r w:rsidR="002A0079" w:rsidRPr="002A0079">
        <w:rPr>
          <w:lang w:val="en-US"/>
        </w:rPr>
        <w:t> in peoples’ skills, and provide opportunities for environmentally and socially sustainable work. </w:t>
      </w:r>
      <w:r>
        <w:t>It should</w:t>
      </w:r>
      <w:r w:rsidRPr="00E70BE9">
        <w:t xml:space="preserve"> </w:t>
      </w:r>
      <w:r>
        <w:t>not penalise early movers</w:t>
      </w:r>
      <w:r w:rsidRPr="000974D6">
        <w:t>.</w:t>
      </w:r>
      <w:r w:rsidRPr="00FA6646">
        <w:t xml:space="preserve"> </w:t>
      </w:r>
    </w:p>
    <w:p w14:paraId="46DCFFB8" w14:textId="0129C41B" w:rsidR="00E65DA0" w:rsidRPr="00661DA3" w:rsidRDefault="00E65DA0" w:rsidP="00655722">
      <w:pPr>
        <w:pStyle w:val="ListParagraph"/>
        <w:numPr>
          <w:ilvl w:val="0"/>
          <w:numId w:val="16"/>
        </w:numPr>
        <w:spacing w:before="120" w:after="120"/>
        <w:ind w:left="714" w:hanging="357"/>
        <w:contextualSpacing w:val="0"/>
      </w:pPr>
      <w:r w:rsidRPr="00912D8A">
        <w:rPr>
          <w:b/>
          <w:bCs/>
        </w:rPr>
        <w:t xml:space="preserve">Principle 6: </w:t>
      </w:r>
      <w:r w:rsidR="00060ACF">
        <w:rPr>
          <w:b/>
          <w:bCs/>
        </w:rPr>
        <w:t>Increase r</w:t>
      </w:r>
      <w:r w:rsidRPr="00912D8A">
        <w:rPr>
          <w:b/>
          <w:bCs/>
        </w:rPr>
        <w:t>esilience to climate impacts</w:t>
      </w:r>
      <w:r w:rsidRPr="00912D8A">
        <w:rPr>
          <w:b/>
        </w:rPr>
        <w:t>.</w:t>
      </w:r>
      <w:r w:rsidRPr="00661DA3">
        <w:t xml:space="preserve"> </w:t>
      </w:r>
      <w:r>
        <w:t>The a</w:t>
      </w:r>
      <w:r w:rsidRPr="007F039E">
        <w:t>ctions</w:t>
      </w:r>
      <w:r>
        <w:t xml:space="preserve"> Aotearoa takes to reduce emissions</w:t>
      </w:r>
      <w:r w:rsidRPr="00661DA3">
        <w:t xml:space="preserve"> should avoid increasing </w:t>
      </w:r>
      <w:r w:rsidR="00257CEE">
        <w:t xml:space="preserve">the country’s </w:t>
      </w:r>
      <w:r w:rsidRPr="00661DA3">
        <w:t xml:space="preserve">overall exposure to climate </w:t>
      </w:r>
      <w:r w:rsidRPr="007F039E">
        <w:t>risk</w:t>
      </w:r>
      <w:r>
        <w:t>s such as drought</w:t>
      </w:r>
      <w:r w:rsidR="00A74DC2">
        <w:t xml:space="preserve">, </w:t>
      </w:r>
      <w:r>
        <w:t>flooding</w:t>
      </w:r>
      <w:r w:rsidR="004E1102">
        <w:t xml:space="preserve">, forest </w:t>
      </w:r>
      <w:r w:rsidR="00A74DC2">
        <w:t>fire</w:t>
      </w:r>
      <w:r w:rsidR="004E1102">
        <w:t>s and storms</w:t>
      </w:r>
      <w:r>
        <w:t xml:space="preserve">. </w:t>
      </w:r>
      <w:r w:rsidRPr="00E70BE9">
        <w:t xml:space="preserve">Where possible, actions should increase </w:t>
      </w:r>
      <w:r w:rsidR="00257CEE">
        <w:t>the country’s</w:t>
      </w:r>
      <w:r w:rsidR="00257CEE" w:rsidRPr="00E70BE9">
        <w:t xml:space="preserve"> </w:t>
      </w:r>
      <w:r w:rsidRPr="00E70BE9">
        <w:t>resilience to the impacts of climate change</w:t>
      </w:r>
      <w:r w:rsidR="00B142D7">
        <w:t xml:space="preserve"> that are already being experienced and </w:t>
      </w:r>
      <w:r w:rsidR="000D3A9D">
        <w:t>that will increase in the future</w:t>
      </w:r>
      <w:r w:rsidRPr="00E70BE9">
        <w:t>.</w:t>
      </w:r>
    </w:p>
    <w:p w14:paraId="274B0DBD" w14:textId="77777777" w:rsidR="00E65DA0" w:rsidRPr="00E70BE9" w:rsidRDefault="00E65DA0" w:rsidP="00655722">
      <w:pPr>
        <w:pStyle w:val="ListParagraph"/>
        <w:numPr>
          <w:ilvl w:val="0"/>
          <w:numId w:val="16"/>
        </w:numPr>
        <w:spacing w:before="120" w:after="120"/>
        <w:ind w:left="714" w:hanging="357"/>
        <w:contextualSpacing w:val="0"/>
      </w:pPr>
      <w:r w:rsidRPr="00912D8A">
        <w:rPr>
          <w:b/>
          <w:bCs/>
        </w:rPr>
        <w:t>Principle 7: Leverage co-benefits.</w:t>
      </w:r>
      <w:r w:rsidRPr="00E70BE9">
        <w:t xml:space="preserve"> The actions Aotearoa takes to meet emissions budgets and targets should consider </w:t>
      </w:r>
      <w:r>
        <w:t xml:space="preserve">the </w:t>
      </w:r>
      <w:r w:rsidRPr="00E70BE9">
        <w:t xml:space="preserve">wider benefits, </w:t>
      </w:r>
      <w:r>
        <w:t>including benefits to</w:t>
      </w:r>
      <w:r w:rsidRPr="00E70BE9">
        <w:t xml:space="preserve"> health, </w:t>
      </w:r>
      <w:r>
        <w:t>broader wellbeing and the environment</w:t>
      </w:r>
      <w:r w:rsidRPr="00E70BE9">
        <w:t xml:space="preserve">. Co-benefits can </w:t>
      </w:r>
      <w:r>
        <w:t>provide further reason to take particular</w:t>
      </w:r>
      <w:r w:rsidRPr="00E70BE9">
        <w:t xml:space="preserve"> actions where the initial emission</w:t>
      </w:r>
      <w:r>
        <w:t>s</w:t>
      </w:r>
      <w:r w:rsidRPr="00E70BE9">
        <w:t xml:space="preserve"> reductions may be modest or appear relatively </w:t>
      </w:r>
      <w:r>
        <w:t>costly.</w:t>
      </w:r>
    </w:p>
    <w:tbl>
      <w:tblPr>
        <w:tblStyle w:val="GridTable4-Accent2"/>
        <w:tblW w:w="0" w:type="auto"/>
        <w:shd w:val="clear" w:color="auto" w:fill="C6B1D1"/>
        <w:tblCellMar>
          <w:top w:w="57" w:type="dxa"/>
          <w:bottom w:w="57" w:type="dxa"/>
        </w:tblCellMar>
        <w:tblLook w:val="04A0" w:firstRow="1" w:lastRow="0" w:firstColumn="1" w:lastColumn="0" w:noHBand="0" w:noVBand="1"/>
      </w:tblPr>
      <w:tblGrid>
        <w:gridCol w:w="9016"/>
      </w:tblGrid>
      <w:tr w:rsidR="00CA38D3" w:rsidRPr="00EA4071" w14:paraId="68C19629" w14:textId="77777777" w:rsidTr="00CA4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9E76B3"/>
          </w:tcPr>
          <w:p w14:paraId="3E2B868C" w14:textId="77777777" w:rsidR="00CA38D3" w:rsidRPr="00BA7CD8" w:rsidRDefault="00CA38D3" w:rsidP="00CA4073">
            <w:pPr>
              <w:pStyle w:val="Content"/>
              <w:spacing w:before="0" w:after="0"/>
              <w:jc w:val="center"/>
              <w:rPr>
                <w:bCs w:val="0"/>
                <w:color w:val="000000" w:themeColor="text1"/>
                <w:sz w:val="24"/>
                <w:szCs w:val="24"/>
                <w:lang w:val="en-US"/>
              </w:rPr>
            </w:pPr>
            <w:bookmarkStart w:id="35" w:name="_Hlk61441263"/>
            <w:r>
              <w:rPr>
                <w:bCs w:val="0"/>
                <w:sz w:val="28"/>
                <w:szCs w:val="28"/>
              </w:rPr>
              <w:t>Consultation question 1</w:t>
            </w:r>
          </w:p>
          <w:p w14:paraId="26D587A5" w14:textId="77777777" w:rsidR="00CA38D3" w:rsidRPr="00EA4071" w:rsidRDefault="00CA38D3" w:rsidP="00CA4073">
            <w:pPr>
              <w:pStyle w:val="Content"/>
              <w:spacing w:before="0" w:after="0"/>
              <w:jc w:val="center"/>
              <w:rPr>
                <w:b w:val="0"/>
                <w:sz w:val="28"/>
                <w:szCs w:val="28"/>
              </w:rPr>
            </w:pPr>
            <w:r>
              <w:rPr>
                <w:b w:val="0"/>
                <w:sz w:val="28"/>
                <w:szCs w:val="28"/>
                <w:lang w:val="en-US"/>
              </w:rPr>
              <w:t>Principles to guide our advice</w:t>
            </w:r>
          </w:p>
        </w:tc>
      </w:tr>
      <w:tr w:rsidR="00CA38D3" w:rsidRPr="00EA4071" w14:paraId="5DAA4E7A" w14:textId="77777777" w:rsidTr="00CA4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C6B1D1"/>
          </w:tcPr>
          <w:p w14:paraId="65AA9F33" w14:textId="6D89F62B" w:rsidR="00CA38D3" w:rsidRPr="00EA4071" w:rsidRDefault="00924808" w:rsidP="00CA4073">
            <w:pPr>
              <w:pStyle w:val="Content"/>
              <w:rPr>
                <w:b w:val="0"/>
              </w:rPr>
            </w:pPr>
            <w:r w:rsidRPr="00E5673C">
              <w:rPr>
                <w:bCs w:val="0"/>
              </w:rPr>
              <w:t xml:space="preserve">Do you </w:t>
            </w:r>
            <w:r>
              <w:rPr>
                <w:bCs w:val="0"/>
              </w:rPr>
              <w:t xml:space="preserve">support </w:t>
            </w:r>
            <w:r w:rsidRPr="00E5673C">
              <w:rPr>
                <w:bCs w:val="0"/>
              </w:rPr>
              <w:t>the principles we have used to guide our analysis</w:t>
            </w:r>
            <w:r>
              <w:rPr>
                <w:bCs w:val="0"/>
              </w:rPr>
              <w:t>? Is there anything we should change, and why</w:t>
            </w:r>
            <w:r w:rsidRPr="00E5673C">
              <w:rPr>
                <w:bCs w:val="0"/>
              </w:rPr>
              <w:t>?</w:t>
            </w:r>
          </w:p>
        </w:tc>
      </w:tr>
    </w:tbl>
    <w:p w14:paraId="05C24F1F" w14:textId="78909847" w:rsidR="00E65DA0" w:rsidRPr="00507989" w:rsidRDefault="00070173" w:rsidP="00E65DA0">
      <w:pPr>
        <w:pStyle w:val="Heading2"/>
      </w:pPr>
      <w:bookmarkStart w:id="36" w:name="_Toc62650244"/>
      <w:bookmarkEnd w:id="35"/>
      <w:r>
        <w:t xml:space="preserve">2.3 </w:t>
      </w:r>
      <w:r w:rsidR="00E65DA0" w:rsidRPr="00507989">
        <w:t>Emissions</w:t>
      </w:r>
      <w:r w:rsidR="00E65DA0">
        <w:t xml:space="preserve"> </w:t>
      </w:r>
      <w:r w:rsidR="00E65DA0" w:rsidRPr="00507989">
        <w:t>budgets</w:t>
      </w:r>
      <w:r w:rsidR="00E65DA0">
        <w:t xml:space="preserve"> </w:t>
      </w:r>
      <w:r w:rsidR="00E65DA0" w:rsidRPr="00507989">
        <w:t>–</w:t>
      </w:r>
      <w:r w:rsidR="00E65DA0">
        <w:t xml:space="preserve"> </w:t>
      </w:r>
      <w:r w:rsidR="00E65DA0" w:rsidRPr="00507989">
        <w:t>stepping</w:t>
      </w:r>
      <w:r w:rsidR="00E65DA0">
        <w:t xml:space="preserve"> down </w:t>
      </w:r>
      <w:r w:rsidR="00E704E9">
        <w:t xml:space="preserve">emissions in </w:t>
      </w:r>
      <w:r w:rsidR="00E65DA0">
        <w:t>Aotearoa</w:t>
      </w:r>
      <w:bookmarkEnd w:id="34"/>
      <w:bookmarkEnd w:id="36"/>
    </w:p>
    <w:p w14:paraId="0A621CC0" w14:textId="6E20EEFD" w:rsidR="00E65DA0" w:rsidRPr="00507989" w:rsidRDefault="00E65DA0" w:rsidP="00E65DA0">
      <w:r w:rsidRPr="00507989">
        <w:t>Emissions</w:t>
      </w:r>
      <w:r>
        <w:t xml:space="preserve"> </w:t>
      </w:r>
      <w:r w:rsidRPr="00507989">
        <w:t>budgets</w:t>
      </w:r>
      <w:r>
        <w:t xml:space="preserve"> </w:t>
      </w:r>
      <w:r w:rsidRPr="00507989">
        <w:t>sit</w:t>
      </w:r>
      <w:r>
        <w:t xml:space="preserve"> </w:t>
      </w:r>
      <w:r w:rsidRPr="00507989">
        <w:t>at</w:t>
      </w:r>
      <w:r>
        <w:t xml:space="preserve"> </w:t>
      </w:r>
      <w:r w:rsidRPr="00507989">
        <w:t>the</w:t>
      </w:r>
      <w:r>
        <w:t xml:space="preserve"> </w:t>
      </w:r>
      <w:r w:rsidRPr="00507989">
        <w:t>core</w:t>
      </w:r>
      <w:r>
        <w:t xml:space="preserve"> </w:t>
      </w:r>
      <w:r w:rsidRPr="00507989">
        <w:t>of</w:t>
      </w:r>
      <w:r>
        <w:t xml:space="preserve"> </w:t>
      </w:r>
      <w:r w:rsidRPr="00507989">
        <w:t>the</w:t>
      </w:r>
      <w:r>
        <w:t xml:space="preserve"> </w:t>
      </w:r>
      <w:r w:rsidRPr="00507989">
        <w:t>transition</w:t>
      </w:r>
      <w:r>
        <w:t xml:space="preserve"> </w:t>
      </w:r>
      <w:r w:rsidRPr="00507989">
        <w:t>to</w:t>
      </w:r>
      <w:r>
        <w:t xml:space="preserve"> </w:t>
      </w:r>
      <w:r w:rsidRPr="00507989">
        <w:t>a</w:t>
      </w:r>
      <w:r>
        <w:t xml:space="preserve"> </w:t>
      </w:r>
      <w:r w:rsidRPr="00507989">
        <w:t>thriving</w:t>
      </w:r>
      <w:r>
        <w:t xml:space="preserve">, </w:t>
      </w:r>
      <w:r w:rsidRPr="00507989">
        <w:t>climate-resilient</w:t>
      </w:r>
      <w:r>
        <w:t xml:space="preserve"> </w:t>
      </w:r>
      <w:r w:rsidRPr="00507989">
        <w:t>and</w:t>
      </w:r>
      <w:r>
        <w:t xml:space="preserve"> </w:t>
      </w:r>
      <w:r w:rsidRPr="00507989">
        <w:t>low</w:t>
      </w:r>
      <w:r>
        <w:t xml:space="preserve"> </w:t>
      </w:r>
      <w:r w:rsidRPr="00507989">
        <w:t>emissions</w:t>
      </w:r>
      <w:r>
        <w:t xml:space="preserve"> </w:t>
      </w:r>
      <w:r w:rsidRPr="00507989">
        <w:t>Aotearoa.</w:t>
      </w:r>
      <w:r>
        <w:t xml:space="preserve"> </w:t>
      </w:r>
      <w:r w:rsidRPr="00507989">
        <w:t>They</w:t>
      </w:r>
      <w:r>
        <w:t xml:space="preserve"> </w:t>
      </w:r>
      <w:r w:rsidRPr="00507989">
        <w:t>chart</w:t>
      </w:r>
      <w:r>
        <w:t xml:space="preserve"> </w:t>
      </w:r>
      <w:r w:rsidRPr="00507989">
        <w:t>the</w:t>
      </w:r>
      <w:r>
        <w:t xml:space="preserve"> </w:t>
      </w:r>
      <w:r w:rsidRPr="00507989">
        <w:t>course</w:t>
      </w:r>
      <w:r>
        <w:t xml:space="preserve"> </w:t>
      </w:r>
      <w:r w:rsidRPr="00507989">
        <w:t>for</w:t>
      </w:r>
      <w:r>
        <w:t xml:space="preserve"> </w:t>
      </w:r>
      <w:r w:rsidRPr="00507989">
        <w:t>Aotearoa</w:t>
      </w:r>
      <w:r>
        <w:t xml:space="preserve"> </w:t>
      </w:r>
      <w:r w:rsidRPr="00507989">
        <w:t>to</w:t>
      </w:r>
      <w:r>
        <w:t xml:space="preserve"> </w:t>
      </w:r>
      <w:r w:rsidRPr="00507989">
        <w:t>step</w:t>
      </w:r>
      <w:r>
        <w:t xml:space="preserve"> </w:t>
      </w:r>
      <w:r w:rsidRPr="00507989">
        <w:t>down</w:t>
      </w:r>
      <w:r>
        <w:t xml:space="preserve"> </w:t>
      </w:r>
      <w:r w:rsidRPr="00507989">
        <w:t>emissions</w:t>
      </w:r>
      <w:r>
        <w:t xml:space="preserve"> </w:t>
      </w:r>
      <w:r w:rsidRPr="00507989">
        <w:t>to</w:t>
      </w:r>
      <w:r>
        <w:t xml:space="preserve"> </w:t>
      </w:r>
      <w:r w:rsidRPr="00507989">
        <w:t>meet</w:t>
      </w:r>
      <w:r>
        <w:t xml:space="preserve"> its emissions </w:t>
      </w:r>
      <w:r w:rsidRPr="00507989">
        <w:t>reduction</w:t>
      </w:r>
      <w:r>
        <w:t xml:space="preserve"> </w:t>
      </w:r>
      <w:r w:rsidRPr="00507989">
        <w:t>targets.</w:t>
      </w:r>
      <w:r>
        <w:t xml:space="preserve"> After the first three emissions budgets are set, further emissions budgets will be set ten years in advance of the start of the emissions budget period. Laying out a clear path of where emissions need to get to </w:t>
      </w:r>
      <w:r w:rsidRPr="0040569C">
        <w:t xml:space="preserve">will help increase predictability </w:t>
      </w:r>
      <w:r>
        <w:t xml:space="preserve">for </w:t>
      </w:r>
      <w:r w:rsidR="000D3A9D">
        <w:t>communities,</w:t>
      </w:r>
      <w:r>
        <w:t xml:space="preserve"> b</w:t>
      </w:r>
      <w:r w:rsidRPr="0040569C">
        <w:t>usiness</w:t>
      </w:r>
      <w:r>
        <w:t>es</w:t>
      </w:r>
      <w:r w:rsidRPr="0040569C">
        <w:t xml:space="preserve"> and investors</w:t>
      </w:r>
      <w:r>
        <w:t>.</w:t>
      </w:r>
    </w:p>
    <w:p w14:paraId="70F5A5F9" w14:textId="7B72534C" w:rsidR="00E65DA0" w:rsidRPr="00507989" w:rsidRDefault="00320A17" w:rsidP="00E65DA0">
      <w:r>
        <w:t xml:space="preserve">Under the Climate Change Response Act, we are required to consider: </w:t>
      </w:r>
    </w:p>
    <w:p w14:paraId="1AED3274" w14:textId="57663CA9" w:rsidR="00E65DA0" w:rsidRPr="00507989" w:rsidRDefault="000D3A9D" w:rsidP="00F52090">
      <w:pPr>
        <w:pStyle w:val="ListParagraph"/>
        <w:numPr>
          <w:ilvl w:val="0"/>
          <w:numId w:val="4"/>
        </w:numPr>
        <w:spacing w:before="120" w:after="120"/>
        <w:ind w:left="714" w:hanging="357"/>
        <w:contextualSpacing w:val="0"/>
      </w:pPr>
      <w:r>
        <w:t>t</w:t>
      </w:r>
      <w:r w:rsidR="00E65DA0" w:rsidRPr="00507989">
        <w:t>echnologies</w:t>
      </w:r>
      <w:r w:rsidR="00E65DA0">
        <w:t xml:space="preserve"> </w:t>
      </w:r>
      <w:r w:rsidR="00E65DA0" w:rsidRPr="00507989">
        <w:t>and</w:t>
      </w:r>
      <w:r w:rsidR="00E65DA0">
        <w:t xml:space="preserve"> </w:t>
      </w:r>
      <w:r w:rsidR="00E65DA0" w:rsidRPr="00507989">
        <w:t>practice</w:t>
      </w:r>
      <w:r w:rsidR="00E65DA0">
        <w:t xml:space="preserve"> </w:t>
      </w:r>
      <w:r w:rsidR="00E65DA0" w:rsidRPr="00507989">
        <w:t>changes</w:t>
      </w:r>
      <w:r w:rsidR="00E65DA0">
        <w:t xml:space="preserve"> available </w:t>
      </w:r>
      <w:r w:rsidR="00E65DA0" w:rsidRPr="00507989">
        <w:t>now</w:t>
      </w:r>
      <w:r w:rsidR="00E65DA0">
        <w:t xml:space="preserve"> for </w:t>
      </w:r>
      <w:r w:rsidR="00E65DA0" w:rsidRPr="00507989">
        <w:t>reduc</w:t>
      </w:r>
      <w:r w:rsidR="00E65DA0">
        <w:t xml:space="preserve">ing </w:t>
      </w:r>
      <w:r w:rsidR="00E65DA0" w:rsidRPr="00507989">
        <w:t>emissions</w:t>
      </w:r>
      <w:r w:rsidR="00E65DA0">
        <w:t xml:space="preserve"> </w:t>
      </w:r>
      <w:r w:rsidR="00E65DA0" w:rsidRPr="00507989">
        <w:t>in</w:t>
      </w:r>
      <w:r w:rsidR="00E65DA0">
        <w:t xml:space="preserve"> </w:t>
      </w:r>
      <w:r w:rsidR="00E65DA0" w:rsidRPr="00507989">
        <w:t>each</w:t>
      </w:r>
      <w:r w:rsidR="00E65DA0">
        <w:t xml:space="preserve"> </w:t>
      </w:r>
      <w:r w:rsidR="00E65DA0" w:rsidRPr="00507989">
        <w:t>sector,</w:t>
      </w:r>
      <w:r w:rsidR="00E65DA0">
        <w:t xml:space="preserve"> </w:t>
      </w:r>
      <w:r w:rsidR="00E65DA0" w:rsidRPr="00507989">
        <w:t>the</w:t>
      </w:r>
      <w:r w:rsidR="00E65DA0">
        <w:t xml:space="preserve"> </w:t>
      </w:r>
      <w:r w:rsidR="00E65DA0" w:rsidRPr="00507989">
        <w:t>technologies</w:t>
      </w:r>
      <w:r w:rsidR="00E65DA0">
        <w:t xml:space="preserve"> </w:t>
      </w:r>
      <w:r w:rsidR="00E65DA0" w:rsidRPr="00507989">
        <w:t>on</w:t>
      </w:r>
      <w:r w:rsidR="00E65DA0">
        <w:t xml:space="preserve"> </w:t>
      </w:r>
      <w:r w:rsidR="00E65DA0" w:rsidRPr="00507989">
        <w:t>the</w:t>
      </w:r>
      <w:r w:rsidR="00E65DA0">
        <w:t xml:space="preserve"> </w:t>
      </w:r>
      <w:r w:rsidR="00E65DA0" w:rsidRPr="00507989">
        <w:t>horizon</w:t>
      </w:r>
      <w:r w:rsidR="00E65DA0">
        <w:t xml:space="preserve"> </w:t>
      </w:r>
      <w:r w:rsidR="00E65DA0" w:rsidRPr="00507989">
        <w:t>and</w:t>
      </w:r>
      <w:r w:rsidR="00E65DA0">
        <w:t xml:space="preserve"> </w:t>
      </w:r>
      <w:r w:rsidR="00E65DA0" w:rsidRPr="00507989">
        <w:t>the</w:t>
      </w:r>
      <w:r w:rsidR="00E65DA0">
        <w:t xml:space="preserve"> </w:t>
      </w:r>
      <w:r w:rsidR="00E65DA0" w:rsidRPr="00507989">
        <w:t>costs</w:t>
      </w:r>
      <w:r w:rsidR="00E65DA0">
        <w:t xml:space="preserve"> </w:t>
      </w:r>
      <w:r w:rsidR="00E65DA0" w:rsidRPr="00507989">
        <w:t>and</w:t>
      </w:r>
      <w:r w:rsidR="00E65DA0">
        <w:t xml:space="preserve"> </w:t>
      </w:r>
      <w:r w:rsidR="00E65DA0" w:rsidRPr="00507989">
        <w:t>constraints</w:t>
      </w:r>
      <w:r w:rsidR="00E65DA0">
        <w:t xml:space="preserve"> </w:t>
      </w:r>
      <w:r w:rsidR="00E65DA0" w:rsidRPr="00507989">
        <w:t>of</w:t>
      </w:r>
      <w:r w:rsidR="00E65DA0">
        <w:t xml:space="preserve"> </w:t>
      </w:r>
      <w:r w:rsidR="00E65DA0" w:rsidRPr="00507989">
        <w:t>making</w:t>
      </w:r>
      <w:r w:rsidR="00E65DA0">
        <w:t xml:space="preserve"> </w:t>
      </w:r>
      <w:r w:rsidR="00E65DA0" w:rsidRPr="00507989">
        <w:t>these</w:t>
      </w:r>
      <w:r w:rsidR="00E65DA0">
        <w:t xml:space="preserve"> </w:t>
      </w:r>
      <w:r w:rsidR="00E65DA0" w:rsidRPr="00507989">
        <w:t>changes</w:t>
      </w:r>
    </w:p>
    <w:p w14:paraId="2ED0E86C" w14:textId="77777777" w:rsidR="000C1F2E" w:rsidRPr="00507989" w:rsidRDefault="000C1F2E" w:rsidP="00F52090">
      <w:pPr>
        <w:pStyle w:val="ListParagraph"/>
        <w:numPr>
          <w:ilvl w:val="0"/>
          <w:numId w:val="4"/>
        </w:numPr>
        <w:spacing w:before="120" w:after="120"/>
        <w:ind w:left="714" w:hanging="357"/>
        <w:contextualSpacing w:val="0"/>
      </w:pPr>
      <w:r>
        <w:t>a</w:t>
      </w:r>
      <w:r w:rsidRPr="00507989">
        <w:t>mbition</w:t>
      </w:r>
      <w:r>
        <w:t xml:space="preserve"> </w:t>
      </w:r>
      <w:r w:rsidRPr="00507989">
        <w:t>needed</w:t>
      </w:r>
      <w:r>
        <w:t xml:space="preserve"> </w:t>
      </w:r>
      <w:r w:rsidRPr="00507989">
        <w:t>to</w:t>
      </w:r>
      <w:r>
        <w:t xml:space="preserve"> </w:t>
      </w:r>
      <w:r w:rsidRPr="00507989">
        <w:t>contribute</w:t>
      </w:r>
      <w:r>
        <w:t xml:space="preserve"> </w:t>
      </w:r>
      <w:r w:rsidRPr="00507989">
        <w:t>to</w:t>
      </w:r>
      <w:r>
        <w:t xml:space="preserve"> </w:t>
      </w:r>
      <w:r w:rsidRPr="00507989">
        <w:t>the</w:t>
      </w:r>
      <w:r>
        <w:t xml:space="preserve"> </w:t>
      </w:r>
      <w:r w:rsidRPr="00507989">
        <w:t>global</w:t>
      </w:r>
      <w:r>
        <w:t xml:space="preserve"> </w:t>
      </w:r>
      <w:r w:rsidRPr="00507989">
        <w:t>goal</w:t>
      </w:r>
      <w:r>
        <w:t xml:space="preserve"> </w:t>
      </w:r>
      <w:r w:rsidRPr="00507989">
        <w:t>of</w:t>
      </w:r>
      <w:r>
        <w:t xml:space="preserve"> </w:t>
      </w:r>
      <w:r w:rsidRPr="00507989">
        <w:t>limiting</w:t>
      </w:r>
      <w:r>
        <w:t xml:space="preserve"> </w:t>
      </w:r>
      <w:r w:rsidRPr="00507989">
        <w:t>warming</w:t>
      </w:r>
      <w:r>
        <w:t xml:space="preserve"> </w:t>
      </w:r>
      <w:r w:rsidRPr="00507989">
        <w:t>to</w:t>
      </w:r>
      <w:r>
        <w:t xml:space="preserve"> </w:t>
      </w:r>
      <w:r w:rsidRPr="00507989">
        <w:t>1.5°C</w:t>
      </w:r>
      <w:r>
        <w:t xml:space="preserve"> above </w:t>
      </w:r>
      <w:r w:rsidRPr="00507989">
        <w:t>pre-industrial</w:t>
      </w:r>
      <w:r>
        <w:t xml:space="preserve"> </w:t>
      </w:r>
      <w:r w:rsidRPr="00507989">
        <w:t>levels</w:t>
      </w:r>
    </w:p>
    <w:p w14:paraId="18B53C52" w14:textId="76EB46A0" w:rsidR="00E65DA0" w:rsidRPr="00507989" w:rsidRDefault="000D3A9D" w:rsidP="00F52090">
      <w:pPr>
        <w:pStyle w:val="ListParagraph"/>
        <w:numPr>
          <w:ilvl w:val="0"/>
          <w:numId w:val="4"/>
        </w:numPr>
        <w:spacing w:before="120" w:after="120"/>
        <w:ind w:left="714" w:hanging="357"/>
        <w:contextualSpacing w:val="0"/>
      </w:pPr>
      <w:r>
        <w:t>p</w:t>
      </w:r>
      <w:r w:rsidR="00E65DA0" w:rsidRPr="00507989">
        <w:t>otential</w:t>
      </w:r>
      <w:r w:rsidR="00E65DA0">
        <w:t xml:space="preserve"> </w:t>
      </w:r>
      <w:r w:rsidR="00E65DA0" w:rsidRPr="00507989">
        <w:t>impacts</w:t>
      </w:r>
      <w:r w:rsidR="00E65DA0">
        <w:t xml:space="preserve"> </w:t>
      </w:r>
      <w:r w:rsidR="00E65DA0" w:rsidRPr="00507989">
        <w:t>of</w:t>
      </w:r>
      <w:r w:rsidR="00E65DA0">
        <w:t xml:space="preserve"> </w:t>
      </w:r>
      <w:r w:rsidR="00E65DA0" w:rsidRPr="00507989">
        <w:t>meeting</w:t>
      </w:r>
      <w:r w:rsidR="00E65DA0">
        <w:t xml:space="preserve"> </w:t>
      </w:r>
      <w:r w:rsidR="00E65DA0" w:rsidRPr="00507989">
        <w:t>emissions</w:t>
      </w:r>
      <w:r w:rsidR="00E65DA0">
        <w:t xml:space="preserve"> </w:t>
      </w:r>
      <w:r w:rsidR="00E65DA0" w:rsidRPr="00507989">
        <w:t>budgets</w:t>
      </w:r>
      <w:r w:rsidR="00E65DA0">
        <w:t xml:space="preserve"> </w:t>
      </w:r>
      <w:r w:rsidR="00E65DA0" w:rsidRPr="00507989">
        <w:t>on</w:t>
      </w:r>
      <w:r w:rsidR="00E65DA0">
        <w:t xml:space="preserve"> </w:t>
      </w:r>
      <w:r w:rsidR="00E65DA0" w:rsidRPr="00507989">
        <w:t>the</w:t>
      </w:r>
      <w:r w:rsidR="00E65DA0">
        <w:t xml:space="preserve"> </w:t>
      </w:r>
      <w:r w:rsidR="00E65DA0" w:rsidRPr="00507989">
        <w:t>economy,</w:t>
      </w:r>
      <w:r w:rsidR="00E65DA0">
        <w:t xml:space="preserve"> society, culture, </w:t>
      </w:r>
      <w:r w:rsidR="00E65DA0" w:rsidRPr="00507989">
        <w:t>environment</w:t>
      </w:r>
      <w:r w:rsidR="00E65DA0">
        <w:t xml:space="preserve"> </w:t>
      </w:r>
      <w:r w:rsidR="00E65DA0" w:rsidRPr="00507989">
        <w:t>and</w:t>
      </w:r>
      <w:r w:rsidR="00E65DA0">
        <w:t xml:space="preserve"> ecology</w:t>
      </w:r>
      <w:r w:rsidR="00E65DA0" w:rsidRPr="00507989">
        <w:t>,</w:t>
      </w:r>
      <w:r w:rsidR="00E65DA0">
        <w:t xml:space="preserve"> </w:t>
      </w:r>
      <w:r w:rsidR="00E65DA0" w:rsidRPr="00507989">
        <w:t>including</w:t>
      </w:r>
      <w:r w:rsidR="00E65DA0">
        <w:t xml:space="preserve"> </w:t>
      </w:r>
      <w:r w:rsidR="00E65DA0" w:rsidRPr="00507989">
        <w:t>on</w:t>
      </w:r>
      <w:r w:rsidR="00E65DA0">
        <w:t xml:space="preserve"> </w:t>
      </w:r>
      <w:r w:rsidR="00E65DA0" w:rsidRPr="00507989">
        <w:t>different</w:t>
      </w:r>
      <w:r w:rsidR="00E65DA0">
        <w:t xml:space="preserve"> </w:t>
      </w:r>
      <w:r w:rsidR="00E65DA0" w:rsidRPr="00507989">
        <w:t>regions,</w:t>
      </w:r>
      <w:r w:rsidR="00E65DA0">
        <w:t xml:space="preserve"> </w:t>
      </w:r>
      <w:r w:rsidR="00E65DA0" w:rsidRPr="00507989">
        <w:t>communities</w:t>
      </w:r>
      <w:r w:rsidR="00E65DA0">
        <w:t xml:space="preserve"> </w:t>
      </w:r>
      <w:r w:rsidR="00E65DA0" w:rsidRPr="00507989">
        <w:t>and</w:t>
      </w:r>
      <w:r w:rsidR="00E65DA0">
        <w:t xml:space="preserve"> </w:t>
      </w:r>
      <w:r w:rsidR="00E65DA0" w:rsidRPr="00507989">
        <w:t>generations</w:t>
      </w:r>
    </w:p>
    <w:p w14:paraId="24E2F2BE" w14:textId="16D0FCDC" w:rsidR="00E65DA0" w:rsidRPr="00507989" w:rsidRDefault="000D3A9D" w:rsidP="00F52090">
      <w:pPr>
        <w:pStyle w:val="ListParagraph"/>
        <w:numPr>
          <w:ilvl w:val="0"/>
          <w:numId w:val="4"/>
        </w:numPr>
        <w:spacing w:before="120" w:after="120"/>
        <w:ind w:left="714" w:hanging="357"/>
        <w:contextualSpacing w:val="0"/>
      </w:pPr>
      <w:r>
        <w:t>h</w:t>
      </w:r>
      <w:r w:rsidR="00E65DA0" w:rsidRPr="00507989">
        <w:t>ow</w:t>
      </w:r>
      <w:r w:rsidR="00E65DA0">
        <w:t xml:space="preserve"> </w:t>
      </w:r>
      <w:r w:rsidR="00E65DA0" w:rsidRPr="00507989">
        <w:t>emissions</w:t>
      </w:r>
      <w:r w:rsidR="00E65DA0">
        <w:t xml:space="preserve"> </w:t>
      </w:r>
      <w:r w:rsidR="00E65DA0" w:rsidRPr="00507989">
        <w:t>budgets</w:t>
      </w:r>
      <w:r w:rsidR="00E65DA0">
        <w:t xml:space="preserve"> </w:t>
      </w:r>
      <w:r w:rsidR="00E65DA0" w:rsidRPr="00507989">
        <w:t>could</w:t>
      </w:r>
      <w:r w:rsidR="00E65DA0">
        <w:t xml:space="preserve"> </w:t>
      </w:r>
      <w:r w:rsidR="00E65DA0" w:rsidRPr="00507989">
        <w:t>be</w:t>
      </w:r>
      <w:r w:rsidR="00E65DA0">
        <w:t xml:space="preserve"> </w:t>
      </w:r>
      <w:r w:rsidR="00E65DA0" w:rsidRPr="00507989">
        <w:t>met</w:t>
      </w:r>
      <w:r w:rsidR="00E65DA0">
        <w:t xml:space="preserve"> </w:t>
      </w:r>
      <w:r w:rsidR="00E65DA0" w:rsidRPr="00507989">
        <w:t>and</w:t>
      </w:r>
      <w:r w:rsidR="00E65DA0">
        <w:t xml:space="preserve"> </w:t>
      </w:r>
      <w:r w:rsidR="00E65DA0" w:rsidRPr="00507989">
        <w:t>the</w:t>
      </w:r>
      <w:r w:rsidR="00E65DA0">
        <w:t xml:space="preserve"> </w:t>
      </w:r>
      <w:r w:rsidR="00E65DA0" w:rsidRPr="00507989">
        <w:t>direction</w:t>
      </w:r>
      <w:r w:rsidR="00E65DA0">
        <w:t xml:space="preserve"> </w:t>
      </w:r>
      <w:r w:rsidR="00E65DA0" w:rsidRPr="00507989">
        <w:t>of</w:t>
      </w:r>
      <w:r w:rsidR="00E65DA0">
        <w:t xml:space="preserve"> </w:t>
      </w:r>
      <w:r w:rsidR="00E65DA0" w:rsidRPr="00507989">
        <w:t>policy</w:t>
      </w:r>
      <w:r w:rsidR="00E65DA0">
        <w:t xml:space="preserve"> </w:t>
      </w:r>
      <w:r w:rsidR="00E65DA0" w:rsidRPr="00507989">
        <w:t>for</w:t>
      </w:r>
      <w:r w:rsidR="00E65DA0">
        <w:t xml:space="preserve"> </w:t>
      </w:r>
      <w:r w:rsidR="00E65DA0" w:rsidRPr="00507989">
        <w:t>achieving</w:t>
      </w:r>
      <w:r w:rsidR="00E65DA0">
        <w:t xml:space="preserve"> </w:t>
      </w:r>
      <w:r w:rsidR="00E65DA0" w:rsidRPr="00507989">
        <w:t>them.</w:t>
      </w:r>
      <w:r w:rsidR="00E65DA0">
        <w:t xml:space="preserve"> </w:t>
      </w:r>
    </w:p>
    <w:p w14:paraId="49D54F4D" w14:textId="3F1003F1" w:rsidR="00EB1AE7" w:rsidRDefault="00723FD0" w:rsidP="00E65DA0">
      <w:r>
        <w:t>The impact of C</w:t>
      </w:r>
      <w:r w:rsidR="00D13A0F">
        <w:t>OVID</w:t>
      </w:r>
      <w:r>
        <w:t xml:space="preserve">-19 on society and the economy has been factored into our emissions budgets. </w:t>
      </w:r>
    </w:p>
    <w:p w14:paraId="318720D7" w14:textId="43F4C764" w:rsidR="00E65DA0" w:rsidRPr="00507989" w:rsidRDefault="00E65DA0" w:rsidP="00E65DA0">
      <w:r w:rsidRPr="00507989">
        <w:t>Under</w:t>
      </w:r>
      <w:r>
        <w:t xml:space="preserve"> </w:t>
      </w:r>
      <w:r w:rsidRPr="00507989">
        <w:t>the</w:t>
      </w:r>
      <w:r>
        <w:t xml:space="preserve"> </w:t>
      </w:r>
      <w:r w:rsidRPr="00507989">
        <w:t>Climate</w:t>
      </w:r>
      <w:r>
        <w:t xml:space="preserve"> </w:t>
      </w:r>
      <w:r w:rsidRPr="00507989">
        <w:t>Change</w:t>
      </w:r>
      <w:r>
        <w:t xml:space="preserve"> </w:t>
      </w:r>
      <w:r w:rsidRPr="00507989">
        <w:t>Response</w:t>
      </w:r>
      <w:r>
        <w:t xml:space="preserve"> </w:t>
      </w:r>
      <w:r w:rsidRPr="00507989">
        <w:t>Act,</w:t>
      </w:r>
      <w:r>
        <w:t xml:space="preserve"> </w:t>
      </w:r>
      <w:r w:rsidRPr="00507989">
        <w:t>we</w:t>
      </w:r>
      <w:r>
        <w:t xml:space="preserve"> must </w:t>
      </w:r>
      <w:r w:rsidRPr="00507989">
        <w:t>provide</w:t>
      </w:r>
      <w:r>
        <w:t xml:space="preserve"> </w:t>
      </w:r>
      <w:r w:rsidRPr="00507989">
        <w:t>the</w:t>
      </w:r>
      <w:r>
        <w:t xml:space="preserve"> </w:t>
      </w:r>
      <w:r w:rsidRPr="00507989">
        <w:t>Minister</w:t>
      </w:r>
      <w:r>
        <w:t xml:space="preserve"> </w:t>
      </w:r>
      <w:r w:rsidRPr="00507989">
        <w:t>for</w:t>
      </w:r>
      <w:r>
        <w:t xml:space="preserve"> </w:t>
      </w:r>
      <w:r w:rsidRPr="00507989">
        <w:t>Climate</w:t>
      </w:r>
      <w:r>
        <w:t xml:space="preserve"> </w:t>
      </w:r>
      <w:r w:rsidRPr="00507989">
        <w:t>Change</w:t>
      </w:r>
      <w:r>
        <w:t xml:space="preserve"> </w:t>
      </w:r>
      <w:r w:rsidRPr="00507989">
        <w:t>with</w:t>
      </w:r>
      <w:r>
        <w:t xml:space="preserve"> </w:t>
      </w:r>
      <w:r w:rsidRPr="00507989">
        <w:t>advice</w:t>
      </w:r>
      <w:r>
        <w:t xml:space="preserve"> </w:t>
      </w:r>
      <w:r w:rsidRPr="00507989">
        <w:t>on</w:t>
      </w:r>
      <w:r>
        <w:t xml:space="preserve"> </w:t>
      </w:r>
      <w:r w:rsidRPr="00507989">
        <w:t>the</w:t>
      </w:r>
      <w:r>
        <w:t xml:space="preserve"> </w:t>
      </w:r>
      <w:r w:rsidRPr="00507989">
        <w:t>level</w:t>
      </w:r>
      <w:r>
        <w:t xml:space="preserve"> </w:t>
      </w:r>
      <w:r w:rsidRPr="00507989">
        <w:t>of</w:t>
      </w:r>
      <w:r>
        <w:t xml:space="preserve"> </w:t>
      </w:r>
      <w:r w:rsidRPr="00507989">
        <w:t>the</w:t>
      </w:r>
      <w:r>
        <w:t xml:space="preserve"> </w:t>
      </w:r>
      <w:r w:rsidRPr="00507989">
        <w:t>first</w:t>
      </w:r>
      <w:r>
        <w:t xml:space="preserve"> </w:t>
      </w:r>
      <w:r w:rsidRPr="00507989">
        <w:t>three</w:t>
      </w:r>
      <w:r>
        <w:t xml:space="preserve"> </w:t>
      </w:r>
      <w:r w:rsidRPr="00507989">
        <w:t>emissions</w:t>
      </w:r>
      <w:r>
        <w:t xml:space="preserve"> </w:t>
      </w:r>
      <w:r w:rsidRPr="00507989">
        <w:t>budgets.</w:t>
      </w:r>
      <w:r>
        <w:t xml:space="preserve"> </w:t>
      </w:r>
      <w:r w:rsidRPr="00507989">
        <w:t>The</w:t>
      </w:r>
      <w:r>
        <w:t xml:space="preserve"> </w:t>
      </w:r>
      <w:r w:rsidRPr="00507989">
        <w:t>first</w:t>
      </w:r>
      <w:r>
        <w:t xml:space="preserve"> </w:t>
      </w:r>
      <w:r w:rsidRPr="00507989">
        <w:t>emissions</w:t>
      </w:r>
      <w:r>
        <w:t xml:space="preserve"> </w:t>
      </w:r>
      <w:r w:rsidRPr="00507989">
        <w:t>budget</w:t>
      </w:r>
      <w:r>
        <w:t xml:space="preserve"> </w:t>
      </w:r>
      <w:r w:rsidRPr="00507989">
        <w:t>covers</w:t>
      </w:r>
      <w:r>
        <w:t xml:space="preserve"> </w:t>
      </w:r>
      <w:r w:rsidRPr="00507989">
        <w:t>the</w:t>
      </w:r>
      <w:r>
        <w:t xml:space="preserve"> </w:t>
      </w:r>
      <w:r w:rsidRPr="00507989">
        <w:t>4-year</w:t>
      </w:r>
      <w:r>
        <w:t xml:space="preserve"> </w:t>
      </w:r>
      <w:r w:rsidRPr="00507989">
        <w:lastRenderedPageBreak/>
        <w:t>period</w:t>
      </w:r>
      <w:r>
        <w:t xml:space="preserve"> </w:t>
      </w:r>
      <w:r w:rsidRPr="00507989">
        <w:t>from</w:t>
      </w:r>
      <w:r>
        <w:t xml:space="preserve"> </w:t>
      </w:r>
      <w:r w:rsidRPr="00507989">
        <w:t>2022</w:t>
      </w:r>
      <w:r>
        <w:t xml:space="preserve"> </w:t>
      </w:r>
      <w:r w:rsidRPr="00507989">
        <w:t>–</w:t>
      </w:r>
      <w:r>
        <w:t xml:space="preserve"> </w:t>
      </w:r>
      <w:r w:rsidRPr="00507989">
        <w:t>2025,</w:t>
      </w:r>
      <w:r>
        <w:t xml:space="preserve"> </w:t>
      </w:r>
      <w:r w:rsidRPr="00507989">
        <w:t>while</w:t>
      </w:r>
      <w:r>
        <w:t xml:space="preserve"> </w:t>
      </w:r>
      <w:r w:rsidRPr="00507989">
        <w:t>the</w:t>
      </w:r>
      <w:r>
        <w:t xml:space="preserve"> </w:t>
      </w:r>
      <w:r w:rsidRPr="00507989">
        <w:t>second</w:t>
      </w:r>
      <w:r>
        <w:t xml:space="preserve"> </w:t>
      </w:r>
      <w:r w:rsidRPr="00507989">
        <w:t>and</w:t>
      </w:r>
      <w:r>
        <w:t xml:space="preserve"> </w:t>
      </w:r>
      <w:r w:rsidRPr="00507989">
        <w:t>third</w:t>
      </w:r>
      <w:r>
        <w:t xml:space="preserve"> </w:t>
      </w:r>
      <w:r w:rsidRPr="00507989">
        <w:t>budgets</w:t>
      </w:r>
      <w:r>
        <w:t xml:space="preserve"> </w:t>
      </w:r>
      <w:r w:rsidRPr="00507989">
        <w:t>are</w:t>
      </w:r>
      <w:r>
        <w:t xml:space="preserve"> </w:t>
      </w:r>
      <w:r w:rsidRPr="00507989">
        <w:t>both</w:t>
      </w:r>
      <w:r>
        <w:t xml:space="preserve"> </w:t>
      </w:r>
      <w:r w:rsidRPr="00507989">
        <w:t>5</w:t>
      </w:r>
      <w:r>
        <w:t xml:space="preserve"> </w:t>
      </w:r>
      <w:r w:rsidRPr="00507989">
        <w:t>years</w:t>
      </w:r>
      <w:r>
        <w:t xml:space="preserve">, </w:t>
      </w:r>
      <w:r w:rsidRPr="00507989">
        <w:t>covering</w:t>
      </w:r>
      <w:r>
        <w:t xml:space="preserve"> </w:t>
      </w:r>
      <w:r w:rsidRPr="00507989">
        <w:t>2026</w:t>
      </w:r>
      <w:r>
        <w:t xml:space="preserve"> </w:t>
      </w:r>
      <w:r w:rsidRPr="00507989">
        <w:t>–</w:t>
      </w:r>
      <w:r>
        <w:t xml:space="preserve"> </w:t>
      </w:r>
      <w:r w:rsidRPr="00507989">
        <w:t>2030</w:t>
      </w:r>
      <w:r>
        <w:t xml:space="preserve"> </w:t>
      </w:r>
      <w:r w:rsidRPr="00507989">
        <w:t>and</w:t>
      </w:r>
      <w:r>
        <w:t xml:space="preserve"> </w:t>
      </w:r>
      <w:r w:rsidRPr="00507989">
        <w:t>2031</w:t>
      </w:r>
      <w:r>
        <w:t xml:space="preserve"> </w:t>
      </w:r>
      <w:r w:rsidRPr="00507989">
        <w:t>–</w:t>
      </w:r>
      <w:r>
        <w:t xml:space="preserve"> </w:t>
      </w:r>
      <w:r w:rsidRPr="00507989">
        <w:t>2035.</w:t>
      </w:r>
      <w:r>
        <w:t xml:space="preserve"> </w:t>
      </w:r>
      <w:r w:rsidR="00630FCA">
        <w:t xml:space="preserve">Our proposed emissions budgets are provided in Budget recommendation 1. </w:t>
      </w:r>
    </w:p>
    <w:p w14:paraId="2803AC54" w14:textId="67DFFD94" w:rsidR="00E65DA0" w:rsidRPr="00507989" w:rsidRDefault="00E65DA0" w:rsidP="00E65DA0">
      <w:r w:rsidRPr="00507989">
        <w:t>We</w:t>
      </w:r>
      <w:r>
        <w:t xml:space="preserve"> </w:t>
      </w:r>
      <w:r w:rsidRPr="00507989">
        <w:t>are</w:t>
      </w:r>
      <w:r>
        <w:t xml:space="preserve"> </w:t>
      </w:r>
      <w:r w:rsidRPr="00507989">
        <w:t>required</w:t>
      </w:r>
      <w:r>
        <w:t xml:space="preserve"> </w:t>
      </w:r>
      <w:r w:rsidRPr="00507989">
        <w:t>under</w:t>
      </w:r>
      <w:r>
        <w:t xml:space="preserve"> </w:t>
      </w:r>
      <w:r w:rsidRPr="00507989">
        <w:t>the</w:t>
      </w:r>
      <w:r>
        <w:t xml:space="preserve"> </w:t>
      </w:r>
      <w:r w:rsidRPr="00507989">
        <w:t>Act</w:t>
      </w:r>
      <w:r>
        <w:t xml:space="preserve"> </w:t>
      </w:r>
      <w:r w:rsidRPr="00507989">
        <w:t>to</w:t>
      </w:r>
      <w:r>
        <w:t xml:space="preserve"> </w:t>
      </w:r>
      <w:r w:rsidRPr="00507989">
        <w:t>provide</w:t>
      </w:r>
      <w:r>
        <w:t xml:space="preserve"> </w:t>
      </w:r>
      <w:r w:rsidRPr="00507989">
        <w:t>emissions</w:t>
      </w:r>
      <w:r>
        <w:t xml:space="preserve"> </w:t>
      </w:r>
      <w:r w:rsidRPr="00507989">
        <w:t>budgets</w:t>
      </w:r>
      <w:r>
        <w:t xml:space="preserve"> </w:t>
      </w:r>
      <w:r w:rsidRPr="00507989">
        <w:t>that</w:t>
      </w:r>
      <w:r>
        <w:t xml:space="preserve"> </w:t>
      </w:r>
      <w:r w:rsidRPr="00507989">
        <w:t>include</w:t>
      </w:r>
      <w:r>
        <w:t xml:space="preserve"> </w:t>
      </w:r>
      <w:r w:rsidRPr="00507989">
        <w:t>all</w:t>
      </w:r>
      <w:r>
        <w:t xml:space="preserve"> </w:t>
      </w:r>
      <w:r w:rsidRPr="00507989">
        <w:t>greenhouse</w:t>
      </w:r>
      <w:r>
        <w:t xml:space="preserve"> </w:t>
      </w:r>
      <w:r w:rsidRPr="00507989">
        <w:t>gases</w:t>
      </w:r>
      <w:r>
        <w:t xml:space="preserve"> </w:t>
      </w:r>
      <w:r w:rsidRPr="00507989">
        <w:t>expressed</w:t>
      </w:r>
      <w:r>
        <w:t xml:space="preserve"> </w:t>
      </w:r>
      <w:r w:rsidRPr="00507989">
        <w:t>as</w:t>
      </w:r>
      <w:r>
        <w:t xml:space="preserve"> </w:t>
      </w:r>
      <w:r w:rsidRPr="00507989">
        <w:t>a</w:t>
      </w:r>
      <w:r>
        <w:t xml:space="preserve"> </w:t>
      </w:r>
      <w:r w:rsidRPr="00507989">
        <w:t>net</w:t>
      </w:r>
      <w:r>
        <w:t xml:space="preserve"> </w:t>
      </w:r>
      <w:r w:rsidRPr="00507989">
        <w:t>quantity</w:t>
      </w:r>
      <w:r>
        <w:t xml:space="preserve"> </w:t>
      </w:r>
      <w:r w:rsidRPr="00507989">
        <w:t>of</w:t>
      </w:r>
      <w:r>
        <w:t xml:space="preserve"> </w:t>
      </w:r>
      <w:r w:rsidRPr="00507989">
        <w:t>carbon</w:t>
      </w:r>
      <w:r>
        <w:t xml:space="preserve"> </w:t>
      </w:r>
      <w:r w:rsidRPr="00507989">
        <w:t>dioxide</w:t>
      </w:r>
      <w:r>
        <w:t xml:space="preserve"> </w:t>
      </w:r>
      <w:r w:rsidRPr="00507989">
        <w:t>equivalent.</w:t>
      </w:r>
      <w:r>
        <w:t xml:space="preserve"> </w:t>
      </w:r>
      <w:r w:rsidR="00B10445">
        <w:t>In the next section, w</w:t>
      </w:r>
      <w:r w:rsidRPr="00507989">
        <w:t>e</w:t>
      </w:r>
      <w:r>
        <w:t xml:space="preserve"> </w:t>
      </w:r>
      <w:r w:rsidRPr="00507989">
        <w:t>also</w:t>
      </w:r>
      <w:r>
        <w:t xml:space="preserve"> provide </w:t>
      </w:r>
      <w:r w:rsidRPr="00507989">
        <w:t>the</w:t>
      </w:r>
      <w:r>
        <w:t xml:space="preserve"> </w:t>
      </w:r>
      <w:r w:rsidRPr="00507989">
        <w:t>breakdown</w:t>
      </w:r>
      <w:r>
        <w:t xml:space="preserve"> </w:t>
      </w:r>
      <w:r w:rsidR="00DD61A0">
        <w:t xml:space="preserve">by gas and </w:t>
      </w:r>
      <w:r w:rsidRPr="00507989">
        <w:t>for</w:t>
      </w:r>
      <w:r>
        <w:t xml:space="preserve"> </w:t>
      </w:r>
      <w:r w:rsidRPr="00507989">
        <w:t>biogenic</w:t>
      </w:r>
      <w:r>
        <w:t xml:space="preserve"> </w:t>
      </w:r>
      <w:r w:rsidRPr="00507989">
        <w:t>methane</w:t>
      </w:r>
      <w:r>
        <w:t xml:space="preserve"> </w:t>
      </w:r>
      <w:r w:rsidRPr="00507989">
        <w:t>and</w:t>
      </w:r>
      <w:r>
        <w:t xml:space="preserve"> long-lived gases. </w:t>
      </w:r>
      <w:r w:rsidR="00DD61A0">
        <w:t>Providing the break</w:t>
      </w:r>
      <w:r w:rsidR="00D13A0F">
        <w:t>d</w:t>
      </w:r>
      <w:r w:rsidR="00DD61A0">
        <w:t>own of biogenic methane and long-lived gases</w:t>
      </w:r>
      <w:r>
        <w:t xml:space="preserve"> allow</w:t>
      </w:r>
      <w:r w:rsidR="00611E3F">
        <w:t>s</w:t>
      </w:r>
      <w:r>
        <w:t xml:space="preserve"> us to make </w:t>
      </w:r>
      <w:r w:rsidRPr="00507989">
        <w:t>important</w:t>
      </w:r>
      <w:r>
        <w:t xml:space="preserve"> </w:t>
      </w:r>
      <w:r w:rsidRPr="00507989">
        <w:t>distinctions</w:t>
      </w:r>
      <w:r>
        <w:t xml:space="preserve"> </w:t>
      </w:r>
      <w:r w:rsidRPr="00507989">
        <w:t>between</w:t>
      </w:r>
      <w:r>
        <w:t xml:space="preserve"> </w:t>
      </w:r>
      <w:r w:rsidRPr="00507989">
        <w:t>the</w:t>
      </w:r>
      <w:r>
        <w:t xml:space="preserve"> </w:t>
      </w:r>
      <w:r w:rsidRPr="00507989">
        <w:t>different</w:t>
      </w:r>
      <w:r>
        <w:t xml:space="preserve"> </w:t>
      </w:r>
      <w:r w:rsidRPr="00507989">
        <w:t>greenhouse</w:t>
      </w:r>
      <w:r>
        <w:t xml:space="preserve"> </w:t>
      </w:r>
      <w:r w:rsidRPr="00507989">
        <w:t>gases</w:t>
      </w:r>
      <w:r>
        <w:t xml:space="preserve"> </w:t>
      </w:r>
      <w:r w:rsidRPr="00507989">
        <w:t>and</w:t>
      </w:r>
      <w:r>
        <w:t xml:space="preserve"> </w:t>
      </w:r>
      <w:r w:rsidRPr="00507989">
        <w:t>to</w:t>
      </w:r>
      <w:r>
        <w:t xml:space="preserve"> </w:t>
      </w:r>
      <w:r w:rsidRPr="00507989">
        <w:t>align</w:t>
      </w:r>
      <w:r>
        <w:t xml:space="preserve"> </w:t>
      </w:r>
      <w:r w:rsidRPr="00507989">
        <w:t>with</w:t>
      </w:r>
      <w:r>
        <w:t xml:space="preserve"> </w:t>
      </w:r>
      <w:r w:rsidR="00527D05">
        <w:t>the country</w:t>
      </w:r>
      <w:r w:rsidR="00527D05" w:rsidRPr="00507989">
        <w:t>’s</w:t>
      </w:r>
      <w:r w:rsidR="00527D05">
        <w:t xml:space="preserve"> </w:t>
      </w:r>
      <w:r w:rsidRPr="00507989">
        <w:t>domestic</w:t>
      </w:r>
      <w:r>
        <w:t xml:space="preserve"> </w:t>
      </w:r>
      <w:r w:rsidRPr="00507989">
        <w:t>emissions</w:t>
      </w:r>
      <w:r>
        <w:t xml:space="preserve"> </w:t>
      </w:r>
      <w:r w:rsidRPr="00507989">
        <w:t>reduction</w:t>
      </w:r>
      <w:r>
        <w:t xml:space="preserve"> </w:t>
      </w:r>
      <w:r w:rsidRPr="00507989">
        <w:t>targets.</w:t>
      </w:r>
    </w:p>
    <w:p w14:paraId="1D0495E2" w14:textId="39D7FEA0" w:rsidR="00A716D0" w:rsidRPr="00127FF3" w:rsidRDefault="00ED7E6B" w:rsidP="00ED7E6B">
      <w:r w:rsidRPr="00BE6C5E">
        <w:t>Long-lived greenhouse gases, and our proposed all gases emissions budgets</w:t>
      </w:r>
      <w:r w:rsidR="00060ACF">
        <w:t>,</w:t>
      </w:r>
      <w:r w:rsidRPr="00BE6C5E">
        <w:t xml:space="preserve"> are expressed in units of Mt CO</w:t>
      </w:r>
      <w:r w:rsidRPr="00BE6C5E">
        <w:rPr>
          <w:vertAlign w:val="subscript"/>
        </w:rPr>
        <w:t>2</w:t>
      </w:r>
      <w:r w:rsidRPr="00BE6C5E">
        <w:t>e, based on the GWP</w:t>
      </w:r>
      <w:r w:rsidRPr="00EB0E04">
        <w:rPr>
          <w:vertAlign w:val="subscript"/>
        </w:rPr>
        <w:t>100</w:t>
      </w:r>
      <w:r w:rsidRPr="00BE6C5E">
        <w:t xml:space="preserve"> metric from the IPCC’s</w:t>
      </w:r>
      <w:r>
        <w:t xml:space="preserve"> AR4</w:t>
      </w:r>
      <w:r w:rsidRPr="00BE6C5E">
        <w:t>.</w:t>
      </w:r>
      <w:r>
        <w:t xml:space="preserve"> Net emissions and removals </w:t>
      </w:r>
      <w:r w:rsidR="00712B55">
        <w:t xml:space="preserve">by </w:t>
      </w:r>
      <w:r>
        <w:t xml:space="preserve">forestry are calculated using the modified activity-based approach (see </w:t>
      </w:r>
      <w:r w:rsidR="0085576D">
        <w:t>c</w:t>
      </w:r>
      <w:r>
        <w:t>hapter 7).</w:t>
      </w:r>
    </w:p>
    <w:tbl>
      <w:tblPr>
        <w:tblStyle w:val="GridTable4-Accent2"/>
        <w:tblW w:w="0" w:type="auto"/>
        <w:tblCellMar>
          <w:top w:w="57" w:type="dxa"/>
          <w:bottom w:w="57" w:type="dxa"/>
        </w:tblCellMar>
        <w:tblLook w:val="04A0" w:firstRow="1" w:lastRow="0" w:firstColumn="1" w:lastColumn="0" w:noHBand="0" w:noVBand="1"/>
      </w:tblPr>
      <w:tblGrid>
        <w:gridCol w:w="9016"/>
      </w:tblGrid>
      <w:tr w:rsidR="00C86B38" w:rsidRPr="00EA4071" w14:paraId="78CF8FAB"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F620384" w14:textId="77777777" w:rsidR="00C86B38" w:rsidRPr="00BA7CD8" w:rsidRDefault="00C86B38" w:rsidP="0052109F">
            <w:pPr>
              <w:pStyle w:val="Content"/>
              <w:spacing w:before="0" w:after="0"/>
              <w:jc w:val="center"/>
              <w:rPr>
                <w:bCs w:val="0"/>
                <w:color w:val="000000" w:themeColor="text1"/>
                <w:sz w:val="24"/>
                <w:szCs w:val="24"/>
                <w:lang w:val="en-US"/>
              </w:rPr>
            </w:pPr>
            <w:r>
              <w:rPr>
                <w:bCs w:val="0"/>
                <w:sz w:val="28"/>
                <w:szCs w:val="28"/>
              </w:rPr>
              <w:t>Budget</w:t>
            </w:r>
            <w:r w:rsidRPr="00BA7CD8">
              <w:rPr>
                <w:bCs w:val="0"/>
                <w:sz w:val="28"/>
                <w:szCs w:val="28"/>
              </w:rPr>
              <w:t xml:space="preserve"> recommendation 1</w:t>
            </w:r>
          </w:p>
          <w:p w14:paraId="3E2DA995" w14:textId="77777777" w:rsidR="00C86B38" w:rsidRPr="00EA4071" w:rsidRDefault="00C86B38" w:rsidP="0052109F">
            <w:pPr>
              <w:pStyle w:val="Content"/>
              <w:spacing w:before="0" w:after="0"/>
              <w:jc w:val="center"/>
              <w:rPr>
                <w:b w:val="0"/>
                <w:sz w:val="28"/>
                <w:szCs w:val="28"/>
              </w:rPr>
            </w:pPr>
            <w:r w:rsidRPr="00C86B38">
              <w:rPr>
                <w:b w:val="0"/>
                <w:sz w:val="28"/>
                <w:szCs w:val="28"/>
                <w:lang w:val="en-US"/>
              </w:rPr>
              <w:t>Emissions budget levels</w:t>
            </w:r>
          </w:p>
        </w:tc>
      </w:tr>
      <w:tr w:rsidR="00C86B38" w:rsidRPr="00EA4071" w14:paraId="45DC4838"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DC78B75" w14:textId="4097194E" w:rsidR="00C86B38" w:rsidRPr="00BC676A" w:rsidRDefault="00C86B38" w:rsidP="00DF5409">
            <w:pPr>
              <w:pStyle w:val="Content"/>
              <w:spacing w:after="240"/>
              <w:rPr>
                <w:bCs w:val="0"/>
              </w:rPr>
            </w:pPr>
            <w:r w:rsidRPr="00BC676A">
              <w:rPr>
                <w:bCs w:val="0"/>
              </w:rPr>
              <w:t xml:space="preserve">We recommend the Government </w:t>
            </w:r>
            <w:r w:rsidR="00ED7E6B" w:rsidRPr="00BC676A">
              <w:rPr>
                <w:bCs w:val="0"/>
              </w:rPr>
              <w:t>set</w:t>
            </w:r>
            <w:r w:rsidRPr="00BC676A">
              <w:rPr>
                <w:bCs w:val="0"/>
              </w:rPr>
              <w:t xml:space="preserve"> </w:t>
            </w:r>
            <w:r w:rsidR="00755174" w:rsidRPr="00BC676A">
              <w:rPr>
                <w:bCs w:val="0"/>
              </w:rPr>
              <w:t xml:space="preserve">and meet </w:t>
            </w:r>
            <w:r w:rsidRPr="00BC676A">
              <w:rPr>
                <w:bCs w:val="0"/>
              </w:rPr>
              <w:t xml:space="preserve">the emissions budgets as outlined in </w:t>
            </w:r>
            <w:r w:rsidR="009E3246" w:rsidRPr="00BC676A">
              <w:rPr>
                <w:bCs w:val="0"/>
              </w:rPr>
              <w:t>the table below</w:t>
            </w:r>
            <w:r w:rsidRPr="00BC676A">
              <w:rPr>
                <w:bCs w:val="0"/>
              </w:rPr>
              <w:t>. The Government should adopt emissions budgets expressed using GWP</w:t>
            </w:r>
            <w:r w:rsidRPr="00BC676A">
              <w:rPr>
                <w:bCs w:val="0"/>
                <w:vertAlign w:val="subscript"/>
              </w:rPr>
              <w:t>100</w:t>
            </w:r>
            <w:r w:rsidRPr="00BC676A">
              <w:rPr>
                <w:bCs w:val="0"/>
              </w:rPr>
              <w:t xml:space="preserve"> values from the IPCC’s fifth assessment report (AR5) for consistency with international obligations relating to Inventory reporting. </w:t>
            </w:r>
          </w:p>
          <w:tbl>
            <w:tblPr>
              <w:tblStyle w:val="TableGrid"/>
              <w:tblW w:w="8673" w:type="dxa"/>
              <w:tblLook w:val="04A0" w:firstRow="1" w:lastRow="0" w:firstColumn="1" w:lastColumn="0" w:noHBand="0" w:noVBand="1"/>
            </w:tblPr>
            <w:tblGrid>
              <w:gridCol w:w="1871"/>
              <w:gridCol w:w="1474"/>
              <w:gridCol w:w="1757"/>
              <w:gridCol w:w="1814"/>
              <w:gridCol w:w="1757"/>
            </w:tblGrid>
            <w:tr w:rsidR="009E3246" w14:paraId="3605315A" w14:textId="77777777" w:rsidTr="00DF5409">
              <w:tc>
                <w:tcPr>
                  <w:tcW w:w="1871" w:type="dxa"/>
                  <w:tcBorders>
                    <w:top w:val="single" w:sz="12" w:space="0" w:color="auto"/>
                    <w:left w:val="single" w:sz="12" w:space="0" w:color="auto"/>
                    <w:bottom w:val="single" w:sz="12" w:space="0" w:color="auto"/>
                  </w:tcBorders>
                </w:tcPr>
                <w:p w14:paraId="7B3DD68D" w14:textId="77777777" w:rsidR="009E3246" w:rsidRDefault="009E3246" w:rsidP="009E3246">
                  <w:pPr>
                    <w:spacing w:before="120" w:after="120"/>
                  </w:pPr>
                </w:p>
              </w:tc>
              <w:tc>
                <w:tcPr>
                  <w:tcW w:w="1474" w:type="dxa"/>
                  <w:tcBorders>
                    <w:top w:val="single" w:sz="12" w:space="0" w:color="auto"/>
                    <w:bottom w:val="single" w:sz="12" w:space="0" w:color="auto"/>
                  </w:tcBorders>
                </w:tcPr>
                <w:p w14:paraId="17A0FD56" w14:textId="77777777" w:rsidR="000F799E" w:rsidRDefault="000F799E" w:rsidP="009E3246">
                  <w:pPr>
                    <w:spacing w:before="120" w:after="120"/>
                    <w:jc w:val="center"/>
                    <w:rPr>
                      <w:b/>
                      <w:highlight w:val="green"/>
                    </w:rPr>
                  </w:pPr>
                </w:p>
                <w:p w14:paraId="0E5CD144" w14:textId="796DCEC5" w:rsidR="009E3246" w:rsidRPr="0083178B" w:rsidRDefault="009E3246" w:rsidP="009E3246">
                  <w:pPr>
                    <w:spacing w:before="120" w:after="120"/>
                    <w:jc w:val="center"/>
                    <w:rPr>
                      <w:b/>
                      <w:highlight w:val="green"/>
                    </w:rPr>
                  </w:pPr>
                  <w:r w:rsidRPr="00E654ED">
                    <w:rPr>
                      <w:b/>
                    </w:rPr>
                    <w:t>201</w:t>
                  </w:r>
                  <w:r w:rsidR="000F799E" w:rsidRPr="0083178B">
                    <w:rPr>
                      <w:b/>
                    </w:rPr>
                    <w:t>8</w:t>
                  </w:r>
                </w:p>
              </w:tc>
              <w:tc>
                <w:tcPr>
                  <w:tcW w:w="1757" w:type="dxa"/>
                  <w:tcBorders>
                    <w:top w:val="single" w:sz="12" w:space="0" w:color="auto"/>
                    <w:bottom w:val="single" w:sz="12" w:space="0" w:color="auto"/>
                  </w:tcBorders>
                </w:tcPr>
                <w:p w14:paraId="19D4E2DD" w14:textId="77777777" w:rsidR="009E3246" w:rsidRPr="00433D3F" w:rsidRDefault="009E3246" w:rsidP="009E3246">
                  <w:pPr>
                    <w:spacing w:before="120" w:after="120"/>
                    <w:jc w:val="center"/>
                    <w:rPr>
                      <w:b/>
                      <w:bCs/>
                    </w:rPr>
                  </w:pPr>
                  <w:r w:rsidRPr="00433D3F">
                    <w:rPr>
                      <w:b/>
                      <w:bCs/>
                    </w:rPr>
                    <w:t xml:space="preserve">Emissions </w:t>
                  </w:r>
                  <w:r>
                    <w:rPr>
                      <w:b/>
                      <w:bCs/>
                    </w:rPr>
                    <w:br/>
                  </w:r>
                  <w:r w:rsidRPr="00433D3F">
                    <w:rPr>
                      <w:b/>
                      <w:bCs/>
                    </w:rPr>
                    <w:t>budget 1</w:t>
                  </w:r>
                  <w:r>
                    <w:rPr>
                      <w:b/>
                      <w:bCs/>
                    </w:rPr>
                    <w:br/>
                    <w:t>(2022 – 2025)</w:t>
                  </w:r>
                </w:p>
              </w:tc>
              <w:tc>
                <w:tcPr>
                  <w:tcW w:w="1814" w:type="dxa"/>
                  <w:tcBorders>
                    <w:top w:val="single" w:sz="12" w:space="0" w:color="auto"/>
                    <w:bottom w:val="single" w:sz="12" w:space="0" w:color="auto"/>
                  </w:tcBorders>
                </w:tcPr>
                <w:p w14:paraId="171004DD" w14:textId="77777777" w:rsidR="009E3246" w:rsidRPr="00433D3F" w:rsidRDefault="009E3246" w:rsidP="009E3246">
                  <w:pPr>
                    <w:spacing w:before="120" w:after="120"/>
                    <w:jc w:val="center"/>
                    <w:rPr>
                      <w:b/>
                      <w:bCs/>
                    </w:rPr>
                  </w:pPr>
                  <w:r w:rsidRPr="00433D3F">
                    <w:rPr>
                      <w:b/>
                      <w:bCs/>
                    </w:rPr>
                    <w:t xml:space="preserve">Emissions </w:t>
                  </w:r>
                  <w:r>
                    <w:rPr>
                      <w:b/>
                      <w:bCs/>
                    </w:rPr>
                    <w:br/>
                  </w:r>
                  <w:r w:rsidRPr="00433D3F">
                    <w:rPr>
                      <w:b/>
                      <w:bCs/>
                    </w:rPr>
                    <w:t>budget 2</w:t>
                  </w:r>
                  <w:r>
                    <w:rPr>
                      <w:b/>
                      <w:bCs/>
                    </w:rPr>
                    <w:br/>
                    <w:t>(2026 – 2030)</w:t>
                  </w:r>
                </w:p>
              </w:tc>
              <w:tc>
                <w:tcPr>
                  <w:tcW w:w="1757" w:type="dxa"/>
                  <w:tcBorders>
                    <w:top w:val="single" w:sz="12" w:space="0" w:color="auto"/>
                    <w:bottom w:val="single" w:sz="12" w:space="0" w:color="auto"/>
                    <w:right w:val="single" w:sz="12" w:space="0" w:color="auto"/>
                  </w:tcBorders>
                </w:tcPr>
                <w:p w14:paraId="5C975E30" w14:textId="77777777" w:rsidR="009E3246" w:rsidRPr="00433D3F" w:rsidRDefault="009E3246" w:rsidP="009E3246">
                  <w:pPr>
                    <w:spacing w:before="120" w:after="120"/>
                    <w:jc w:val="center"/>
                    <w:rPr>
                      <w:b/>
                      <w:bCs/>
                    </w:rPr>
                  </w:pPr>
                  <w:r w:rsidRPr="00433D3F">
                    <w:rPr>
                      <w:b/>
                      <w:bCs/>
                    </w:rPr>
                    <w:t xml:space="preserve">Emissions </w:t>
                  </w:r>
                  <w:r>
                    <w:rPr>
                      <w:b/>
                      <w:bCs/>
                    </w:rPr>
                    <w:br/>
                  </w:r>
                  <w:r w:rsidRPr="00433D3F">
                    <w:rPr>
                      <w:b/>
                      <w:bCs/>
                    </w:rPr>
                    <w:t xml:space="preserve">budget </w:t>
                  </w:r>
                  <w:r>
                    <w:rPr>
                      <w:b/>
                      <w:bCs/>
                    </w:rPr>
                    <w:t>3</w:t>
                  </w:r>
                  <w:r>
                    <w:rPr>
                      <w:b/>
                      <w:bCs/>
                    </w:rPr>
                    <w:br/>
                    <w:t>(2031 – 2035)</w:t>
                  </w:r>
                </w:p>
              </w:tc>
            </w:tr>
            <w:tr w:rsidR="00AD28A9" w14:paraId="0825B358" w14:textId="77777777" w:rsidTr="00DF5409">
              <w:tc>
                <w:tcPr>
                  <w:tcW w:w="1871" w:type="dxa"/>
                  <w:tcBorders>
                    <w:top w:val="single" w:sz="12" w:space="0" w:color="auto"/>
                    <w:left w:val="single" w:sz="12" w:space="0" w:color="auto"/>
                  </w:tcBorders>
                </w:tcPr>
                <w:p w14:paraId="00432257" w14:textId="5EBB4DD3" w:rsidR="00AD28A9" w:rsidRPr="00433D3F" w:rsidRDefault="00AD28A9" w:rsidP="00AD28A9">
                  <w:pPr>
                    <w:spacing w:before="120" w:after="120"/>
                    <w:rPr>
                      <w:b/>
                      <w:bCs/>
                    </w:rPr>
                  </w:pPr>
                  <w:r>
                    <w:rPr>
                      <w:b/>
                      <w:bCs/>
                    </w:rPr>
                    <w:t>All gases</w:t>
                  </w:r>
                  <w:r w:rsidR="00EB2EE1">
                    <w:rPr>
                      <w:b/>
                      <w:bCs/>
                    </w:rPr>
                    <w:t>, net</w:t>
                  </w:r>
                  <w:r>
                    <w:rPr>
                      <w:b/>
                      <w:bCs/>
                    </w:rPr>
                    <w:t xml:space="preserve"> (AR4)</w:t>
                  </w:r>
                </w:p>
              </w:tc>
              <w:tc>
                <w:tcPr>
                  <w:tcW w:w="1474" w:type="dxa"/>
                  <w:tcBorders>
                    <w:top w:val="single" w:sz="12" w:space="0" w:color="auto"/>
                  </w:tcBorders>
                  <w:vAlign w:val="center"/>
                </w:tcPr>
                <w:p w14:paraId="2A891283" w14:textId="77777777" w:rsidR="00AD28A9" w:rsidRPr="0083178B" w:rsidRDefault="00AD28A9" w:rsidP="00AD28A9">
                  <w:pPr>
                    <w:spacing w:before="120" w:after="120"/>
                    <w:jc w:val="center"/>
                    <w:rPr>
                      <w:highlight w:val="green"/>
                    </w:rPr>
                  </w:pPr>
                </w:p>
              </w:tc>
              <w:tc>
                <w:tcPr>
                  <w:tcW w:w="1757" w:type="dxa"/>
                  <w:tcBorders>
                    <w:top w:val="single" w:sz="12" w:space="0" w:color="auto"/>
                  </w:tcBorders>
                  <w:vAlign w:val="center"/>
                </w:tcPr>
                <w:p w14:paraId="6797FA30" w14:textId="2881C1EF" w:rsidR="00AD28A9" w:rsidRPr="00AD28A9" w:rsidRDefault="00AD28A9" w:rsidP="00AD28A9">
                  <w:pPr>
                    <w:spacing w:before="120" w:after="120"/>
                    <w:jc w:val="center"/>
                  </w:pPr>
                  <w:r w:rsidRPr="00AD28A9">
                    <w:t>271 Mt CO</w:t>
                  </w:r>
                  <w:r w:rsidRPr="00AD28A9">
                    <w:rPr>
                      <w:vertAlign w:val="subscript"/>
                    </w:rPr>
                    <w:t>2</w:t>
                  </w:r>
                  <w:r w:rsidRPr="00AD28A9">
                    <w:t>e</w:t>
                  </w:r>
                </w:p>
              </w:tc>
              <w:tc>
                <w:tcPr>
                  <w:tcW w:w="1814" w:type="dxa"/>
                  <w:tcBorders>
                    <w:top w:val="single" w:sz="12" w:space="0" w:color="auto"/>
                  </w:tcBorders>
                  <w:vAlign w:val="center"/>
                </w:tcPr>
                <w:p w14:paraId="4C66006B" w14:textId="493D66AB" w:rsidR="00AD28A9" w:rsidRPr="00AD28A9" w:rsidRDefault="00AD28A9" w:rsidP="00AD28A9">
                  <w:pPr>
                    <w:spacing w:before="120" w:after="120"/>
                    <w:jc w:val="center"/>
                  </w:pPr>
                  <w:r w:rsidRPr="00AD28A9">
                    <w:t>286 Mt CO</w:t>
                  </w:r>
                  <w:r w:rsidRPr="00AD28A9">
                    <w:rPr>
                      <w:vertAlign w:val="subscript"/>
                    </w:rPr>
                    <w:t>2</w:t>
                  </w:r>
                  <w:r w:rsidRPr="00AD28A9">
                    <w:t>e</w:t>
                  </w:r>
                </w:p>
              </w:tc>
              <w:tc>
                <w:tcPr>
                  <w:tcW w:w="1757" w:type="dxa"/>
                  <w:tcBorders>
                    <w:top w:val="single" w:sz="12" w:space="0" w:color="auto"/>
                    <w:right w:val="single" w:sz="12" w:space="0" w:color="auto"/>
                  </w:tcBorders>
                  <w:vAlign w:val="center"/>
                </w:tcPr>
                <w:p w14:paraId="002AE1D1" w14:textId="1DF8164A" w:rsidR="00AD28A9" w:rsidRPr="00AD28A9" w:rsidRDefault="00AD28A9" w:rsidP="00AD28A9">
                  <w:pPr>
                    <w:spacing w:before="120" w:after="120"/>
                    <w:jc w:val="center"/>
                  </w:pPr>
                  <w:r w:rsidRPr="00AD28A9">
                    <w:t>223 Mt CO</w:t>
                  </w:r>
                  <w:r w:rsidRPr="00AD28A9">
                    <w:rPr>
                      <w:vertAlign w:val="subscript"/>
                    </w:rPr>
                    <w:t>2</w:t>
                  </w:r>
                  <w:r w:rsidRPr="00AD28A9">
                    <w:t>e</w:t>
                  </w:r>
                </w:p>
              </w:tc>
            </w:tr>
            <w:tr w:rsidR="00AD28A9" w14:paraId="7DEA1B03" w14:textId="77777777" w:rsidTr="00DF5409">
              <w:tc>
                <w:tcPr>
                  <w:tcW w:w="1871" w:type="dxa"/>
                  <w:tcBorders>
                    <w:left w:val="single" w:sz="12" w:space="0" w:color="auto"/>
                    <w:bottom w:val="single" w:sz="12" w:space="0" w:color="auto"/>
                  </w:tcBorders>
                </w:tcPr>
                <w:p w14:paraId="295DF516" w14:textId="7F31E4EC" w:rsidR="00AD28A9" w:rsidRDefault="00AD28A9" w:rsidP="00AD28A9">
                  <w:pPr>
                    <w:spacing w:before="120" w:after="120"/>
                  </w:pPr>
                  <w:r>
                    <w:t xml:space="preserve"> Annual average</w:t>
                  </w:r>
                </w:p>
              </w:tc>
              <w:tc>
                <w:tcPr>
                  <w:tcW w:w="1474" w:type="dxa"/>
                  <w:tcBorders>
                    <w:bottom w:val="single" w:sz="12" w:space="0" w:color="auto"/>
                  </w:tcBorders>
                  <w:vAlign w:val="center"/>
                </w:tcPr>
                <w:p w14:paraId="1490251A" w14:textId="60884A44" w:rsidR="00AD28A9" w:rsidRPr="00A022F6" w:rsidRDefault="00AD28A9" w:rsidP="00AD28A9">
                  <w:pPr>
                    <w:spacing w:before="120" w:after="120"/>
                    <w:jc w:val="center"/>
                  </w:pPr>
                  <w:r w:rsidRPr="00A022F6">
                    <w:t>6</w:t>
                  </w:r>
                  <w:r w:rsidR="00A022F6" w:rsidRPr="0083178B">
                    <w:t>9.2</w:t>
                  </w:r>
                  <w:r w:rsidRPr="00A022F6">
                    <w:t xml:space="preserve"> Mt CO</w:t>
                  </w:r>
                  <w:r w:rsidRPr="00A022F6">
                    <w:rPr>
                      <w:vertAlign w:val="subscript"/>
                    </w:rPr>
                    <w:t>2</w:t>
                  </w:r>
                  <w:r w:rsidRPr="00A022F6">
                    <w:t>e</w:t>
                  </w:r>
                </w:p>
              </w:tc>
              <w:tc>
                <w:tcPr>
                  <w:tcW w:w="1757" w:type="dxa"/>
                  <w:tcBorders>
                    <w:bottom w:val="single" w:sz="12" w:space="0" w:color="auto"/>
                  </w:tcBorders>
                  <w:vAlign w:val="center"/>
                </w:tcPr>
                <w:p w14:paraId="78EC120C" w14:textId="6057F3BF" w:rsidR="00AD28A9" w:rsidRPr="00AD28A9" w:rsidRDefault="00AD28A9" w:rsidP="00AD28A9">
                  <w:pPr>
                    <w:spacing w:before="120" w:after="120"/>
                    <w:jc w:val="center"/>
                  </w:pPr>
                  <w:r w:rsidRPr="00AD28A9">
                    <w:t>67.7 Mt CO</w:t>
                  </w:r>
                  <w:r w:rsidRPr="00AD28A9">
                    <w:rPr>
                      <w:vertAlign w:val="subscript"/>
                    </w:rPr>
                    <w:t>2</w:t>
                  </w:r>
                  <w:r w:rsidRPr="00AD28A9">
                    <w:t>e/</w:t>
                  </w:r>
                  <w:proofErr w:type="spellStart"/>
                  <w:r w:rsidRPr="00AD28A9">
                    <w:t>yr</w:t>
                  </w:r>
                  <w:proofErr w:type="spellEnd"/>
                </w:p>
              </w:tc>
              <w:tc>
                <w:tcPr>
                  <w:tcW w:w="1814" w:type="dxa"/>
                  <w:tcBorders>
                    <w:bottom w:val="single" w:sz="12" w:space="0" w:color="auto"/>
                  </w:tcBorders>
                  <w:vAlign w:val="center"/>
                </w:tcPr>
                <w:p w14:paraId="137D5661" w14:textId="364AF195" w:rsidR="00AD28A9" w:rsidRPr="00AD28A9" w:rsidRDefault="00AD28A9" w:rsidP="00AD28A9">
                  <w:pPr>
                    <w:spacing w:before="120" w:after="120"/>
                    <w:jc w:val="center"/>
                  </w:pPr>
                  <w:r w:rsidRPr="00AD28A9">
                    <w:t>57.3 Mt CO</w:t>
                  </w:r>
                  <w:r w:rsidRPr="00AD28A9">
                    <w:rPr>
                      <w:vertAlign w:val="subscript"/>
                    </w:rPr>
                    <w:t>2</w:t>
                  </w:r>
                  <w:r w:rsidRPr="00AD28A9">
                    <w:t>e/</w:t>
                  </w:r>
                  <w:proofErr w:type="spellStart"/>
                  <w:r w:rsidRPr="00AD28A9">
                    <w:t>yr</w:t>
                  </w:r>
                  <w:proofErr w:type="spellEnd"/>
                </w:p>
              </w:tc>
              <w:tc>
                <w:tcPr>
                  <w:tcW w:w="1757" w:type="dxa"/>
                  <w:tcBorders>
                    <w:bottom w:val="single" w:sz="12" w:space="0" w:color="auto"/>
                    <w:right w:val="single" w:sz="12" w:space="0" w:color="auto"/>
                  </w:tcBorders>
                  <w:vAlign w:val="center"/>
                </w:tcPr>
                <w:p w14:paraId="4A67746B" w14:textId="7043D21B" w:rsidR="00AD28A9" w:rsidRPr="00AD28A9" w:rsidRDefault="00AD28A9" w:rsidP="00AD28A9">
                  <w:pPr>
                    <w:spacing w:before="120" w:after="120"/>
                    <w:jc w:val="center"/>
                  </w:pPr>
                  <w:r w:rsidRPr="00AD28A9">
                    <w:t>44.6 Mt CO</w:t>
                  </w:r>
                  <w:r w:rsidRPr="00AD28A9">
                    <w:rPr>
                      <w:vertAlign w:val="subscript"/>
                    </w:rPr>
                    <w:t>2</w:t>
                  </w:r>
                  <w:r w:rsidRPr="00AD28A9">
                    <w:t>e/</w:t>
                  </w:r>
                  <w:proofErr w:type="spellStart"/>
                  <w:r w:rsidRPr="00AD28A9">
                    <w:t>yr</w:t>
                  </w:r>
                  <w:proofErr w:type="spellEnd"/>
                </w:p>
              </w:tc>
            </w:tr>
          </w:tbl>
          <w:p w14:paraId="191B42BF" w14:textId="77777777" w:rsidR="00C86B38" w:rsidRPr="00EA4071" w:rsidRDefault="00C86B38" w:rsidP="009E3246">
            <w:pPr>
              <w:pStyle w:val="Content"/>
              <w:rPr>
                <w:b w:val="0"/>
              </w:rPr>
            </w:pPr>
          </w:p>
        </w:tc>
      </w:tr>
    </w:tbl>
    <w:p w14:paraId="7347D13E" w14:textId="25333568" w:rsidR="00ED7E6B" w:rsidRPr="004D2C76" w:rsidRDefault="00ED7E6B" w:rsidP="00E65DA0">
      <w:pPr>
        <w:rPr>
          <w:sz w:val="4"/>
          <w:szCs w:val="4"/>
        </w:rPr>
      </w:pPr>
    </w:p>
    <w:tbl>
      <w:tblPr>
        <w:tblStyle w:val="GridTable4-Accent2"/>
        <w:tblW w:w="0" w:type="auto"/>
        <w:shd w:val="clear" w:color="auto" w:fill="C6B1D1"/>
        <w:tblCellMar>
          <w:top w:w="57" w:type="dxa"/>
          <w:bottom w:w="57" w:type="dxa"/>
        </w:tblCellMar>
        <w:tblLook w:val="04A0" w:firstRow="1" w:lastRow="0" w:firstColumn="1" w:lastColumn="0" w:noHBand="0" w:noVBand="1"/>
      </w:tblPr>
      <w:tblGrid>
        <w:gridCol w:w="9016"/>
      </w:tblGrid>
      <w:tr w:rsidR="007D5537" w:rsidRPr="00EA4071" w14:paraId="5BB38779" w14:textId="77777777" w:rsidTr="002F3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9E76B3"/>
          </w:tcPr>
          <w:p w14:paraId="77022E06" w14:textId="77777777" w:rsidR="007D5537" w:rsidRPr="00BA7CD8" w:rsidRDefault="007D5537" w:rsidP="002F3809">
            <w:pPr>
              <w:pStyle w:val="Content"/>
              <w:spacing w:before="0" w:after="0"/>
              <w:jc w:val="center"/>
              <w:rPr>
                <w:bCs w:val="0"/>
                <w:color w:val="000000" w:themeColor="text1"/>
                <w:sz w:val="24"/>
                <w:szCs w:val="24"/>
                <w:lang w:val="en-US"/>
              </w:rPr>
            </w:pPr>
            <w:r>
              <w:rPr>
                <w:bCs w:val="0"/>
                <w:sz w:val="28"/>
                <w:szCs w:val="28"/>
              </w:rPr>
              <w:t>Consultation question 2</w:t>
            </w:r>
          </w:p>
          <w:p w14:paraId="29AC8D40" w14:textId="77777777" w:rsidR="007D5537" w:rsidRPr="00EA4071" w:rsidRDefault="007D5537" w:rsidP="002F3809">
            <w:pPr>
              <w:pStyle w:val="Content"/>
              <w:spacing w:before="0" w:after="0"/>
              <w:jc w:val="center"/>
              <w:rPr>
                <w:b w:val="0"/>
                <w:sz w:val="28"/>
                <w:szCs w:val="28"/>
              </w:rPr>
            </w:pPr>
            <w:r>
              <w:rPr>
                <w:b w:val="0"/>
                <w:sz w:val="28"/>
                <w:szCs w:val="28"/>
                <w:lang w:val="en-US"/>
              </w:rPr>
              <w:t>Emissions budget levels</w:t>
            </w:r>
          </w:p>
        </w:tc>
      </w:tr>
      <w:tr w:rsidR="007D5537" w:rsidRPr="00EA4071" w14:paraId="518DFA72" w14:textId="77777777" w:rsidTr="002F3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C6B1D1"/>
          </w:tcPr>
          <w:p w14:paraId="116101C7" w14:textId="71879994" w:rsidR="007D5537" w:rsidRPr="0083178B" w:rsidRDefault="00FB44EC" w:rsidP="0083178B">
            <w:pPr>
              <w:spacing w:line="276" w:lineRule="auto"/>
            </w:pPr>
            <w:r>
              <w:t>Do you support budget recommendation 1</w:t>
            </w:r>
            <w:r>
              <w:rPr>
                <w:bCs w:val="0"/>
              </w:rPr>
              <w:t>? Is there anything we should change, and why</w:t>
            </w:r>
            <w:r w:rsidRPr="00E5673C">
              <w:rPr>
                <w:bCs w:val="0"/>
              </w:rPr>
              <w:t>?</w:t>
            </w:r>
          </w:p>
        </w:tc>
      </w:tr>
    </w:tbl>
    <w:p w14:paraId="38949041" w14:textId="71642152" w:rsidR="00ED7E6B" w:rsidRDefault="00070173" w:rsidP="000C1F2E">
      <w:pPr>
        <w:pStyle w:val="Heading2"/>
      </w:pPr>
      <w:bookmarkStart w:id="37" w:name="_Toc62650245"/>
      <w:r w:rsidRPr="00550F05">
        <w:t xml:space="preserve">2.4 </w:t>
      </w:r>
      <w:r w:rsidR="00401283">
        <w:t xml:space="preserve">Contribution </w:t>
      </w:r>
      <w:r w:rsidR="00A327BA">
        <w:t xml:space="preserve">of </w:t>
      </w:r>
      <w:r w:rsidR="00CD246D">
        <w:t xml:space="preserve">different gases, and </w:t>
      </w:r>
      <w:r w:rsidR="00A327BA">
        <w:t xml:space="preserve">domestic emissions reductions and </w:t>
      </w:r>
      <w:r w:rsidR="000C1F2E">
        <w:t xml:space="preserve">domestic </w:t>
      </w:r>
      <w:r w:rsidR="00A327BA">
        <w:t>removals</w:t>
      </w:r>
      <w:bookmarkEnd w:id="37"/>
    </w:p>
    <w:p w14:paraId="09E1C739" w14:textId="0D3EFBAF" w:rsidR="000C1F2E" w:rsidRPr="004844E3" w:rsidRDefault="000C1F2E" w:rsidP="000C1F2E">
      <w:pPr>
        <w:pStyle w:val="Content"/>
        <w:rPr>
          <w:lang w:val="en-US"/>
        </w:rPr>
      </w:pPr>
      <w:r w:rsidRPr="00A327BA">
        <w:rPr>
          <w:lang w:val="en-US"/>
        </w:rPr>
        <w:t xml:space="preserve">We have assessed the </w:t>
      </w:r>
      <w:r w:rsidR="00CD246D">
        <w:rPr>
          <w:lang w:val="en-US"/>
        </w:rPr>
        <w:t xml:space="preserve">contribution of the different greenhouse gases and </w:t>
      </w:r>
      <w:r w:rsidR="00FB0300">
        <w:rPr>
          <w:lang w:val="en-US"/>
        </w:rPr>
        <w:t>the</w:t>
      </w:r>
      <w:r w:rsidR="00CD246D">
        <w:rPr>
          <w:lang w:val="en-US"/>
        </w:rPr>
        <w:t xml:space="preserve"> </w:t>
      </w:r>
      <w:r w:rsidRPr="00A327BA">
        <w:rPr>
          <w:lang w:val="en-US"/>
        </w:rPr>
        <w:t>proportions of domestic emissions reductions and domestic removals needed to meet the emissions budgets and targets. At the core of this assessment is the need to set Aotearoa up to meet</w:t>
      </w:r>
      <w:r w:rsidR="00C71957">
        <w:rPr>
          <w:lang w:val="en-US"/>
        </w:rPr>
        <w:t xml:space="preserve"> the</w:t>
      </w:r>
      <w:r w:rsidRPr="00A327BA">
        <w:rPr>
          <w:lang w:val="en-US"/>
        </w:rPr>
        <w:t xml:space="preserve"> 2050 emissions reduction targets and sustain them beyond 2050.</w:t>
      </w:r>
    </w:p>
    <w:p w14:paraId="3B0196B6" w14:textId="7DC4A5B8" w:rsidR="000C1F2E" w:rsidRDefault="000C1F2E" w:rsidP="000C1F2E">
      <w:pPr>
        <w:pStyle w:val="Content"/>
        <w:rPr>
          <w:lang w:val="en-US"/>
        </w:rPr>
      </w:pPr>
      <w:r>
        <w:rPr>
          <w:lang w:val="en-US"/>
        </w:rPr>
        <w:t>The split-gas nature of the 2050 target means that forestry removals cannot be used to offset biogenic methane emissions</w:t>
      </w:r>
      <w:r w:rsidR="00821016">
        <w:rPr>
          <w:lang w:val="en-US"/>
        </w:rPr>
        <w:t xml:space="preserve">, and they must be reduced </w:t>
      </w:r>
      <w:r w:rsidR="000340ED">
        <w:rPr>
          <w:lang w:val="en-US"/>
        </w:rPr>
        <w:t>to those levels stipulated in the target</w:t>
      </w:r>
      <w:r>
        <w:rPr>
          <w:lang w:val="en-US"/>
        </w:rPr>
        <w:t xml:space="preserve">. Gross biogenic </w:t>
      </w:r>
      <w:r>
        <w:rPr>
          <w:lang w:val="en-US"/>
        </w:rPr>
        <w:lastRenderedPageBreak/>
        <w:t>methane emissions need to be reduced by at least 10% below 2017 levels by 2030 and 24</w:t>
      </w:r>
      <w:r w:rsidR="002F3D98">
        <w:rPr>
          <w:lang w:val="en-US"/>
        </w:rPr>
        <w:t>-</w:t>
      </w:r>
      <w:r>
        <w:rPr>
          <w:lang w:val="en-US"/>
        </w:rPr>
        <w:t xml:space="preserve">47% below 2017 levels by 2050. </w:t>
      </w:r>
    </w:p>
    <w:tbl>
      <w:tblPr>
        <w:tblStyle w:val="GridTable4-Accent2"/>
        <w:tblpPr w:leftFromText="180" w:rightFromText="180" w:vertAnchor="text" w:horzAnchor="margin" w:tblpY="124"/>
        <w:tblW w:w="0" w:type="auto"/>
        <w:tblCellMar>
          <w:top w:w="57" w:type="dxa"/>
          <w:bottom w:w="57" w:type="dxa"/>
        </w:tblCellMar>
        <w:tblLook w:val="04A0" w:firstRow="1" w:lastRow="0" w:firstColumn="1" w:lastColumn="0" w:noHBand="0" w:noVBand="1"/>
      </w:tblPr>
      <w:tblGrid>
        <w:gridCol w:w="9174"/>
      </w:tblGrid>
      <w:tr w:rsidR="00FC3430" w:rsidRPr="00EA4071" w14:paraId="0C580D92" w14:textId="77777777" w:rsidTr="00FC34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4" w:type="dxa"/>
          </w:tcPr>
          <w:p w14:paraId="3C6EC638" w14:textId="77777777" w:rsidR="00FC3430" w:rsidRPr="00BA7CD8" w:rsidRDefault="00FC3430" w:rsidP="00FC3430">
            <w:pPr>
              <w:pStyle w:val="Content"/>
              <w:spacing w:before="0" w:after="0"/>
              <w:jc w:val="center"/>
              <w:rPr>
                <w:bCs w:val="0"/>
                <w:color w:val="000000" w:themeColor="text1"/>
                <w:sz w:val="24"/>
                <w:szCs w:val="24"/>
                <w:lang w:val="en-US"/>
              </w:rPr>
            </w:pPr>
            <w:r>
              <w:rPr>
                <w:bCs w:val="0"/>
                <w:sz w:val="28"/>
                <w:szCs w:val="28"/>
              </w:rPr>
              <w:t>Budget</w:t>
            </w:r>
            <w:r w:rsidRPr="00BA7CD8">
              <w:rPr>
                <w:bCs w:val="0"/>
                <w:sz w:val="28"/>
                <w:szCs w:val="28"/>
              </w:rPr>
              <w:t xml:space="preserve"> recommendation </w:t>
            </w:r>
            <w:r>
              <w:rPr>
                <w:bCs w:val="0"/>
                <w:sz w:val="28"/>
                <w:szCs w:val="28"/>
              </w:rPr>
              <w:t>2</w:t>
            </w:r>
          </w:p>
          <w:p w14:paraId="00B72020" w14:textId="77777777" w:rsidR="00FC3430" w:rsidRPr="00EA4071" w:rsidRDefault="00FC3430" w:rsidP="00FC3430">
            <w:pPr>
              <w:pStyle w:val="Content"/>
              <w:spacing w:before="0" w:after="0"/>
              <w:jc w:val="center"/>
              <w:rPr>
                <w:b w:val="0"/>
                <w:sz w:val="28"/>
                <w:szCs w:val="28"/>
              </w:rPr>
            </w:pPr>
            <w:r>
              <w:rPr>
                <w:b w:val="0"/>
                <w:sz w:val="28"/>
                <w:szCs w:val="28"/>
                <w:lang w:val="en-US"/>
              </w:rPr>
              <w:t>Break down of emissions budgets</w:t>
            </w:r>
          </w:p>
        </w:tc>
      </w:tr>
      <w:tr w:rsidR="00FC3430" w:rsidRPr="00EA4071" w14:paraId="382F7DF5" w14:textId="77777777" w:rsidTr="00FC3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4" w:type="dxa"/>
          </w:tcPr>
          <w:p w14:paraId="290D5862" w14:textId="77777777" w:rsidR="00FC3430" w:rsidRDefault="00FC3430" w:rsidP="00FC3430">
            <w:pPr>
              <w:pStyle w:val="Content"/>
              <w:spacing w:after="240"/>
              <w:rPr>
                <w:b w:val="0"/>
              </w:rPr>
            </w:pPr>
            <w:r w:rsidRPr="004953B2">
              <w:rPr>
                <w:bCs w:val="0"/>
              </w:rPr>
              <w:t>We recommend that the Government implement policies that will meet emissions budgets based on the balance</w:t>
            </w:r>
            <w:r>
              <w:rPr>
                <w:bCs w:val="0"/>
              </w:rPr>
              <w:t xml:space="preserve"> of emissions and removals as</w:t>
            </w:r>
            <w:r w:rsidRPr="004953B2">
              <w:rPr>
                <w:bCs w:val="0"/>
              </w:rPr>
              <w:t xml:space="preserve"> outlined in the table below.</w:t>
            </w:r>
          </w:p>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5"/>
              <w:gridCol w:w="1871"/>
              <w:gridCol w:w="1871"/>
              <w:gridCol w:w="1871"/>
            </w:tblGrid>
            <w:tr w:rsidR="00FC3430" w14:paraId="54C108EC" w14:textId="77777777" w:rsidTr="001B5D5F">
              <w:tc>
                <w:tcPr>
                  <w:tcW w:w="3345" w:type="dxa"/>
                  <w:tcBorders>
                    <w:top w:val="single" w:sz="12" w:space="0" w:color="auto"/>
                    <w:left w:val="single" w:sz="12" w:space="0" w:color="auto"/>
                    <w:bottom w:val="single" w:sz="12" w:space="0" w:color="auto"/>
                  </w:tcBorders>
                  <w:tcMar>
                    <w:top w:w="0" w:type="dxa"/>
                    <w:left w:w="108" w:type="dxa"/>
                    <w:bottom w:w="0" w:type="dxa"/>
                    <w:right w:w="108" w:type="dxa"/>
                  </w:tcMar>
                  <w:hideMark/>
                </w:tcPr>
                <w:p w14:paraId="00046B61" w14:textId="77777777" w:rsidR="00FC3430" w:rsidRDefault="00FC3430" w:rsidP="00A74117">
                  <w:pPr>
                    <w:pStyle w:val="Default"/>
                    <w:framePr w:hSpace="180" w:wrap="around" w:vAnchor="text" w:hAnchor="margin" w:y="124"/>
                    <w:spacing w:before="120" w:after="120"/>
                    <w:rPr>
                      <w:b/>
                      <w:bCs/>
                      <w:sz w:val="22"/>
                      <w:szCs w:val="22"/>
                      <w:lang w:val="en-US"/>
                    </w:rPr>
                  </w:pPr>
                </w:p>
              </w:tc>
              <w:tc>
                <w:tcPr>
                  <w:tcW w:w="1871" w:type="dxa"/>
                  <w:tcBorders>
                    <w:top w:val="single" w:sz="12" w:space="0" w:color="auto"/>
                    <w:bottom w:val="single" w:sz="12" w:space="0" w:color="auto"/>
                  </w:tcBorders>
                  <w:tcMar>
                    <w:top w:w="0" w:type="dxa"/>
                    <w:left w:w="108" w:type="dxa"/>
                    <w:bottom w:w="0" w:type="dxa"/>
                    <w:right w:w="108" w:type="dxa"/>
                  </w:tcMar>
                  <w:hideMark/>
                </w:tcPr>
                <w:p w14:paraId="449813CF" w14:textId="77777777" w:rsidR="00FC3430" w:rsidRDefault="00FC3430" w:rsidP="00A74117">
                  <w:pPr>
                    <w:pStyle w:val="Default"/>
                    <w:framePr w:hSpace="180" w:wrap="around" w:vAnchor="text" w:hAnchor="margin" w:y="124"/>
                    <w:spacing w:before="120" w:after="120"/>
                    <w:jc w:val="center"/>
                    <w:rPr>
                      <w:b/>
                      <w:bCs/>
                      <w:sz w:val="22"/>
                      <w:szCs w:val="22"/>
                      <w:lang w:val="en-US"/>
                    </w:rPr>
                  </w:pPr>
                  <w:r>
                    <w:rPr>
                      <w:b/>
                      <w:bCs/>
                      <w:sz w:val="22"/>
                      <w:szCs w:val="22"/>
                      <w:lang w:val="en-US"/>
                    </w:rPr>
                    <w:t xml:space="preserve">Emission </w:t>
                  </w:r>
                  <w:r>
                    <w:rPr>
                      <w:b/>
                      <w:bCs/>
                      <w:sz w:val="22"/>
                      <w:szCs w:val="22"/>
                      <w:lang w:val="en-US"/>
                    </w:rPr>
                    <w:br/>
                    <w:t>budget 1</w:t>
                  </w:r>
                  <w:r>
                    <w:rPr>
                      <w:b/>
                      <w:bCs/>
                      <w:sz w:val="22"/>
                      <w:szCs w:val="22"/>
                      <w:lang w:val="en-US"/>
                    </w:rPr>
                    <w:br/>
                    <w:t>(2022 – 2025)</w:t>
                  </w:r>
                </w:p>
              </w:tc>
              <w:tc>
                <w:tcPr>
                  <w:tcW w:w="1871" w:type="dxa"/>
                  <w:tcBorders>
                    <w:top w:val="single" w:sz="12" w:space="0" w:color="auto"/>
                    <w:bottom w:val="single" w:sz="12" w:space="0" w:color="auto"/>
                  </w:tcBorders>
                  <w:tcMar>
                    <w:top w:w="0" w:type="dxa"/>
                    <w:left w:w="108" w:type="dxa"/>
                    <w:bottom w:w="0" w:type="dxa"/>
                    <w:right w:w="108" w:type="dxa"/>
                  </w:tcMar>
                  <w:hideMark/>
                </w:tcPr>
                <w:p w14:paraId="193CCACD" w14:textId="77777777" w:rsidR="00FC3430" w:rsidRDefault="00FC3430" w:rsidP="00A74117">
                  <w:pPr>
                    <w:pStyle w:val="Default"/>
                    <w:framePr w:hSpace="180" w:wrap="around" w:vAnchor="text" w:hAnchor="margin" w:y="124"/>
                    <w:spacing w:before="120" w:after="120"/>
                    <w:jc w:val="center"/>
                    <w:rPr>
                      <w:b/>
                      <w:bCs/>
                      <w:sz w:val="22"/>
                      <w:szCs w:val="22"/>
                      <w:lang w:val="en-US"/>
                    </w:rPr>
                  </w:pPr>
                  <w:r>
                    <w:rPr>
                      <w:b/>
                      <w:bCs/>
                      <w:sz w:val="22"/>
                      <w:szCs w:val="22"/>
                      <w:lang w:val="en-US"/>
                    </w:rPr>
                    <w:t xml:space="preserve">Emission </w:t>
                  </w:r>
                  <w:r>
                    <w:rPr>
                      <w:b/>
                      <w:bCs/>
                      <w:sz w:val="22"/>
                      <w:szCs w:val="22"/>
                      <w:lang w:val="en-US"/>
                    </w:rPr>
                    <w:br/>
                    <w:t>budget 2</w:t>
                  </w:r>
                  <w:r>
                    <w:rPr>
                      <w:b/>
                      <w:bCs/>
                      <w:sz w:val="22"/>
                      <w:szCs w:val="22"/>
                      <w:lang w:val="en-US"/>
                    </w:rPr>
                    <w:br/>
                    <w:t>(2026 – 2030)</w:t>
                  </w:r>
                </w:p>
              </w:tc>
              <w:tc>
                <w:tcPr>
                  <w:tcW w:w="1871" w:type="dxa"/>
                  <w:tcBorders>
                    <w:top w:val="single" w:sz="12" w:space="0" w:color="auto"/>
                    <w:bottom w:val="single" w:sz="12" w:space="0" w:color="auto"/>
                    <w:right w:val="single" w:sz="12" w:space="0" w:color="auto"/>
                  </w:tcBorders>
                  <w:tcMar>
                    <w:top w:w="0" w:type="dxa"/>
                    <w:left w:w="108" w:type="dxa"/>
                    <w:bottom w:w="0" w:type="dxa"/>
                    <w:right w:w="108" w:type="dxa"/>
                  </w:tcMar>
                  <w:hideMark/>
                </w:tcPr>
                <w:p w14:paraId="4C3CD4EB" w14:textId="77777777" w:rsidR="00FC3430" w:rsidRDefault="00FC3430" w:rsidP="00A74117">
                  <w:pPr>
                    <w:pStyle w:val="Default"/>
                    <w:framePr w:hSpace="180" w:wrap="around" w:vAnchor="text" w:hAnchor="margin" w:y="124"/>
                    <w:spacing w:before="120" w:after="120"/>
                    <w:jc w:val="center"/>
                    <w:rPr>
                      <w:b/>
                      <w:bCs/>
                      <w:sz w:val="22"/>
                      <w:szCs w:val="22"/>
                      <w:lang w:val="en-US"/>
                    </w:rPr>
                  </w:pPr>
                  <w:r>
                    <w:rPr>
                      <w:b/>
                      <w:bCs/>
                      <w:sz w:val="22"/>
                      <w:szCs w:val="22"/>
                      <w:lang w:val="en-US"/>
                    </w:rPr>
                    <w:t xml:space="preserve">Emission </w:t>
                  </w:r>
                  <w:r>
                    <w:rPr>
                      <w:b/>
                      <w:bCs/>
                      <w:sz w:val="22"/>
                      <w:szCs w:val="22"/>
                      <w:lang w:val="en-US"/>
                    </w:rPr>
                    <w:br/>
                    <w:t>budget 3</w:t>
                  </w:r>
                  <w:r>
                    <w:rPr>
                      <w:b/>
                      <w:bCs/>
                      <w:sz w:val="22"/>
                      <w:szCs w:val="22"/>
                      <w:lang w:val="en-US"/>
                    </w:rPr>
                    <w:br/>
                    <w:t>(2031 – 2035)</w:t>
                  </w:r>
                </w:p>
              </w:tc>
            </w:tr>
            <w:tr w:rsidR="00FC3430" w14:paraId="1400C214" w14:textId="77777777" w:rsidTr="001B5D5F">
              <w:tc>
                <w:tcPr>
                  <w:tcW w:w="3345" w:type="dxa"/>
                  <w:tcBorders>
                    <w:top w:val="single" w:sz="12" w:space="0" w:color="auto"/>
                    <w:left w:val="single" w:sz="12" w:space="0" w:color="auto"/>
                  </w:tcBorders>
                  <w:tcMar>
                    <w:top w:w="0" w:type="dxa"/>
                    <w:left w:w="108" w:type="dxa"/>
                    <w:bottom w:w="0" w:type="dxa"/>
                    <w:right w:w="108" w:type="dxa"/>
                  </w:tcMar>
                </w:tcPr>
                <w:p w14:paraId="0C801F80" w14:textId="77777777" w:rsidR="00FC3430" w:rsidRDefault="00FC3430" w:rsidP="00A74117">
                  <w:pPr>
                    <w:pStyle w:val="Default"/>
                    <w:framePr w:hSpace="180" w:wrap="around" w:vAnchor="text" w:hAnchor="margin" w:y="124"/>
                    <w:spacing w:before="80" w:after="80"/>
                    <w:rPr>
                      <w:sz w:val="22"/>
                      <w:szCs w:val="22"/>
                      <w:lang w:val="en-US"/>
                    </w:rPr>
                  </w:pPr>
                  <w:r>
                    <w:rPr>
                      <w:sz w:val="22"/>
                      <w:szCs w:val="22"/>
                      <w:lang w:val="en-US"/>
                    </w:rPr>
                    <w:t>Total net emissions budget</w:t>
                  </w:r>
                </w:p>
                <w:p w14:paraId="2A453C35" w14:textId="77777777" w:rsidR="00FC3430" w:rsidRPr="00B0302D" w:rsidRDefault="00FC3430" w:rsidP="00A74117">
                  <w:pPr>
                    <w:pStyle w:val="Default"/>
                    <w:framePr w:hSpace="180" w:wrap="around" w:vAnchor="text" w:hAnchor="margin" w:y="124"/>
                    <w:spacing w:before="80" w:after="80"/>
                    <w:ind w:firstLine="336"/>
                    <w:rPr>
                      <w:i/>
                      <w:sz w:val="22"/>
                      <w:szCs w:val="22"/>
                      <w:lang w:val="en-US"/>
                    </w:rPr>
                  </w:pPr>
                  <w:r w:rsidRPr="00B0302D">
                    <w:rPr>
                      <w:i/>
                      <w:iCs/>
                      <w:sz w:val="22"/>
                      <w:szCs w:val="22"/>
                      <w:lang w:val="en-US"/>
                    </w:rPr>
                    <w:t>Annual average</w:t>
                  </w:r>
                </w:p>
              </w:tc>
              <w:tc>
                <w:tcPr>
                  <w:tcW w:w="1871" w:type="dxa"/>
                  <w:tcBorders>
                    <w:top w:val="single" w:sz="12" w:space="0" w:color="auto"/>
                  </w:tcBorders>
                  <w:tcMar>
                    <w:top w:w="0" w:type="dxa"/>
                    <w:left w:w="108" w:type="dxa"/>
                    <w:bottom w:w="0" w:type="dxa"/>
                    <w:right w:w="108" w:type="dxa"/>
                  </w:tcMar>
                </w:tcPr>
                <w:p w14:paraId="3D237467" w14:textId="77777777" w:rsidR="00FC3430" w:rsidRDefault="00FC3430" w:rsidP="00A74117">
                  <w:pPr>
                    <w:pStyle w:val="Default"/>
                    <w:framePr w:hSpace="180" w:wrap="around" w:vAnchor="text" w:hAnchor="margin" w:y="124"/>
                    <w:spacing w:before="80" w:after="80"/>
                    <w:jc w:val="center"/>
                    <w:rPr>
                      <w:sz w:val="22"/>
                      <w:szCs w:val="22"/>
                    </w:rPr>
                  </w:pPr>
                  <w:r w:rsidRPr="00D47D23">
                    <w:rPr>
                      <w:sz w:val="22"/>
                      <w:szCs w:val="22"/>
                    </w:rPr>
                    <w:t>271 Mt CO</w:t>
                  </w:r>
                  <w:r w:rsidRPr="00D47D23">
                    <w:rPr>
                      <w:sz w:val="22"/>
                      <w:szCs w:val="22"/>
                      <w:vertAlign w:val="subscript"/>
                    </w:rPr>
                    <w:t>2</w:t>
                  </w:r>
                  <w:r w:rsidRPr="00D47D23">
                    <w:rPr>
                      <w:sz w:val="22"/>
                      <w:szCs w:val="22"/>
                    </w:rPr>
                    <w:t>e</w:t>
                  </w:r>
                </w:p>
                <w:p w14:paraId="14356145" w14:textId="77777777" w:rsidR="00FC3430" w:rsidRPr="00D47D23" w:rsidRDefault="00FC3430" w:rsidP="00A74117">
                  <w:pPr>
                    <w:pStyle w:val="Default"/>
                    <w:framePr w:hSpace="180" w:wrap="around" w:vAnchor="text" w:hAnchor="margin" w:y="124"/>
                    <w:spacing w:before="80" w:after="80"/>
                    <w:jc w:val="center"/>
                    <w:rPr>
                      <w:sz w:val="22"/>
                      <w:szCs w:val="22"/>
                    </w:rPr>
                  </w:pPr>
                  <w:r w:rsidRPr="00B0302D">
                    <w:rPr>
                      <w:sz w:val="22"/>
                      <w:szCs w:val="22"/>
                    </w:rPr>
                    <w:t>67.7 Mt CO2e/</w:t>
                  </w:r>
                  <w:proofErr w:type="spellStart"/>
                  <w:r w:rsidRPr="00B0302D">
                    <w:rPr>
                      <w:sz w:val="22"/>
                      <w:szCs w:val="22"/>
                    </w:rPr>
                    <w:t>yr</w:t>
                  </w:r>
                  <w:proofErr w:type="spellEnd"/>
                </w:p>
              </w:tc>
              <w:tc>
                <w:tcPr>
                  <w:tcW w:w="1871" w:type="dxa"/>
                  <w:tcBorders>
                    <w:top w:val="single" w:sz="12" w:space="0" w:color="auto"/>
                  </w:tcBorders>
                  <w:tcMar>
                    <w:top w:w="0" w:type="dxa"/>
                    <w:left w:w="108" w:type="dxa"/>
                    <w:bottom w:w="0" w:type="dxa"/>
                    <w:right w:w="108" w:type="dxa"/>
                  </w:tcMar>
                </w:tcPr>
                <w:p w14:paraId="5EE16357" w14:textId="77777777" w:rsidR="00FC3430" w:rsidRDefault="00FC3430" w:rsidP="00A74117">
                  <w:pPr>
                    <w:pStyle w:val="Default"/>
                    <w:framePr w:hSpace="180" w:wrap="around" w:vAnchor="text" w:hAnchor="margin" w:y="124"/>
                    <w:spacing w:before="80" w:after="80"/>
                    <w:jc w:val="center"/>
                    <w:rPr>
                      <w:sz w:val="22"/>
                      <w:szCs w:val="22"/>
                    </w:rPr>
                  </w:pPr>
                  <w:r w:rsidRPr="00D47D23">
                    <w:rPr>
                      <w:sz w:val="22"/>
                      <w:szCs w:val="22"/>
                    </w:rPr>
                    <w:t>286 Mt CO</w:t>
                  </w:r>
                  <w:r w:rsidRPr="00D47D23">
                    <w:rPr>
                      <w:sz w:val="22"/>
                      <w:szCs w:val="22"/>
                      <w:vertAlign w:val="subscript"/>
                    </w:rPr>
                    <w:t>2</w:t>
                  </w:r>
                  <w:r w:rsidRPr="00D47D23">
                    <w:rPr>
                      <w:sz w:val="22"/>
                      <w:szCs w:val="22"/>
                    </w:rPr>
                    <w:t>e</w:t>
                  </w:r>
                </w:p>
                <w:p w14:paraId="07ACE131" w14:textId="77777777" w:rsidR="00FC3430" w:rsidRPr="00D47D23" w:rsidRDefault="00FC3430" w:rsidP="00A74117">
                  <w:pPr>
                    <w:pStyle w:val="Default"/>
                    <w:framePr w:hSpace="180" w:wrap="around" w:vAnchor="text" w:hAnchor="margin" w:y="124"/>
                    <w:spacing w:before="80" w:after="80"/>
                    <w:jc w:val="center"/>
                    <w:rPr>
                      <w:sz w:val="22"/>
                      <w:szCs w:val="22"/>
                    </w:rPr>
                  </w:pPr>
                  <w:r w:rsidRPr="00B0302D">
                    <w:rPr>
                      <w:sz w:val="22"/>
                      <w:szCs w:val="22"/>
                    </w:rPr>
                    <w:t>57.3 Mt CO2e/</w:t>
                  </w:r>
                  <w:proofErr w:type="spellStart"/>
                  <w:r w:rsidRPr="00B0302D">
                    <w:rPr>
                      <w:sz w:val="22"/>
                      <w:szCs w:val="22"/>
                    </w:rPr>
                    <w:t>yr</w:t>
                  </w:r>
                  <w:proofErr w:type="spellEnd"/>
                </w:p>
              </w:tc>
              <w:tc>
                <w:tcPr>
                  <w:tcW w:w="1871" w:type="dxa"/>
                  <w:tcBorders>
                    <w:top w:val="single" w:sz="12" w:space="0" w:color="auto"/>
                    <w:right w:val="single" w:sz="12" w:space="0" w:color="auto"/>
                  </w:tcBorders>
                  <w:tcMar>
                    <w:top w:w="0" w:type="dxa"/>
                    <w:left w:w="108" w:type="dxa"/>
                    <w:bottom w:w="0" w:type="dxa"/>
                    <w:right w:w="108" w:type="dxa"/>
                  </w:tcMar>
                </w:tcPr>
                <w:p w14:paraId="0E47CD73" w14:textId="77777777" w:rsidR="00FC3430" w:rsidRDefault="00FC3430" w:rsidP="00A74117">
                  <w:pPr>
                    <w:pStyle w:val="Default"/>
                    <w:framePr w:hSpace="180" w:wrap="around" w:vAnchor="text" w:hAnchor="margin" w:y="124"/>
                    <w:spacing w:before="80" w:after="80"/>
                    <w:jc w:val="center"/>
                    <w:rPr>
                      <w:sz w:val="22"/>
                      <w:szCs w:val="22"/>
                    </w:rPr>
                  </w:pPr>
                  <w:r w:rsidRPr="00D47D23">
                    <w:rPr>
                      <w:sz w:val="22"/>
                      <w:szCs w:val="22"/>
                    </w:rPr>
                    <w:t>223 Mt CO</w:t>
                  </w:r>
                  <w:r w:rsidRPr="00D47D23">
                    <w:rPr>
                      <w:sz w:val="22"/>
                      <w:szCs w:val="22"/>
                      <w:vertAlign w:val="subscript"/>
                    </w:rPr>
                    <w:t>2</w:t>
                  </w:r>
                  <w:r w:rsidRPr="00D47D23">
                    <w:rPr>
                      <w:sz w:val="22"/>
                      <w:szCs w:val="22"/>
                    </w:rPr>
                    <w:t>e</w:t>
                  </w:r>
                </w:p>
                <w:p w14:paraId="73A1748A" w14:textId="77777777" w:rsidR="00FC3430" w:rsidRPr="00D47D23" w:rsidRDefault="00FC3430" w:rsidP="00A74117">
                  <w:pPr>
                    <w:pStyle w:val="Default"/>
                    <w:framePr w:hSpace="180" w:wrap="around" w:vAnchor="text" w:hAnchor="margin" w:y="124"/>
                    <w:spacing w:before="80" w:after="80"/>
                    <w:jc w:val="center"/>
                    <w:rPr>
                      <w:sz w:val="22"/>
                      <w:szCs w:val="22"/>
                    </w:rPr>
                  </w:pPr>
                  <w:r w:rsidRPr="00B0302D">
                    <w:rPr>
                      <w:sz w:val="22"/>
                      <w:szCs w:val="22"/>
                    </w:rPr>
                    <w:t>44.6 Mt CO2e/</w:t>
                  </w:r>
                  <w:proofErr w:type="spellStart"/>
                  <w:r w:rsidRPr="00B0302D">
                    <w:rPr>
                      <w:sz w:val="22"/>
                      <w:szCs w:val="22"/>
                    </w:rPr>
                    <w:t>yr</w:t>
                  </w:r>
                  <w:proofErr w:type="spellEnd"/>
                </w:p>
              </w:tc>
            </w:tr>
            <w:tr w:rsidR="00FC3430" w14:paraId="26F64E1E" w14:textId="77777777" w:rsidTr="001B5D5F">
              <w:tc>
                <w:tcPr>
                  <w:tcW w:w="3345" w:type="dxa"/>
                  <w:tcBorders>
                    <w:top w:val="single" w:sz="12" w:space="0" w:color="auto"/>
                    <w:left w:val="single" w:sz="12" w:space="0" w:color="auto"/>
                  </w:tcBorders>
                  <w:tcMar>
                    <w:top w:w="0" w:type="dxa"/>
                    <w:left w:w="108" w:type="dxa"/>
                    <w:bottom w:w="0" w:type="dxa"/>
                    <w:right w:w="108" w:type="dxa"/>
                  </w:tcMar>
                </w:tcPr>
                <w:p w14:paraId="7C223B20" w14:textId="77777777" w:rsidR="00FC3430" w:rsidRPr="00D47D23" w:rsidRDefault="00FC3430" w:rsidP="00A74117">
                  <w:pPr>
                    <w:pStyle w:val="Default"/>
                    <w:framePr w:hSpace="180" w:wrap="around" w:vAnchor="text" w:hAnchor="margin" w:y="124"/>
                    <w:spacing w:before="80" w:after="80"/>
                    <w:rPr>
                      <w:b/>
                      <w:bCs/>
                      <w:i/>
                      <w:iCs/>
                      <w:sz w:val="22"/>
                      <w:szCs w:val="22"/>
                      <w:lang w:val="en-US"/>
                    </w:rPr>
                  </w:pPr>
                  <w:r w:rsidRPr="00D47D23">
                    <w:rPr>
                      <w:b/>
                      <w:bCs/>
                      <w:i/>
                      <w:iCs/>
                      <w:sz w:val="22"/>
                      <w:szCs w:val="22"/>
                      <w:lang w:val="en-US"/>
                    </w:rPr>
                    <w:t>REMOVALS</w:t>
                  </w:r>
                </w:p>
                <w:p w14:paraId="48432DDD" w14:textId="77777777" w:rsidR="00FC3430" w:rsidRDefault="00FC3430" w:rsidP="00A74117">
                  <w:pPr>
                    <w:pStyle w:val="Default"/>
                    <w:framePr w:hSpace="180" w:wrap="around" w:vAnchor="text" w:hAnchor="margin" w:y="124"/>
                    <w:spacing w:before="80" w:after="80"/>
                    <w:rPr>
                      <w:sz w:val="22"/>
                      <w:szCs w:val="22"/>
                      <w:lang w:val="en-US"/>
                    </w:rPr>
                  </w:pPr>
                  <w:r>
                    <w:rPr>
                      <w:sz w:val="22"/>
                      <w:szCs w:val="22"/>
                      <w:lang w:val="en-US"/>
                    </w:rPr>
                    <w:t>Forestry carbon removals</w:t>
                  </w:r>
                </w:p>
                <w:p w14:paraId="54435F36" w14:textId="77777777" w:rsidR="00FC3430" w:rsidRDefault="00FC3430" w:rsidP="00A74117">
                  <w:pPr>
                    <w:pStyle w:val="Default"/>
                    <w:framePr w:hSpace="180" w:wrap="around" w:vAnchor="text" w:hAnchor="margin" w:y="124"/>
                    <w:spacing w:before="80" w:after="80"/>
                    <w:ind w:firstLine="336"/>
                    <w:rPr>
                      <w:sz w:val="22"/>
                      <w:szCs w:val="22"/>
                      <w:lang w:val="en-US"/>
                    </w:rPr>
                  </w:pPr>
                  <w:r w:rsidRPr="00B0302D">
                    <w:rPr>
                      <w:i/>
                      <w:iCs/>
                      <w:sz w:val="22"/>
                      <w:szCs w:val="22"/>
                      <w:lang w:val="en-US"/>
                    </w:rPr>
                    <w:t>Annual average</w:t>
                  </w:r>
                </w:p>
              </w:tc>
              <w:tc>
                <w:tcPr>
                  <w:tcW w:w="1871" w:type="dxa"/>
                  <w:tcBorders>
                    <w:top w:val="single" w:sz="12" w:space="0" w:color="auto"/>
                  </w:tcBorders>
                  <w:tcMar>
                    <w:top w:w="0" w:type="dxa"/>
                    <w:left w:w="108" w:type="dxa"/>
                    <w:bottom w:w="0" w:type="dxa"/>
                    <w:right w:w="108" w:type="dxa"/>
                  </w:tcMar>
                  <w:vAlign w:val="center"/>
                </w:tcPr>
                <w:p w14:paraId="37A871FC" w14:textId="77777777" w:rsidR="00FC3430" w:rsidRPr="009F024A" w:rsidRDefault="00FC3430" w:rsidP="00A74117">
                  <w:pPr>
                    <w:pStyle w:val="Default"/>
                    <w:framePr w:hSpace="180" w:wrap="around" w:vAnchor="text" w:hAnchor="margin" w:y="124"/>
                    <w:spacing w:before="80" w:after="80"/>
                    <w:jc w:val="center"/>
                    <w:rPr>
                      <w:color w:val="auto"/>
                      <w:sz w:val="22"/>
                      <w:szCs w:val="22"/>
                    </w:rPr>
                  </w:pPr>
                </w:p>
                <w:p w14:paraId="5429A271" w14:textId="77777777" w:rsidR="00FC3430" w:rsidRPr="009F024A" w:rsidRDefault="00FC3430" w:rsidP="00A74117">
                  <w:pPr>
                    <w:pStyle w:val="Default"/>
                    <w:framePr w:hSpace="180" w:wrap="around" w:vAnchor="text" w:hAnchor="margin" w:y="124"/>
                    <w:spacing w:before="80" w:after="80"/>
                    <w:jc w:val="center"/>
                    <w:rPr>
                      <w:color w:val="auto"/>
                      <w:sz w:val="22"/>
                      <w:szCs w:val="22"/>
                    </w:rPr>
                  </w:pPr>
                  <w:r w:rsidRPr="009F024A">
                    <w:rPr>
                      <w:color w:val="auto"/>
                      <w:sz w:val="22"/>
                      <w:szCs w:val="22"/>
                    </w:rPr>
                    <w:t>26 Mt CO</w:t>
                  </w:r>
                  <w:r w:rsidRPr="009F024A">
                    <w:rPr>
                      <w:color w:val="auto"/>
                      <w:sz w:val="22"/>
                      <w:szCs w:val="22"/>
                      <w:vertAlign w:val="subscript"/>
                    </w:rPr>
                    <w:t>2</w:t>
                  </w:r>
                  <w:r w:rsidRPr="009F024A">
                    <w:rPr>
                      <w:color w:val="auto"/>
                      <w:sz w:val="22"/>
                      <w:szCs w:val="22"/>
                    </w:rPr>
                    <w:t>e</w:t>
                  </w:r>
                </w:p>
                <w:p w14:paraId="5C49B758" w14:textId="77777777" w:rsidR="00FC3430" w:rsidRPr="009F024A" w:rsidRDefault="00FC3430" w:rsidP="00A74117">
                  <w:pPr>
                    <w:pStyle w:val="Default"/>
                    <w:framePr w:hSpace="180" w:wrap="around" w:vAnchor="text" w:hAnchor="margin" w:y="124"/>
                    <w:spacing w:before="80" w:after="80"/>
                    <w:jc w:val="center"/>
                    <w:rPr>
                      <w:sz w:val="22"/>
                      <w:szCs w:val="22"/>
                    </w:rPr>
                  </w:pPr>
                  <w:r w:rsidRPr="00F507D9">
                    <w:rPr>
                      <w:sz w:val="22"/>
                      <w:szCs w:val="22"/>
                    </w:rPr>
                    <w:t>6.5 Mt CO</w:t>
                  </w:r>
                  <w:r w:rsidRPr="00F507D9">
                    <w:rPr>
                      <w:sz w:val="22"/>
                      <w:szCs w:val="22"/>
                      <w:vertAlign w:val="subscript"/>
                    </w:rPr>
                    <w:t>2</w:t>
                  </w:r>
                  <w:r w:rsidRPr="00F507D9">
                    <w:rPr>
                      <w:sz w:val="22"/>
                      <w:szCs w:val="22"/>
                    </w:rPr>
                    <w:t>e/</w:t>
                  </w:r>
                  <w:proofErr w:type="spellStart"/>
                  <w:r w:rsidRPr="00F507D9">
                    <w:rPr>
                      <w:sz w:val="22"/>
                      <w:szCs w:val="22"/>
                    </w:rPr>
                    <w:t>yr</w:t>
                  </w:r>
                  <w:proofErr w:type="spellEnd"/>
                </w:p>
              </w:tc>
              <w:tc>
                <w:tcPr>
                  <w:tcW w:w="1871" w:type="dxa"/>
                  <w:tcBorders>
                    <w:top w:val="single" w:sz="12" w:space="0" w:color="auto"/>
                  </w:tcBorders>
                  <w:tcMar>
                    <w:top w:w="0" w:type="dxa"/>
                    <w:left w:w="108" w:type="dxa"/>
                    <w:bottom w:w="0" w:type="dxa"/>
                    <w:right w:w="108" w:type="dxa"/>
                  </w:tcMar>
                  <w:vAlign w:val="center"/>
                </w:tcPr>
                <w:p w14:paraId="130B9332" w14:textId="77777777" w:rsidR="00FC3430" w:rsidRPr="009F024A" w:rsidRDefault="00FC3430" w:rsidP="00A74117">
                  <w:pPr>
                    <w:pStyle w:val="Default"/>
                    <w:framePr w:hSpace="180" w:wrap="around" w:vAnchor="text" w:hAnchor="margin" w:y="124"/>
                    <w:spacing w:before="80" w:after="80"/>
                    <w:jc w:val="center"/>
                    <w:rPr>
                      <w:sz w:val="22"/>
                      <w:szCs w:val="22"/>
                    </w:rPr>
                  </w:pPr>
                </w:p>
                <w:p w14:paraId="3E1AB20A" w14:textId="77777777" w:rsidR="00FC3430" w:rsidRPr="009F024A" w:rsidRDefault="00FC3430" w:rsidP="00A74117">
                  <w:pPr>
                    <w:pStyle w:val="Default"/>
                    <w:framePr w:hSpace="180" w:wrap="around" w:vAnchor="text" w:hAnchor="margin" w:y="124"/>
                    <w:spacing w:before="80" w:after="80"/>
                    <w:jc w:val="center"/>
                    <w:rPr>
                      <w:sz w:val="22"/>
                      <w:szCs w:val="22"/>
                    </w:rPr>
                  </w:pPr>
                  <w:r w:rsidRPr="009F024A">
                    <w:rPr>
                      <w:sz w:val="22"/>
                      <w:szCs w:val="22"/>
                    </w:rPr>
                    <w:t>49 Mt CO</w:t>
                  </w:r>
                  <w:r w:rsidRPr="009F024A">
                    <w:rPr>
                      <w:sz w:val="22"/>
                      <w:szCs w:val="22"/>
                      <w:vertAlign w:val="subscript"/>
                    </w:rPr>
                    <w:t>2</w:t>
                  </w:r>
                  <w:r w:rsidRPr="009F024A">
                    <w:rPr>
                      <w:sz w:val="22"/>
                      <w:szCs w:val="22"/>
                    </w:rPr>
                    <w:t>e</w:t>
                  </w:r>
                </w:p>
                <w:p w14:paraId="212D1169" w14:textId="77777777" w:rsidR="00FC3430" w:rsidRPr="009F024A" w:rsidRDefault="00FC3430" w:rsidP="00A74117">
                  <w:pPr>
                    <w:pStyle w:val="Default"/>
                    <w:framePr w:hSpace="180" w:wrap="around" w:vAnchor="text" w:hAnchor="margin" w:y="124"/>
                    <w:spacing w:before="80" w:after="80"/>
                    <w:jc w:val="center"/>
                    <w:rPr>
                      <w:sz w:val="22"/>
                      <w:szCs w:val="22"/>
                    </w:rPr>
                  </w:pPr>
                  <w:r w:rsidRPr="000A5EC2">
                    <w:rPr>
                      <w:sz w:val="22"/>
                      <w:szCs w:val="22"/>
                    </w:rPr>
                    <w:t>9.8 Mt CO</w:t>
                  </w:r>
                  <w:r w:rsidRPr="000A5EC2">
                    <w:rPr>
                      <w:sz w:val="22"/>
                      <w:szCs w:val="22"/>
                      <w:vertAlign w:val="subscript"/>
                    </w:rPr>
                    <w:t>2</w:t>
                  </w:r>
                  <w:r w:rsidRPr="000A5EC2">
                    <w:rPr>
                      <w:sz w:val="22"/>
                      <w:szCs w:val="22"/>
                    </w:rPr>
                    <w:t>e/</w:t>
                  </w:r>
                  <w:proofErr w:type="spellStart"/>
                  <w:r w:rsidRPr="000A5EC2">
                    <w:rPr>
                      <w:sz w:val="22"/>
                      <w:szCs w:val="22"/>
                    </w:rPr>
                    <w:t>yr</w:t>
                  </w:r>
                  <w:proofErr w:type="spellEnd"/>
                </w:p>
              </w:tc>
              <w:tc>
                <w:tcPr>
                  <w:tcW w:w="1871" w:type="dxa"/>
                  <w:tcBorders>
                    <w:top w:val="single" w:sz="12" w:space="0" w:color="auto"/>
                    <w:right w:val="single" w:sz="12" w:space="0" w:color="auto"/>
                  </w:tcBorders>
                  <w:tcMar>
                    <w:top w:w="0" w:type="dxa"/>
                    <w:left w:w="108" w:type="dxa"/>
                    <w:bottom w:w="0" w:type="dxa"/>
                    <w:right w:w="108" w:type="dxa"/>
                  </w:tcMar>
                  <w:vAlign w:val="center"/>
                </w:tcPr>
                <w:p w14:paraId="5901B293" w14:textId="77777777" w:rsidR="00FC3430" w:rsidRPr="009F024A" w:rsidRDefault="00FC3430" w:rsidP="00A74117">
                  <w:pPr>
                    <w:pStyle w:val="Default"/>
                    <w:framePr w:hSpace="180" w:wrap="around" w:vAnchor="text" w:hAnchor="margin" w:y="124"/>
                    <w:spacing w:before="80" w:after="80"/>
                    <w:jc w:val="center"/>
                    <w:rPr>
                      <w:sz w:val="22"/>
                      <w:szCs w:val="22"/>
                    </w:rPr>
                  </w:pPr>
                </w:p>
                <w:p w14:paraId="312C8B8B" w14:textId="77777777" w:rsidR="00FC3430" w:rsidRPr="009F024A" w:rsidRDefault="00FC3430" w:rsidP="00A74117">
                  <w:pPr>
                    <w:pStyle w:val="Default"/>
                    <w:framePr w:hSpace="180" w:wrap="around" w:vAnchor="text" w:hAnchor="margin" w:y="124"/>
                    <w:spacing w:before="80" w:after="80"/>
                    <w:jc w:val="center"/>
                    <w:rPr>
                      <w:sz w:val="22"/>
                      <w:szCs w:val="22"/>
                    </w:rPr>
                  </w:pPr>
                  <w:r w:rsidRPr="009F024A">
                    <w:rPr>
                      <w:sz w:val="22"/>
                      <w:szCs w:val="22"/>
                    </w:rPr>
                    <w:t>68 Mt CO</w:t>
                  </w:r>
                  <w:r w:rsidRPr="009F024A">
                    <w:rPr>
                      <w:sz w:val="22"/>
                      <w:szCs w:val="22"/>
                      <w:vertAlign w:val="subscript"/>
                    </w:rPr>
                    <w:t>2</w:t>
                  </w:r>
                  <w:r w:rsidRPr="009F024A">
                    <w:rPr>
                      <w:sz w:val="22"/>
                      <w:szCs w:val="22"/>
                    </w:rPr>
                    <w:t>e</w:t>
                  </w:r>
                </w:p>
                <w:p w14:paraId="14F21AAE" w14:textId="77777777" w:rsidR="00FC3430" w:rsidRPr="009F024A" w:rsidRDefault="00FC3430" w:rsidP="00A74117">
                  <w:pPr>
                    <w:pStyle w:val="Default"/>
                    <w:framePr w:hSpace="180" w:wrap="around" w:vAnchor="text" w:hAnchor="margin" w:y="124"/>
                    <w:spacing w:before="80" w:after="80"/>
                    <w:jc w:val="center"/>
                    <w:rPr>
                      <w:sz w:val="22"/>
                      <w:szCs w:val="22"/>
                    </w:rPr>
                  </w:pPr>
                  <w:r w:rsidRPr="009F024A">
                    <w:rPr>
                      <w:sz w:val="22"/>
                      <w:szCs w:val="22"/>
                    </w:rPr>
                    <w:t>13.6 Mt CO</w:t>
                  </w:r>
                  <w:r w:rsidRPr="009F024A">
                    <w:rPr>
                      <w:sz w:val="22"/>
                      <w:szCs w:val="22"/>
                      <w:vertAlign w:val="subscript"/>
                    </w:rPr>
                    <w:t>2</w:t>
                  </w:r>
                  <w:r w:rsidRPr="009F024A">
                    <w:rPr>
                      <w:sz w:val="22"/>
                      <w:szCs w:val="22"/>
                    </w:rPr>
                    <w:t>e/</w:t>
                  </w:r>
                  <w:proofErr w:type="spellStart"/>
                  <w:r w:rsidRPr="009F024A">
                    <w:rPr>
                      <w:sz w:val="22"/>
                      <w:szCs w:val="22"/>
                    </w:rPr>
                    <w:t>yr</w:t>
                  </w:r>
                  <w:proofErr w:type="spellEnd"/>
                </w:p>
              </w:tc>
            </w:tr>
            <w:tr w:rsidR="00FC3430" w14:paraId="191EF2A9" w14:textId="77777777" w:rsidTr="001B5D5F">
              <w:tc>
                <w:tcPr>
                  <w:tcW w:w="3345" w:type="dxa"/>
                  <w:tcBorders>
                    <w:top w:val="single" w:sz="12" w:space="0" w:color="auto"/>
                    <w:left w:val="single" w:sz="12" w:space="0" w:color="auto"/>
                  </w:tcBorders>
                  <w:tcMar>
                    <w:top w:w="0" w:type="dxa"/>
                    <w:left w:w="108" w:type="dxa"/>
                    <w:bottom w:w="0" w:type="dxa"/>
                    <w:right w:w="108" w:type="dxa"/>
                  </w:tcMar>
                </w:tcPr>
                <w:p w14:paraId="521FA49F" w14:textId="77777777" w:rsidR="00FC3430" w:rsidRPr="00D47D23" w:rsidRDefault="00FC3430" w:rsidP="00A74117">
                  <w:pPr>
                    <w:pStyle w:val="Default"/>
                    <w:framePr w:hSpace="180" w:wrap="around" w:vAnchor="text" w:hAnchor="margin" w:y="124"/>
                    <w:spacing w:before="80" w:after="80"/>
                    <w:rPr>
                      <w:b/>
                      <w:bCs/>
                      <w:i/>
                      <w:iCs/>
                      <w:sz w:val="22"/>
                      <w:szCs w:val="22"/>
                      <w:lang w:val="en-US"/>
                    </w:rPr>
                  </w:pPr>
                  <w:r w:rsidRPr="00D47D23">
                    <w:rPr>
                      <w:b/>
                      <w:bCs/>
                      <w:i/>
                      <w:iCs/>
                      <w:sz w:val="22"/>
                      <w:szCs w:val="22"/>
                      <w:lang w:val="en-US"/>
                    </w:rPr>
                    <w:t>EMISSIONS</w:t>
                  </w:r>
                  <w:r>
                    <w:rPr>
                      <w:b/>
                      <w:bCs/>
                      <w:i/>
                      <w:iCs/>
                      <w:sz w:val="22"/>
                      <w:szCs w:val="22"/>
                      <w:lang w:val="en-US"/>
                    </w:rPr>
                    <w:t xml:space="preserve"> – LONG-LIVED GASES</w:t>
                  </w:r>
                </w:p>
                <w:p w14:paraId="22FB4BCB" w14:textId="77777777" w:rsidR="00FC3430" w:rsidRDefault="00FC3430" w:rsidP="00A74117">
                  <w:pPr>
                    <w:pStyle w:val="Default"/>
                    <w:framePr w:hSpace="180" w:wrap="around" w:vAnchor="text" w:hAnchor="margin" w:y="124"/>
                    <w:spacing w:before="80" w:after="80"/>
                    <w:rPr>
                      <w:sz w:val="22"/>
                      <w:szCs w:val="22"/>
                      <w:lang w:val="en-US"/>
                    </w:rPr>
                  </w:pPr>
                  <w:r>
                    <w:rPr>
                      <w:sz w:val="22"/>
                      <w:szCs w:val="22"/>
                      <w:lang w:val="en-US"/>
                    </w:rPr>
                    <w:t>Gross long-lived gases</w:t>
                  </w:r>
                </w:p>
              </w:tc>
              <w:tc>
                <w:tcPr>
                  <w:tcW w:w="1871" w:type="dxa"/>
                  <w:tcBorders>
                    <w:top w:val="single" w:sz="12" w:space="0" w:color="auto"/>
                  </w:tcBorders>
                  <w:tcMar>
                    <w:top w:w="0" w:type="dxa"/>
                    <w:left w:w="108" w:type="dxa"/>
                    <w:bottom w:w="0" w:type="dxa"/>
                    <w:right w:w="108" w:type="dxa"/>
                  </w:tcMar>
                </w:tcPr>
                <w:p w14:paraId="1D977108" w14:textId="77777777" w:rsidR="00FC3430" w:rsidRDefault="00FC3430" w:rsidP="00A74117">
                  <w:pPr>
                    <w:pStyle w:val="Default"/>
                    <w:framePr w:hSpace="180" w:wrap="around" w:vAnchor="text" w:hAnchor="margin" w:y="124"/>
                    <w:spacing w:before="80" w:after="80"/>
                    <w:jc w:val="center"/>
                    <w:rPr>
                      <w:sz w:val="22"/>
                      <w:szCs w:val="22"/>
                    </w:rPr>
                  </w:pPr>
                </w:p>
                <w:p w14:paraId="55D801EB" w14:textId="77777777" w:rsidR="00FC3430" w:rsidRPr="00B15931" w:rsidRDefault="00FC3430" w:rsidP="00A74117">
                  <w:pPr>
                    <w:pStyle w:val="Default"/>
                    <w:framePr w:hSpace="180" w:wrap="around" w:vAnchor="text" w:hAnchor="margin" w:y="124"/>
                    <w:spacing w:before="80" w:after="80"/>
                    <w:jc w:val="center"/>
                    <w:rPr>
                      <w:sz w:val="22"/>
                      <w:szCs w:val="22"/>
                      <w:lang w:val="en-US"/>
                    </w:rPr>
                  </w:pPr>
                  <w:r w:rsidRPr="00B15931">
                    <w:rPr>
                      <w:sz w:val="22"/>
                      <w:szCs w:val="22"/>
                    </w:rPr>
                    <w:t>1</w:t>
                  </w:r>
                  <w:r>
                    <w:rPr>
                      <w:sz w:val="22"/>
                      <w:szCs w:val="22"/>
                    </w:rPr>
                    <w:t>74</w:t>
                  </w:r>
                  <w:r w:rsidRPr="00B15931">
                    <w:rPr>
                      <w:sz w:val="22"/>
                      <w:szCs w:val="22"/>
                    </w:rPr>
                    <w:t xml:space="preserve"> Mt CO</w:t>
                  </w:r>
                  <w:r w:rsidRPr="003C2481">
                    <w:rPr>
                      <w:sz w:val="22"/>
                      <w:szCs w:val="22"/>
                      <w:vertAlign w:val="subscript"/>
                    </w:rPr>
                    <w:t>2</w:t>
                  </w:r>
                  <w:r w:rsidRPr="00B15931">
                    <w:rPr>
                      <w:sz w:val="22"/>
                      <w:szCs w:val="22"/>
                    </w:rPr>
                    <w:t>e</w:t>
                  </w:r>
                </w:p>
              </w:tc>
              <w:tc>
                <w:tcPr>
                  <w:tcW w:w="1871" w:type="dxa"/>
                  <w:tcBorders>
                    <w:top w:val="single" w:sz="12" w:space="0" w:color="auto"/>
                  </w:tcBorders>
                  <w:tcMar>
                    <w:top w:w="0" w:type="dxa"/>
                    <w:left w:w="108" w:type="dxa"/>
                    <w:bottom w:w="0" w:type="dxa"/>
                    <w:right w:w="108" w:type="dxa"/>
                  </w:tcMar>
                </w:tcPr>
                <w:p w14:paraId="5ACE6F2F" w14:textId="77777777" w:rsidR="00FC3430" w:rsidRDefault="00FC3430" w:rsidP="00A74117">
                  <w:pPr>
                    <w:pStyle w:val="Default"/>
                    <w:framePr w:hSpace="180" w:wrap="around" w:vAnchor="text" w:hAnchor="margin" w:y="124"/>
                    <w:spacing w:before="80" w:after="80"/>
                    <w:jc w:val="center"/>
                    <w:rPr>
                      <w:sz w:val="22"/>
                      <w:szCs w:val="22"/>
                    </w:rPr>
                  </w:pPr>
                </w:p>
                <w:p w14:paraId="3C8C3D9C" w14:textId="77777777" w:rsidR="00FC3430" w:rsidRPr="00B15931" w:rsidRDefault="00FC3430" w:rsidP="00A74117">
                  <w:pPr>
                    <w:pStyle w:val="Default"/>
                    <w:framePr w:hSpace="180" w:wrap="around" w:vAnchor="text" w:hAnchor="margin" w:y="124"/>
                    <w:spacing w:before="80" w:after="80"/>
                    <w:jc w:val="center"/>
                    <w:rPr>
                      <w:sz w:val="22"/>
                      <w:szCs w:val="22"/>
                      <w:lang w:val="en-US"/>
                    </w:rPr>
                  </w:pPr>
                  <w:r w:rsidRPr="00B15931">
                    <w:rPr>
                      <w:sz w:val="22"/>
                      <w:szCs w:val="22"/>
                    </w:rPr>
                    <w:t>1</w:t>
                  </w:r>
                  <w:r>
                    <w:rPr>
                      <w:sz w:val="22"/>
                      <w:szCs w:val="22"/>
                    </w:rPr>
                    <w:t>90</w:t>
                  </w:r>
                  <w:r w:rsidRPr="00B15931">
                    <w:rPr>
                      <w:sz w:val="22"/>
                      <w:szCs w:val="22"/>
                    </w:rPr>
                    <w:t xml:space="preserve"> Mt CO</w:t>
                  </w:r>
                  <w:r w:rsidRPr="003C2481">
                    <w:rPr>
                      <w:sz w:val="22"/>
                      <w:szCs w:val="22"/>
                      <w:vertAlign w:val="subscript"/>
                    </w:rPr>
                    <w:t>2</w:t>
                  </w:r>
                  <w:r w:rsidRPr="00B15931">
                    <w:rPr>
                      <w:sz w:val="22"/>
                      <w:szCs w:val="22"/>
                    </w:rPr>
                    <w:t>e</w:t>
                  </w:r>
                </w:p>
              </w:tc>
              <w:tc>
                <w:tcPr>
                  <w:tcW w:w="1871" w:type="dxa"/>
                  <w:tcBorders>
                    <w:top w:val="single" w:sz="12" w:space="0" w:color="auto"/>
                    <w:right w:val="single" w:sz="12" w:space="0" w:color="auto"/>
                  </w:tcBorders>
                  <w:tcMar>
                    <w:top w:w="0" w:type="dxa"/>
                    <w:left w:w="108" w:type="dxa"/>
                    <w:bottom w:w="0" w:type="dxa"/>
                    <w:right w:w="108" w:type="dxa"/>
                  </w:tcMar>
                </w:tcPr>
                <w:p w14:paraId="6B2453D9" w14:textId="77777777" w:rsidR="00FC3430" w:rsidRDefault="00FC3430" w:rsidP="00A74117">
                  <w:pPr>
                    <w:pStyle w:val="Default"/>
                    <w:framePr w:hSpace="180" w:wrap="around" w:vAnchor="text" w:hAnchor="margin" w:y="124"/>
                    <w:spacing w:before="80" w:after="80"/>
                    <w:jc w:val="center"/>
                    <w:rPr>
                      <w:sz w:val="22"/>
                      <w:szCs w:val="22"/>
                    </w:rPr>
                  </w:pPr>
                </w:p>
                <w:p w14:paraId="6BB1A54A" w14:textId="77777777" w:rsidR="00FC3430" w:rsidRPr="00B15931" w:rsidRDefault="00FC3430" w:rsidP="00A74117">
                  <w:pPr>
                    <w:pStyle w:val="Default"/>
                    <w:framePr w:hSpace="180" w:wrap="around" w:vAnchor="text" w:hAnchor="margin" w:y="124"/>
                    <w:spacing w:before="80" w:after="80"/>
                    <w:jc w:val="center"/>
                    <w:rPr>
                      <w:sz w:val="22"/>
                      <w:szCs w:val="22"/>
                      <w:lang w:val="en-US"/>
                    </w:rPr>
                  </w:pPr>
                  <w:r>
                    <w:rPr>
                      <w:sz w:val="22"/>
                      <w:szCs w:val="22"/>
                    </w:rPr>
                    <w:t>153</w:t>
                  </w:r>
                  <w:r w:rsidRPr="00B15931">
                    <w:rPr>
                      <w:sz w:val="22"/>
                      <w:szCs w:val="22"/>
                    </w:rPr>
                    <w:t xml:space="preserve"> Mt CO</w:t>
                  </w:r>
                  <w:r w:rsidRPr="003C2481">
                    <w:rPr>
                      <w:sz w:val="22"/>
                      <w:szCs w:val="22"/>
                      <w:vertAlign w:val="subscript"/>
                    </w:rPr>
                    <w:t>2</w:t>
                  </w:r>
                  <w:r w:rsidRPr="00B15931">
                    <w:rPr>
                      <w:sz w:val="22"/>
                      <w:szCs w:val="22"/>
                    </w:rPr>
                    <w:t>e</w:t>
                  </w:r>
                </w:p>
              </w:tc>
            </w:tr>
            <w:tr w:rsidR="00FC3430" w14:paraId="225CB181" w14:textId="77777777" w:rsidTr="001B5D5F">
              <w:tc>
                <w:tcPr>
                  <w:tcW w:w="3345" w:type="dxa"/>
                  <w:tcBorders>
                    <w:top w:val="single" w:sz="4" w:space="0" w:color="auto"/>
                    <w:left w:val="single" w:sz="12" w:space="0" w:color="auto"/>
                  </w:tcBorders>
                  <w:tcMar>
                    <w:top w:w="0" w:type="dxa"/>
                    <w:left w:w="108" w:type="dxa"/>
                    <w:bottom w:w="0" w:type="dxa"/>
                    <w:right w:w="108" w:type="dxa"/>
                  </w:tcMar>
                  <w:hideMark/>
                </w:tcPr>
                <w:p w14:paraId="534FEABA" w14:textId="77777777" w:rsidR="00FC3430" w:rsidRPr="00ED7E6B" w:rsidRDefault="00FC3430" w:rsidP="00A74117">
                  <w:pPr>
                    <w:pStyle w:val="Default"/>
                    <w:framePr w:hSpace="180" w:wrap="around" w:vAnchor="text" w:hAnchor="margin" w:y="124"/>
                    <w:spacing w:before="80" w:after="80"/>
                    <w:ind w:firstLine="337"/>
                    <w:rPr>
                      <w:i/>
                      <w:iCs/>
                      <w:sz w:val="22"/>
                      <w:szCs w:val="22"/>
                      <w:lang w:val="en-US"/>
                    </w:rPr>
                  </w:pPr>
                  <w:r w:rsidRPr="00ED7E6B">
                    <w:rPr>
                      <w:i/>
                      <w:iCs/>
                      <w:sz w:val="22"/>
                      <w:szCs w:val="22"/>
                      <w:lang w:val="en-US"/>
                    </w:rPr>
                    <w:t>Carbon dioxide</w:t>
                  </w:r>
                </w:p>
              </w:tc>
              <w:tc>
                <w:tcPr>
                  <w:tcW w:w="1871" w:type="dxa"/>
                  <w:tcBorders>
                    <w:top w:val="single" w:sz="4" w:space="0" w:color="auto"/>
                  </w:tcBorders>
                  <w:tcMar>
                    <w:top w:w="0" w:type="dxa"/>
                    <w:left w:w="108" w:type="dxa"/>
                    <w:bottom w:w="0" w:type="dxa"/>
                    <w:right w:w="108" w:type="dxa"/>
                  </w:tcMar>
                  <w:hideMark/>
                </w:tcPr>
                <w:p w14:paraId="3BECB74A" w14:textId="77777777" w:rsidR="00FC3430" w:rsidRPr="003C2481" w:rsidRDefault="00FC3430" w:rsidP="00A74117">
                  <w:pPr>
                    <w:pStyle w:val="Default"/>
                    <w:framePr w:hSpace="180" w:wrap="around" w:vAnchor="text" w:hAnchor="margin" w:y="124"/>
                    <w:spacing w:before="80" w:after="80"/>
                    <w:jc w:val="center"/>
                    <w:rPr>
                      <w:sz w:val="22"/>
                      <w:szCs w:val="22"/>
                      <w:lang w:val="en-US"/>
                    </w:rPr>
                  </w:pPr>
                  <w:r>
                    <w:rPr>
                      <w:sz w:val="22"/>
                      <w:szCs w:val="22"/>
                      <w:lang w:val="en-US"/>
                    </w:rPr>
                    <w:t>133.7</w:t>
                  </w:r>
                  <w:r w:rsidRPr="003C2481">
                    <w:rPr>
                      <w:sz w:val="22"/>
                      <w:szCs w:val="22"/>
                      <w:lang w:val="en-US"/>
                    </w:rPr>
                    <w:t xml:space="preserve"> Mt CO</w:t>
                  </w:r>
                  <w:r w:rsidRPr="003C2481">
                    <w:rPr>
                      <w:sz w:val="22"/>
                      <w:szCs w:val="22"/>
                      <w:vertAlign w:val="subscript"/>
                      <w:lang w:val="en-US"/>
                    </w:rPr>
                    <w:t>2</w:t>
                  </w:r>
                  <w:r w:rsidRPr="003C2481">
                    <w:rPr>
                      <w:sz w:val="22"/>
                      <w:szCs w:val="22"/>
                      <w:lang w:val="en-US"/>
                    </w:rPr>
                    <w:t>e</w:t>
                  </w:r>
                </w:p>
              </w:tc>
              <w:tc>
                <w:tcPr>
                  <w:tcW w:w="1871" w:type="dxa"/>
                  <w:tcBorders>
                    <w:top w:val="single" w:sz="4" w:space="0" w:color="auto"/>
                  </w:tcBorders>
                  <w:tcMar>
                    <w:top w:w="0" w:type="dxa"/>
                    <w:left w:w="108" w:type="dxa"/>
                    <w:bottom w:w="0" w:type="dxa"/>
                    <w:right w:w="108" w:type="dxa"/>
                  </w:tcMar>
                  <w:hideMark/>
                </w:tcPr>
                <w:p w14:paraId="034063EF" w14:textId="77777777" w:rsidR="00FC3430" w:rsidRPr="003C2481" w:rsidRDefault="00FC3430" w:rsidP="00A74117">
                  <w:pPr>
                    <w:pStyle w:val="Default"/>
                    <w:framePr w:hSpace="180" w:wrap="around" w:vAnchor="text" w:hAnchor="margin" w:y="124"/>
                    <w:spacing w:before="80" w:after="80"/>
                    <w:jc w:val="center"/>
                    <w:rPr>
                      <w:sz w:val="22"/>
                      <w:szCs w:val="22"/>
                      <w:lang w:val="en-US"/>
                    </w:rPr>
                  </w:pPr>
                  <w:r>
                    <w:rPr>
                      <w:sz w:val="22"/>
                      <w:szCs w:val="22"/>
                      <w:lang w:val="en-US"/>
                    </w:rPr>
                    <w:t>143.2</w:t>
                  </w:r>
                  <w:r w:rsidRPr="003C2481">
                    <w:rPr>
                      <w:sz w:val="22"/>
                      <w:szCs w:val="22"/>
                      <w:lang w:val="en-US"/>
                    </w:rPr>
                    <w:t xml:space="preserve"> Mt CO</w:t>
                  </w:r>
                  <w:r w:rsidRPr="003C2481">
                    <w:rPr>
                      <w:sz w:val="22"/>
                      <w:szCs w:val="22"/>
                      <w:vertAlign w:val="subscript"/>
                      <w:lang w:val="en-US"/>
                    </w:rPr>
                    <w:t>2</w:t>
                  </w:r>
                  <w:r w:rsidRPr="003C2481">
                    <w:rPr>
                      <w:sz w:val="22"/>
                      <w:szCs w:val="22"/>
                      <w:lang w:val="en-US"/>
                    </w:rPr>
                    <w:t>e</w:t>
                  </w:r>
                </w:p>
              </w:tc>
              <w:tc>
                <w:tcPr>
                  <w:tcW w:w="1871" w:type="dxa"/>
                  <w:tcBorders>
                    <w:top w:val="single" w:sz="4" w:space="0" w:color="auto"/>
                    <w:right w:val="single" w:sz="12" w:space="0" w:color="auto"/>
                  </w:tcBorders>
                  <w:tcMar>
                    <w:top w:w="0" w:type="dxa"/>
                    <w:left w:w="108" w:type="dxa"/>
                    <w:bottom w:w="0" w:type="dxa"/>
                    <w:right w:w="108" w:type="dxa"/>
                  </w:tcMar>
                </w:tcPr>
                <w:p w14:paraId="58467754" w14:textId="77777777" w:rsidR="00FC3430" w:rsidRPr="003C2481" w:rsidRDefault="00FC3430" w:rsidP="00A74117">
                  <w:pPr>
                    <w:pStyle w:val="Default"/>
                    <w:framePr w:hSpace="180" w:wrap="around" w:vAnchor="text" w:hAnchor="margin" w:y="124"/>
                    <w:spacing w:before="80" w:after="80"/>
                    <w:jc w:val="center"/>
                    <w:rPr>
                      <w:sz w:val="22"/>
                      <w:szCs w:val="22"/>
                      <w:lang w:val="en-US"/>
                    </w:rPr>
                  </w:pPr>
                  <w:r>
                    <w:rPr>
                      <w:sz w:val="22"/>
                      <w:szCs w:val="22"/>
                      <w:lang w:val="en-US"/>
                    </w:rPr>
                    <w:t>110.8</w:t>
                  </w:r>
                  <w:r w:rsidRPr="003C2481">
                    <w:rPr>
                      <w:sz w:val="22"/>
                      <w:szCs w:val="22"/>
                      <w:lang w:val="en-US"/>
                    </w:rPr>
                    <w:t xml:space="preserve"> Mt CO</w:t>
                  </w:r>
                  <w:r w:rsidRPr="003C2481">
                    <w:rPr>
                      <w:sz w:val="22"/>
                      <w:szCs w:val="22"/>
                      <w:vertAlign w:val="subscript"/>
                      <w:lang w:val="en-US"/>
                    </w:rPr>
                    <w:t>2</w:t>
                  </w:r>
                  <w:r w:rsidRPr="003C2481">
                    <w:rPr>
                      <w:sz w:val="22"/>
                      <w:szCs w:val="22"/>
                      <w:lang w:val="en-US"/>
                    </w:rPr>
                    <w:t>e</w:t>
                  </w:r>
                </w:p>
              </w:tc>
            </w:tr>
            <w:tr w:rsidR="00FC3430" w14:paraId="717B20DC" w14:textId="77777777" w:rsidTr="001B5D5F">
              <w:tc>
                <w:tcPr>
                  <w:tcW w:w="3345" w:type="dxa"/>
                  <w:tcBorders>
                    <w:left w:val="single" w:sz="12" w:space="0" w:color="auto"/>
                  </w:tcBorders>
                  <w:tcMar>
                    <w:top w:w="0" w:type="dxa"/>
                    <w:left w:w="108" w:type="dxa"/>
                    <w:bottom w:w="0" w:type="dxa"/>
                    <w:right w:w="108" w:type="dxa"/>
                  </w:tcMar>
                  <w:hideMark/>
                </w:tcPr>
                <w:p w14:paraId="59126021" w14:textId="77777777" w:rsidR="00FC3430" w:rsidRPr="00ED7E6B" w:rsidRDefault="00FC3430" w:rsidP="00A74117">
                  <w:pPr>
                    <w:pStyle w:val="Default"/>
                    <w:framePr w:hSpace="180" w:wrap="around" w:vAnchor="text" w:hAnchor="margin" w:y="124"/>
                    <w:spacing w:before="80" w:after="80"/>
                    <w:ind w:firstLine="337"/>
                    <w:rPr>
                      <w:i/>
                      <w:iCs/>
                      <w:sz w:val="22"/>
                      <w:szCs w:val="22"/>
                      <w:lang w:val="en-US"/>
                    </w:rPr>
                  </w:pPr>
                  <w:r w:rsidRPr="00ED7E6B">
                    <w:rPr>
                      <w:i/>
                      <w:iCs/>
                      <w:sz w:val="22"/>
                      <w:szCs w:val="22"/>
                      <w:lang w:val="en-US"/>
                    </w:rPr>
                    <w:t>Nitrous oxide</w:t>
                  </w:r>
                </w:p>
              </w:tc>
              <w:tc>
                <w:tcPr>
                  <w:tcW w:w="1871" w:type="dxa"/>
                  <w:tcMar>
                    <w:top w:w="0" w:type="dxa"/>
                    <w:left w:w="108" w:type="dxa"/>
                    <w:bottom w:w="0" w:type="dxa"/>
                    <w:right w:w="108" w:type="dxa"/>
                  </w:tcMar>
                  <w:hideMark/>
                </w:tcPr>
                <w:p w14:paraId="30FEA9A8" w14:textId="77777777" w:rsidR="00FC3430" w:rsidRPr="007358E3" w:rsidRDefault="00FC3430" w:rsidP="00A74117">
                  <w:pPr>
                    <w:pStyle w:val="Default"/>
                    <w:framePr w:hSpace="180" w:wrap="around" w:vAnchor="text" w:hAnchor="margin" w:y="124"/>
                    <w:spacing w:before="80" w:after="80"/>
                    <w:jc w:val="center"/>
                    <w:rPr>
                      <w:sz w:val="22"/>
                      <w:szCs w:val="22"/>
                      <w:lang w:val="en-US"/>
                    </w:rPr>
                  </w:pPr>
                  <w:r>
                    <w:rPr>
                      <w:sz w:val="22"/>
                      <w:szCs w:val="22"/>
                      <w:lang w:val="en-US"/>
                    </w:rPr>
                    <w:t>29.4</w:t>
                  </w:r>
                  <w:r w:rsidRPr="007358E3">
                    <w:rPr>
                      <w:sz w:val="22"/>
                      <w:szCs w:val="22"/>
                      <w:lang w:val="en-US"/>
                    </w:rPr>
                    <w:t xml:space="preserve"> Mt CO</w:t>
                  </w:r>
                  <w:r w:rsidRPr="007358E3">
                    <w:rPr>
                      <w:sz w:val="22"/>
                      <w:szCs w:val="22"/>
                      <w:vertAlign w:val="subscript"/>
                      <w:lang w:val="en-US"/>
                    </w:rPr>
                    <w:t>2</w:t>
                  </w:r>
                  <w:r w:rsidRPr="007358E3">
                    <w:rPr>
                      <w:sz w:val="22"/>
                      <w:szCs w:val="22"/>
                      <w:lang w:val="en-US"/>
                    </w:rPr>
                    <w:t>e</w:t>
                  </w:r>
                </w:p>
              </w:tc>
              <w:tc>
                <w:tcPr>
                  <w:tcW w:w="1871" w:type="dxa"/>
                  <w:tcMar>
                    <w:top w:w="0" w:type="dxa"/>
                    <w:left w:w="108" w:type="dxa"/>
                    <w:bottom w:w="0" w:type="dxa"/>
                    <w:right w:w="108" w:type="dxa"/>
                  </w:tcMar>
                </w:tcPr>
                <w:p w14:paraId="34BF5970" w14:textId="77777777" w:rsidR="00FC3430" w:rsidRPr="007358E3" w:rsidRDefault="00FC3430" w:rsidP="00A74117">
                  <w:pPr>
                    <w:pStyle w:val="Default"/>
                    <w:framePr w:hSpace="180" w:wrap="around" w:vAnchor="text" w:hAnchor="margin" w:y="124"/>
                    <w:spacing w:before="80" w:after="80"/>
                    <w:jc w:val="center"/>
                    <w:rPr>
                      <w:sz w:val="22"/>
                      <w:szCs w:val="22"/>
                      <w:lang w:val="en-US"/>
                    </w:rPr>
                  </w:pPr>
                  <w:r>
                    <w:rPr>
                      <w:sz w:val="22"/>
                      <w:szCs w:val="22"/>
                      <w:lang w:val="en-US"/>
                    </w:rPr>
                    <w:t>35.3</w:t>
                  </w:r>
                  <w:r w:rsidRPr="007358E3">
                    <w:rPr>
                      <w:sz w:val="22"/>
                      <w:szCs w:val="22"/>
                      <w:lang w:val="en-US"/>
                    </w:rPr>
                    <w:t xml:space="preserve"> Mt CO</w:t>
                  </w:r>
                  <w:r w:rsidRPr="007358E3">
                    <w:rPr>
                      <w:sz w:val="22"/>
                      <w:szCs w:val="22"/>
                      <w:vertAlign w:val="subscript"/>
                      <w:lang w:val="en-US"/>
                    </w:rPr>
                    <w:t>2</w:t>
                  </w:r>
                  <w:r w:rsidRPr="007358E3">
                    <w:rPr>
                      <w:sz w:val="22"/>
                      <w:szCs w:val="22"/>
                      <w:lang w:val="en-US"/>
                    </w:rPr>
                    <w:t>e</w:t>
                  </w:r>
                </w:p>
              </w:tc>
              <w:tc>
                <w:tcPr>
                  <w:tcW w:w="1871" w:type="dxa"/>
                  <w:tcBorders>
                    <w:right w:val="single" w:sz="12" w:space="0" w:color="auto"/>
                  </w:tcBorders>
                  <w:tcMar>
                    <w:top w:w="0" w:type="dxa"/>
                    <w:left w:w="108" w:type="dxa"/>
                    <w:bottom w:w="0" w:type="dxa"/>
                    <w:right w:w="108" w:type="dxa"/>
                  </w:tcMar>
                </w:tcPr>
                <w:p w14:paraId="2BD6FB80" w14:textId="77777777" w:rsidR="00FC3430" w:rsidRPr="007358E3" w:rsidRDefault="00FC3430" w:rsidP="00A74117">
                  <w:pPr>
                    <w:pStyle w:val="Default"/>
                    <w:framePr w:hSpace="180" w:wrap="around" w:vAnchor="text" w:hAnchor="margin" w:y="124"/>
                    <w:spacing w:before="80" w:after="80"/>
                    <w:jc w:val="center"/>
                    <w:rPr>
                      <w:sz w:val="22"/>
                      <w:szCs w:val="22"/>
                      <w:lang w:val="en-US"/>
                    </w:rPr>
                  </w:pPr>
                  <w:r>
                    <w:rPr>
                      <w:sz w:val="22"/>
                      <w:szCs w:val="22"/>
                      <w:lang w:val="en-US"/>
                    </w:rPr>
                    <w:t>33.1</w:t>
                  </w:r>
                  <w:r w:rsidRPr="007358E3">
                    <w:rPr>
                      <w:sz w:val="22"/>
                      <w:szCs w:val="22"/>
                      <w:lang w:val="en-US"/>
                    </w:rPr>
                    <w:t xml:space="preserve"> Mt CO</w:t>
                  </w:r>
                  <w:r w:rsidRPr="007358E3">
                    <w:rPr>
                      <w:sz w:val="22"/>
                      <w:szCs w:val="22"/>
                      <w:vertAlign w:val="subscript"/>
                      <w:lang w:val="en-US"/>
                    </w:rPr>
                    <w:t>2</w:t>
                  </w:r>
                  <w:r w:rsidRPr="007358E3">
                    <w:rPr>
                      <w:sz w:val="22"/>
                      <w:szCs w:val="22"/>
                      <w:lang w:val="en-US"/>
                    </w:rPr>
                    <w:t>e</w:t>
                  </w:r>
                </w:p>
              </w:tc>
            </w:tr>
            <w:tr w:rsidR="00FC3430" w14:paraId="4BF64D05" w14:textId="77777777" w:rsidTr="001B5D5F">
              <w:tc>
                <w:tcPr>
                  <w:tcW w:w="3345" w:type="dxa"/>
                  <w:tcBorders>
                    <w:left w:val="single" w:sz="12" w:space="0" w:color="auto"/>
                  </w:tcBorders>
                  <w:tcMar>
                    <w:top w:w="0" w:type="dxa"/>
                    <w:left w:w="108" w:type="dxa"/>
                    <w:bottom w:w="0" w:type="dxa"/>
                    <w:right w:w="108" w:type="dxa"/>
                  </w:tcMar>
                  <w:hideMark/>
                </w:tcPr>
                <w:p w14:paraId="1BA87D14" w14:textId="77777777" w:rsidR="00FC3430" w:rsidRPr="00ED7E6B" w:rsidRDefault="00FC3430" w:rsidP="00A74117">
                  <w:pPr>
                    <w:pStyle w:val="Default"/>
                    <w:framePr w:hSpace="180" w:wrap="around" w:vAnchor="text" w:hAnchor="margin" w:y="124"/>
                    <w:spacing w:before="80" w:after="80"/>
                    <w:ind w:firstLine="337"/>
                    <w:rPr>
                      <w:i/>
                      <w:iCs/>
                      <w:sz w:val="22"/>
                      <w:szCs w:val="22"/>
                      <w:lang w:val="en-US"/>
                    </w:rPr>
                  </w:pPr>
                  <w:r w:rsidRPr="00ED7E6B">
                    <w:rPr>
                      <w:i/>
                      <w:iCs/>
                      <w:sz w:val="22"/>
                      <w:szCs w:val="22"/>
                      <w:lang w:val="en-US"/>
                    </w:rPr>
                    <w:t>F-gases</w:t>
                  </w:r>
                </w:p>
              </w:tc>
              <w:tc>
                <w:tcPr>
                  <w:tcW w:w="1871" w:type="dxa"/>
                  <w:tcMar>
                    <w:top w:w="0" w:type="dxa"/>
                    <w:left w:w="108" w:type="dxa"/>
                    <w:bottom w:w="0" w:type="dxa"/>
                    <w:right w:w="108" w:type="dxa"/>
                  </w:tcMar>
                  <w:hideMark/>
                </w:tcPr>
                <w:p w14:paraId="29D32423" w14:textId="77777777" w:rsidR="00FC3430" w:rsidRPr="007358E3" w:rsidRDefault="00FC3430" w:rsidP="00A74117">
                  <w:pPr>
                    <w:pStyle w:val="Default"/>
                    <w:framePr w:hSpace="180" w:wrap="around" w:vAnchor="text" w:hAnchor="margin" w:y="124"/>
                    <w:spacing w:before="80" w:after="80"/>
                    <w:jc w:val="center"/>
                    <w:rPr>
                      <w:sz w:val="22"/>
                      <w:szCs w:val="22"/>
                      <w:lang w:val="en-US"/>
                    </w:rPr>
                  </w:pPr>
                  <w:r w:rsidRPr="007358E3">
                    <w:rPr>
                      <w:sz w:val="22"/>
                      <w:szCs w:val="22"/>
                      <w:lang w:val="en-US"/>
                    </w:rPr>
                    <w:t>7.3 Mt CO</w:t>
                  </w:r>
                  <w:r w:rsidRPr="007358E3">
                    <w:rPr>
                      <w:sz w:val="22"/>
                      <w:szCs w:val="22"/>
                      <w:vertAlign w:val="subscript"/>
                      <w:lang w:val="en-US"/>
                    </w:rPr>
                    <w:t>2</w:t>
                  </w:r>
                  <w:r w:rsidRPr="007358E3">
                    <w:rPr>
                      <w:sz w:val="22"/>
                      <w:szCs w:val="22"/>
                      <w:lang w:val="en-US"/>
                    </w:rPr>
                    <w:t>e</w:t>
                  </w:r>
                </w:p>
              </w:tc>
              <w:tc>
                <w:tcPr>
                  <w:tcW w:w="1871" w:type="dxa"/>
                  <w:tcMar>
                    <w:top w:w="0" w:type="dxa"/>
                    <w:left w:w="108" w:type="dxa"/>
                    <w:bottom w:w="0" w:type="dxa"/>
                    <w:right w:w="108" w:type="dxa"/>
                  </w:tcMar>
                </w:tcPr>
                <w:p w14:paraId="241E0B36" w14:textId="77777777" w:rsidR="00FC3430" w:rsidRPr="007358E3" w:rsidRDefault="00FC3430" w:rsidP="00A74117">
                  <w:pPr>
                    <w:pStyle w:val="Default"/>
                    <w:framePr w:hSpace="180" w:wrap="around" w:vAnchor="text" w:hAnchor="margin" w:y="124"/>
                    <w:spacing w:before="80" w:after="80"/>
                    <w:jc w:val="center"/>
                    <w:rPr>
                      <w:sz w:val="22"/>
                      <w:szCs w:val="22"/>
                      <w:lang w:val="en-US"/>
                    </w:rPr>
                  </w:pPr>
                  <w:r w:rsidRPr="007358E3">
                    <w:rPr>
                      <w:sz w:val="22"/>
                      <w:szCs w:val="22"/>
                      <w:lang w:val="en-US"/>
                    </w:rPr>
                    <w:t>8.1 Mt CO</w:t>
                  </w:r>
                  <w:r w:rsidRPr="007358E3">
                    <w:rPr>
                      <w:sz w:val="22"/>
                      <w:szCs w:val="22"/>
                      <w:vertAlign w:val="subscript"/>
                      <w:lang w:val="en-US"/>
                    </w:rPr>
                    <w:t>2</w:t>
                  </w:r>
                  <w:r w:rsidRPr="007358E3">
                    <w:rPr>
                      <w:sz w:val="22"/>
                      <w:szCs w:val="22"/>
                      <w:lang w:val="en-US"/>
                    </w:rPr>
                    <w:t>e</w:t>
                  </w:r>
                </w:p>
              </w:tc>
              <w:tc>
                <w:tcPr>
                  <w:tcW w:w="1871" w:type="dxa"/>
                  <w:tcBorders>
                    <w:right w:val="single" w:sz="12" w:space="0" w:color="auto"/>
                  </w:tcBorders>
                  <w:tcMar>
                    <w:top w:w="0" w:type="dxa"/>
                    <w:left w:w="108" w:type="dxa"/>
                    <w:bottom w:w="0" w:type="dxa"/>
                    <w:right w:w="108" w:type="dxa"/>
                  </w:tcMar>
                </w:tcPr>
                <w:p w14:paraId="2FA0EECF" w14:textId="77777777" w:rsidR="00FC3430" w:rsidRPr="007358E3" w:rsidRDefault="00FC3430" w:rsidP="00A74117">
                  <w:pPr>
                    <w:pStyle w:val="Default"/>
                    <w:framePr w:hSpace="180" w:wrap="around" w:vAnchor="text" w:hAnchor="margin" w:y="124"/>
                    <w:spacing w:before="80" w:after="80"/>
                    <w:jc w:val="center"/>
                    <w:rPr>
                      <w:sz w:val="22"/>
                      <w:szCs w:val="22"/>
                      <w:lang w:val="en-US"/>
                    </w:rPr>
                  </w:pPr>
                  <w:r w:rsidRPr="007358E3">
                    <w:rPr>
                      <w:sz w:val="22"/>
                      <w:szCs w:val="22"/>
                      <w:lang w:val="en-US"/>
                    </w:rPr>
                    <w:t>6.7 Mt CO</w:t>
                  </w:r>
                  <w:r w:rsidRPr="007358E3">
                    <w:rPr>
                      <w:sz w:val="22"/>
                      <w:szCs w:val="22"/>
                      <w:vertAlign w:val="subscript"/>
                      <w:lang w:val="en-US"/>
                    </w:rPr>
                    <w:t>2</w:t>
                  </w:r>
                  <w:r w:rsidRPr="007358E3">
                    <w:rPr>
                      <w:sz w:val="22"/>
                      <w:szCs w:val="22"/>
                      <w:lang w:val="en-US"/>
                    </w:rPr>
                    <w:t>e</w:t>
                  </w:r>
                </w:p>
              </w:tc>
            </w:tr>
            <w:tr w:rsidR="00FC3430" w14:paraId="2AEA1046" w14:textId="77777777" w:rsidTr="001B5D5F">
              <w:tc>
                <w:tcPr>
                  <w:tcW w:w="3345" w:type="dxa"/>
                  <w:tcBorders>
                    <w:left w:val="single" w:sz="12" w:space="0" w:color="auto"/>
                    <w:bottom w:val="single" w:sz="12" w:space="0" w:color="auto"/>
                  </w:tcBorders>
                  <w:tcMar>
                    <w:top w:w="0" w:type="dxa"/>
                    <w:left w:w="108" w:type="dxa"/>
                    <w:bottom w:w="0" w:type="dxa"/>
                    <w:right w:w="108" w:type="dxa"/>
                  </w:tcMar>
                </w:tcPr>
                <w:p w14:paraId="42F5A025" w14:textId="77777777" w:rsidR="00FC3430" w:rsidRPr="00ED7E6B" w:rsidRDefault="00FC3430" w:rsidP="00A74117">
                  <w:pPr>
                    <w:pStyle w:val="Default"/>
                    <w:framePr w:hSpace="180" w:wrap="around" w:vAnchor="text" w:hAnchor="margin" w:y="124"/>
                    <w:spacing w:before="80" w:after="80"/>
                    <w:ind w:firstLine="337"/>
                    <w:rPr>
                      <w:i/>
                      <w:iCs/>
                      <w:sz w:val="22"/>
                      <w:szCs w:val="22"/>
                      <w:lang w:val="en-US"/>
                    </w:rPr>
                  </w:pPr>
                  <w:r w:rsidRPr="00ED7E6B">
                    <w:rPr>
                      <w:i/>
                      <w:iCs/>
                      <w:sz w:val="22"/>
                      <w:szCs w:val="22"/>
                      <w:lang w:val="en-US"/>
                    </w:rPr>
                    <w:t>Non-biogenic methane</w:t>
                  </w:r>
                </w:p>
              </w:tc>
              <w:tc>
                <w:tcPr>
                  <w:tcW w:w="1871" w:type="dxa"/>
                  <w:tcBorders>
                    <w:bottom w:val="single" w:sz="12" w:space="0" w:color="auto"/>
                  </w:tcBorders>
                  <w:tcMar>
                    <w:top w:w="0" w:type="dxa"/>
                    <w:left w:w="108" w:type="dxa"/>
                    <w:bottom w:w="0" w:type="dxa"/>
                    <w:right w:w="108" w:type="dxa"/>
                  </w:tcMar>
                </w:tcPr>
                <w:p w14:paraId="640D716C" w14:textId="77777777" w:rsidR="00FC3430" w:rsidRPr="007358E3" w:rsidRDefault="00FC3430" w:rsidP="00A74117">
                  <w:pPr>
                    <w:pStyle w:val="Default"/>
                    <w:framePr w:hSpace="180" w:wrap="around" w:vAnchor="text" w:hAnchor="margin" w:y="124"/>
                    <w:spacing w:before="80" w:after="80"/>
                    <w:jc w:val="center"/>
                    <w:rPr>
                      <w:sz w:val="22"/>
                      <w:szCs w:val="22"/>
                      <w:lang w:val="en-US"/>
                    </w:rPr>
                  </w:pPr>
                  <w:r w:rsidRPr="007358E3">
                    <w:rPr>
                      <w:sz w:val="22"/>
                      <w:szCs w:val="22"/>
                      <w:lang w:val="en-US"/>
                    </w:rPr>
                    <w:t>3.</w:t>
                  </w:r>
                  <w:r w:rsidRPr="08D164A3">
                    <w:rPr>
                      <w:sz w:val="22"/>
                      <w:szCs w:val="22"/>
                      <w:lang w:val="en-US"/>
                    </w:rPr>
                    <w:t>4</w:t>
                  </w:r>
                  <w:r w:rsidRPr="007358E3">
                    <w:rPr>
                      <w:sz w:val="22"/>
                      <w:szCs w:val="22"/>
                      <w:lang w:val="en-US"/>
                    </w:rPr>
                    <w:t xml:space="preserve"> Mt CO</w:t>
                  </w:r>
                  <w:r w:rsidRPr="007358E3">
                    <w:rPr>
                      <w:sz w:val="22"/>
                      <w:szCs w:val="22"/>
                      <w:vertAlign w:val="subscript"/>
                      <w:lang w:val="en-US"/>
                    </w:rPr>
                    <w:t>2</w:t>
                  </w:r>
                  <w:r w:rsidRPr="007358E3">
                    <w:rPr>
                      <w:sz w:val="22"/>
                      <w:szCs w:val="22"/>
                      <w:lang w:val="en-US"/>
                    </w:rPr>
                    <w:t>e</w:t>
                  </w:r>
                </w:p>
              </w:tc>
              <w:tc>
                <w:tcPr>
                  <w:tcW w:w="1871" w:type="dxa"/>
                  <w:tcBorders>
                    <w:bottom w:val="single" w:sz="12" w:space="0" w:color="auto"/>
                  </w:tcBorders>
                  <w:tcMar>
                    <w:top w:w="0" w:type="dxa"/>
                    <w:left w:w="108" w:type="dxa"/>
                    <w:bottom w:w="0" w:type="dxa"/>
                    <w:right w:w="108" w:type="dxa"/>
                  </w:tcMar>
                </w:tcPr>
                <w:p w14:paraId="72C52F19" w14:textId="77777777" w:rsidR="00FC3430" w:rsidRPr="007358E3" w:rsidRDefault="00FC3430" w:rsidP="00A74117">
                  <w:pPr>
                    <w:pStyle w:val="Default"/>
                    <w:framePr w:hSpace="180" w:wrap="around" w:vAnchor="text" w:hAnchor="margin" w:y="124"/>
                    <w:spacing w:before="80" w:after="80"/>
                    <w:jc w:val="center"/>
                    <w:rPr>
                      <w:sz w:val="22"/>
                      <w:szCs w:val="22"/>
                      <w:lang w:val="en-US"/>
                    </w:rPr>
                  </w:pPr>
                  <w:r w:rsidRPr="007358E3">
                    <w:rPr>
                      <w:sz w:val="22"/>
                      <w:szCs w:val="22"/>
                      <w:lang w:val="en-US"/>
                    </w:rPr>
                    <w:t>3.</w:t>
                  </w:r>
                  <w:r w:rsidRPr="08D164A3">
                    <w:rPr>
                      <w:sz w:val="22"/>
                      <w:szCs w:val="22"/>
                      <w:lang w:val="en-US"/>
                    </w:rPr>
                    <w:t>1</w:t>
                  </w:r>
                  <w:r w:rsidRPr="007358E3">
                    <w:rPr>
                      <w:sz w:val="22"/>
                      <w:szCs w:val="22"/>
                      <w:lang w:val="en-US"/>
                    </w:rPr>
                    <w:t xml:space="preserve"> Mt CO</w:t>
                  </w:r>
                  <w:r w:rsidRPr="007358E3">
                    <w:rPr>
                      <w:sz w:val="22"/>
                      <w:szCs w:val="22"/>
                      <w:vertAlign w:val="subscript"/>
                      <w:lang w:val="en-US"/>
                    </w:rPr>
                    <w:t>2</w:t>
                  </w:r>
                  <w:r w:rsidRPr="007358E3">
                    <w:rPr>
                      <w:sz w:val="22"/>
                      <w:szCs w:val="22"/>
                      <w:lang w:val="en-US"/>
                    </w:rPr>
                    <w:t>e</w:t>
                  </w:r>
                </w:p>
              </w:tc>
              <w:tc>
                <w:tcPr>
                  <w:tcW w:w="1871" w:type="dxa"/>
                  <w:tcBorders>
                    <w:bottom w:val="single" w:sz="12" w:space="0" w:color="auto"/>
                    <w:right w:val="single" w:sz="12" w:space="0" w:color="auto"/>
                  </w:tcBorders>
                  <w:tcMar>
                    <w:top w:w="0" w:type="dxa"/>
                    <w:left w:w="108" w:type="dxa"/>
                    <w:bottom w:w="0" w:type="dxa"/>
                    <w:right w:w="108" w:type="dxa"/>
                  </w:tcMar>
                </w:tcPr>
                <w:p w14:paraId="11ACBD62" w14:textId="77777777" w:rsidR="00FC3430" w:rsidRPr="007358E3" w:rsidRDefault="00FC3430" w:rsidP="00A74117">
                  <w:pPr>
                    <w:pStyle w:val="Default"/>
                    <w:framePr w:hSpace="180" w:wrap="around" w:vAnchor="text" w:hAnchor="margin" w:y="124"/>
                    <w:spacing w:before="80" w:after="80"/>
                    <w:jc w:val="center"/>
                    <w:rPr>
                      <w:sz w:val="22"/>
                      <w:szCs w:val="22"/>
                      <w:lang w:val="en-US"/>
                    </w:rPr>
                  </w:pPr>
                  <w:r w:rsidRPr="007358E3">
                    <w:rPr>
                      <w:sz w:val="22"/>
                      <w:szCs w:val="22"/>
                      <w:lang w:val="en-US"/>
                    </w:rPr>
                    <w:t>2.</w:t>
                  </w:r>
                  <w:r w:rsidRPr="08D164A3">
                    <w:rPr>
                      <w:sz w:val="22"/>
                      <w:szCs w:val="22"/>
                      <w:lang w:val="en-US"/>
                    </w:rPr>
                    <w:t>2</w:t>
                  </w:r>
                  <w:r w:rsidRPr="007358E3">
                    <w:rPr>
                      <w:sz w:val="22"/>
                      <w:szCs w:val="22"/>
                      <w:lang w:val="en-US"/>
                    </w:rPr>
                    <w:t xml:space="preserve"> Mt CO</w:t>
                  </w:r>
                  <w:r w:rsidRPr="007358E3">
                    <w:rPr>
                      <w:sz w:val="22"/>
                      <w:szCs w:val="22"/>
                      <w:vertAlign w:val="subscript"/>
                      <w:lang w:val="en-US"/>
                    </w:rPr>
                    <w:t>2</w:t>
                  </w:r>
                  <w:r w:rsidRPr="007358E3">
                    <w:rPr>
                      <w:sz w:val="22"/>
                      <w:szCs w:val="22"/>
                      <w:lang w:val="en-US"/>
                    </w:rPr>
                    <w:t>e</w:t>
                  </w:r>
                </w:p>
              </w:tc>
            </w:tr>
            <w:tr w:rsidR="00FC3430" w14:paraId="74979537" w14:textId="77777777" w:rsidTr="001B5D5F">
              <w:tc>
                <w:tcPr>
                  <w:tcW w:w="3345" w:type="dxa"/>
                  <w:tcBorders>
                    <w:top w:val="single" w:sz="12" w:space="0" w:color="auto"/>
                    <w:left w:val="single" w:sz="12" w:space="0" w:color="auto"/>
                    <w:bottom w:val="single" w:sz="12" w:space="0" w:color="auto"/>
                    <w:right w:val="single" w:sz="4" w:space="0" w:color="auto"/>
                  </w:tcBorders>
                  <w:tcMar>
                    <w:top w:w="0" w:type="dxa"/>
                    <w:left w:w="108" w:type="dxa"/>
                    <w:bottom w:w="0" w:type="dxa"/>
                    <w:right w:w="108" w:type="dxa"/>
                  </w:tcMar>
                </w:tcPr>
                <w:p w14:paraId="707F25B1" w14:textId="77777777" w:rsidR="00FC3430" w:rsidRPr="008128F2" w:rsidRDefault="00FC3430" w:rsidP="00A74117">
                  <w:pPr>
                    <w:pStyle w:val="Default"/>
                    <w:framePr w:hSpace="180" w:wrap="around" w:vAnchor="text" w:hAnchor="margin" w:y="124"/>
                    <w:spacing w:before="80" w:after="80"/>
                    <w:rPr>
                      <w:b/>
                      <w:bCs/>
                      <w:i/>
                      <w:iCs/>
                      <w:sz w:val="22"/>
                      <w:szCs w:val="22"/>
                      <w:lang w:val="en-US"/>
                    </w:rPr>
                  </w:pPr>
                  <w:r w:rsidRPr="008128F2">
                    <w:rPr>
                      <w:b/>
                      <w:bCs/>
                      <w:i/>
                      <w:iCs/>
                      <w:sz w:val="22"/>
                      <w:szCs w:val="22"/>
                      <w:lang w:val="en-US"/>
                    </w:rPr>
                    <w:t>EMISSIONS – BIOGENIC METHANE</w:t>
                  </w:r>
                </w:p>
                <w:p w14:paraId="58D5F674" w14:textId="77777777" w:rsidR="00FC3430" w:rsidRDefault="00FC3430" w:rsidP="00A74117">
                  <w:pPr>
                    <w:pStyle w:val="Default"/>
                    <w:framePr w:hSpace="180" w:wrap="around" w:vAnchor="text" w:hAnchor="margin" w:y="124"/>
                    <w:spacing w:before="80" w:after="80"/>
                    <w:rPr>
                      <w:sz w:val="22"/>
                      <w:szCs w:val="22"/>
                      <w:lang w:val="en-US"/>
                    </w:rPr>
                  </w:pPr>
                  <w:r>
                    <w:rPr>
                      <w:sz w:val="22"/>
                      <w:szCs w:val="22"/>
                      <w:lang w:val="en-US"/>
                    </w:rPr>
                    <w:t>Gross biogenic methane*</w:t>
                  </w:r>
                </w:p>
              </w:tc>
              <w:tc>
                <w:tcPr>
                  <w:tcW w:w="1871" w:type="dxa"/>
                  <w:tcBorders>
                    <w:top w:val="single" w:sz="12" w:space="0" w:color="auto"/>
                    <w:left w:val="single" w:sz="4" w:space="0" w:color="auto"/>
                    <w:bottom w:val="single" w:sz="12" w:space="0" w:color="auto"/>
                    <w:right w:val="single" w:sz="4" w:space="0" w:color="auto"/>
                  </w:tcBorders>
                  <w:tcMar>
                    <w:top w:w="0" w:type="dxa"/>
                    <w:left w:w="108" w:type="dxa"/>
                    <w:bottom w:w="0" w:type="dxa"/>
                    <w:right w:w="108" w:type="dxa"/>
                  </w:tcMar>
                </w:tcPr>
                <w:p w14:paraId="235CA36C" w14:textId="77777777" w:rsidR="00FC3430" w:rsidRDefault="00FC3430" w:rsidP="00A74117">
                  <w:pPr>
                    <w:pStyle w:val="Default"/>
                    <w:framePr w:hSpace="180" w:wrap="around" w:vAnchor="text" w:hAnchor="margin" w:y="124"/>
                    <w:spacing w:before="80" w:after="80"/>
                    <w:jc w:val="center"/>
                    <w:rPr>
                      <w:sz w:val="22"/>
                      <w:szCs w:val="22"/>
                    </w:rPr>
                  </w:pPr>
                </w:p>
                <w:p w14:paraId="33F63390" w14:textId="77777777" w:rsidR="00FC3430" w:rsidRPr="00E71E3D" w:rsidRDefault="00FC3430" w:rsidP="00A74117">
                  <w:pPr>
                    <w:pStyle w:val="Default"/>
                    <w:framePr w:hSpace="180" w:wrap="around" w:vAnchor="text" w:hAnchor="margin" w:y="124"/>
                    <w:spacing w:before="80" w:after="80"/>
                    <w:jc w:val="center"/>
                    <w:rPr>
                      <w:sz w:val="22"/>
                      <w:szCs w:val="22"/>
                      <w:highlight w:val="yellow"/>
                      <w:lang w:val="en-US"/>
                    </w:rPr>
                  </w:pPr>
                  <w:r w:rsidRPr="00E71E3D">
                    <w:rPr>
                      <w:sz w:val="22"/>
                      <w:szCs w:val="22"/>
                    </w:rPr>
                    <w:t>4.9</w:t>
                  </w:r>
                  <w:r>
                    <w:rPr>
                      <w:sz w:val="22"/>
                      <w:szCs w:val="22"/>
                    </w:rPr>
                    <w:t>2</w:t>
                  </w:r>
                  <w:r w:rsidRPr="00E71E3D">
                    <w:rPr>
                      <w:sz w:val="22"/>
                      <w:szCs w:val="22"/>
                    </w:rPr>
                    <w:t xml:space="preserve"> Mt CH</w:t>
                  </w:r>
                  <w:r w:rsidRPr="00E71E3D">
                    <w:rPr>
                      <w:sz w:val="22"/>
                      <w:szCs w:val="22"/>
                      <w:vertAlign w:val="subscript"/>
                    </w:rPr>
                    <w:t>4</w:t>
                  </w:r>
                </w:p>
              </w:tc>
              <w:tc>
                <w:tcPr>
                  <w:tcW w:w="1871" w:type="dxa"/>
                  <w:tcBorders>
                    <w:top w:val="single" w:sz="12" w:space="0" w:color="auto"/>
                    <w:left w:val="single" w:sz="4" w:space="0" w:color="auto"/>
                    <w:bottom w:val="single" w:sz="12" w:space="0" w:color="auto"/>
                    <w:right w:val="single" w:sz="4" w:space="0" w:color="auto"/>
                  </w:tcBorders>
                  <w:tcMar>
                    <w:top w:w="0" w:type="dxa"/>
                    <w:left w:w="108" w:type="dxa"/>
                    <w:bottom w:w="0" w:type="dxa"/>
                    <w:right w:w="108" w:type="dxa"/>
                  </w:tcMar>
                </w:tcPr>
                <w:p w14:paraId="0724E02D" w14:textId="77777777" w:rsidR="00FC3430" w:rsidRDefault="00FC3430" w:rsidP="00A74117">
                  <w:pPr>
                    <w:pStyle w:val="Default"/>
                    <w:framePr w:hSpace="180" w:wrap="around" w:vAnchor="text" w:hAnchor="margin" w:y="124"/>
                    <w:spacing w:before="80" w:after="80"/>
                    <w:jc w:val="center"/>
                    <w:rPr>
                      <w:sz w:val="22"/>
                      <w:szCs w:val="22"/>
                    </w:rPr>
                  </w:pPr>
                </w:p>
                <w:p w14:paraId="2CB8CF0D" w14:textId="77777777" w:rsidR="00FC3430" w:rsidRPr="00E71E3D" w:rsidRDefault="00FC3430" w:rsidP="00A74117">
                  <w:pPr>
                    <w:pStyle w:val="Default"/>
                    <w:framePr w:hSpace="180" w:wrap="around" w:vAnchor="text" w:hAnchor="margin" w:y="124"/>
                    <w:spacing w:before="80" w:after="80"/>
                    <w:jc w:val="center"/>
                    <w:rPr>
                      <w:sz w:val="22"/>
                      <w:szCs w:val="22"/>
                      <w:highlight w:val="yellow"/>
                      <w:lang w:val="en-US"/>
                    </w:rPr>
                  </w:pPr>
                  <w:r w:rsidRPr="00E71E3D">
                    <w:rPr>
                      <w:sz w:val="22"/>
                      <w:szCs w:val="22"/>
                    </w:rPr>
                    <w:t>5.8</w:t>
                  </w:r>
                  <w:r>
                    <w:rPr>
                      <w:sz w:val="22"/>
                      <w:szCs w:val="22"/>
                    </w:rPr>
                    <w:t>3</w:t>
                  </w:r>
                  <w:r w:rsidRPr="00E71E3D">
                    <w:rPr>
                      <w:sz w:val="22"/>
                      <w:szCs w:val="22"/>
                    </w:rPr>
                    <w:t xml:space="preserve"> Mt CH</w:t>
                  </w:r>
                  <w:r w:rsidRPr="00E71E3D">
                    <w:rPr>
                      <w:sz w:val="22"/>
                      <w:szCs w:val="22"/>
                      <w:vertAlign w:val="subscript"/>
                    </w:rPr>
                    <w:t>4</w:t>
                  </w:r>
                </w:p>
              </w:tc>
              <w:tc>
                <w:tcPr>
                  <w:tcW w:w="1871" w:type="dxa"/>
                  <w:tcBorders>
                    <w:top w:val="single" w:sz="12" w:space="0" w:color="auto"/>
                    <w:left w:val="single" w:sz="4" w:space="0" w:color="auto"/>
                    <w:bottom w:val="single" w:sz="12" w:space="0" w:color="auto"/>
                    <w:right w:val="single" w:sz="12" w:space="0" w:color="auto"/>
                  </w:tcBorders>
                  <w:tcMar>
                    <w:top w:w="0" w:type="dxa"/>
                    <w:left w:w="108" w:type="dxa"/>
                    <w:bottom w:w="0" w:type="dxa"/>
                    <w:right w:w="108" w:type="dxa"/>
                  </w:tcMar>
                </w:tcPr>
                <w:p w14:paraId="48EC021C" w14:textId="77777777" w:rsidR="00FC3430" w:rsidRDefault="00FC3430" w:rsidP="00A74117">
                  <w:pPr>
                    <w:pStyle w:val="Default"/>
                    <w:framePr w:hSpace="180" w:wrap="around" w:vAnchor="text" w:hAnchor="margin" w:y="124"/>
                    <w:spacing w:before="80" w:after="80"/>
                    <w:jc w:val="center"/>
                    <w:rPr>
                      <w:sz w:val="22"/>
                      <w:szCs w:val="22"/>
                    </w:rPr>
                  </w:pPr>
                </w:p>
                <w:p w14:paraId="2119C497" w14:textId="77777777" w:rsidR="00FC3430" w:rsidRPr="00E71E3D" w:rsidRDefault="00FC3430" w:rsidP="00A74117">
                  <w:pPr>
                    <w:pStyle w:val="Default"/>
                    <w:framePr w:hSpace="180" w:wrap="around" w:vAnchor="text" w:hAnchor="margin" w:y="124"/>
                    <w:spacing w:before="80" w:after="80"/>
                    <w:jc w:val="center"/>
                    <w:rPr>
                      <w:sz w:val="22"/>
                      <w:szCs w:val="22"/>
                      <w:highlight w:val="yellow"/>
                      <w:lang w:val="en-US"/>
                    </w:rPr>
                  </w:pPr>
                  <w:r w:rsidRPr="00E71E3D">
                    <w:rPr>
                      <w:sz w:val="22"/>
                      <w:szCs w:val="22"/>
                    </w:rPr>
                    <w:t>5.5</w:t>
                  </w:r>
                  <w:r>
                    <w:rPr>
                      <w:sz w:val="22"/>
                      <w:szCs w:val="22"/>
                    </w:rPr>
                    <w:t>3</w:t>
                  </w:r>
                  <w:r w:rsidRPr="00E71E3D">
                    <w:rPr>
                      <w:sz w:val="22"/>
                      <w:szCs w:val="22"/>
                    </w:rPr>
                    <w:t xml:space="preserve"> Mt CH</w:t>
                  </w:r>
                  <w:r w:rsidRPr="00E71E3D">
                    <w:rPr>
                      <w:sz w:val="22"/>
                      <w:szCs w:val="22"/>
                      <w:vertAlign w:val="subscript"/>
                    </w:rPr>
                    <w:t>4</w:t>
                  </w:r>
                </w:p>
              </w:tc>
            </w:tr>
          </w:tbl>
          <w:p w14:paraId="7644604E" w14:textId="77777777" w:rsidR="00FC3430" w:rsidRPr="00EA4071" w:rsidRDefault="00FC3430" w:rsidP="00FC3430">
            <w:pPr>
              <w:pStyle w:val="Content"/>
              <w:spacing w:before="0" w:after="0"/>
              <w:rPr>
                <w:b w:val="0"/>
              </w:rPr>
            </w:pPr>
            <w:r w:rsidRPr="008C540B">
              <w:rPr>
                <w:b w:val="0"/>
              </w:rPr>
              <w:t xml:space="preserve">* Note that biogenic methane numbers are provided in </w:t>
            </w:r>
            <w:proofErr w:type="spellStart"/>
            <w:r w:rsidRPr="008C540B">
              <w:rPr>
                <w:b w:val="0"/>
              </w:rPr>
              <w:t>megatonnes</w:t>
            </w:r>
            <w:proofErr w:type="spellEnd"/>
            <w:r w:rsidRPr="008C540B">
              <w:rPr>
                <w:b w:val="0"/>
              </w:rPr>
              <w:t xml:space="preserve"> of methane (Mt CH</w:t>
            </w:r>
            <w:r w:rsidRPr="008C540B">
              <w:rPr>
                <w:b w:val="0"/>
                <w:vertAlign w:val="subscript"/>
              </w:rPr>
              <w:t>4</w:t>
            </w:r>
            <w:r w:rsidRPr="008C540B">
              <w:rPr>
                <w:b w:val="0"/>
              </w:rPr>
              <w:t xml:space="preserve">). </w:t>
            </w:r>
            <w:proofErr w:type="spellStart"/>
            <w:r w:rsidRPr="008C540B">
              <w:rPr>
                <w:b w:val="0"/>
              </w:rPr>
              <w:t>Megatonnes</w:t>
            </w:r>
            <w:proofErr w:type="spellEnd"/>
            <w:r w:rsidRPr="008C540B">
              <w:rPr>
                <w:b w:val="0"/>
              </w:rPr>
              <w:t xml:space="preserve"> of methane do not equate to </w:t>
            </w:r>
            <w:proofErr w:type="spellStart"/>
            <w:r w:rsidRPr="008C540B">
              <w:rPr>
                <w:b w:val="0"/>
              </w:rPr>
              <w:t>megatonnes</w:t>
            </w:r>
            <w:proofErr w:type="spellEnd"/>
            <w:r w:rsidRPr="008C540B">
              <w:rPr>
                <w:b w:val="0"/>
              </w:rPr>
              <w:t xml:space="preserve"> of carbon dioxide equivalent (Mt CO</w:t>
            </w:r>
            <w:r w:rsidRPr="008C540B">
              <w:rPr>
                <w:b w:val="0"/>
                <w:vertAlign w:val="subscript"/>
              </w:rPr>
              <w:t>2</w:t>
            </w:r>
            <w:r w:rsidRPr="008C540B">
              <w:rPr>
                <w:b w:val="0"/>
              </w:rPr>
              <w:t xml:space="preserve">e). As a result, the numbers in this table cannot be summed to give the total </w:t>
            </w:r>
            <w:r>
              <w:rPr>
                <w:b w:val="0"/>
              </w:rPr>
              <w:t>net emissions budget. However, the methane volume can be converted into a CO</w:t>
            </w:r>
            <w:r w:rsidRPr="009D6E20">
              <w:rPr>
                <w:b w:val="0"/>
                <w:vertAlign w:val="subscript"/>
              </w:rPr>
              <w:t>2</w:t>
            </w:r>
            <w:r>
              <w:rPr>
                <w:b w:val="0"/>
              </w:rPr>
              <w:t>e amount by multiplying by 25, the IPCC AR4 GWP</w:t>
            </w:r>
            <w:r w:rsidRPr="007D4D96">
              <w:rPr>
                <w:b w:val="0"/>
                <w:vertAlign w:val="subscript"/>
              </w:rPr>
              <w:t>100</w:t>
            </w:r>
            <w:r>
              <w:rPr>
                <w:b w:val="0"/>
              </w:rPr>
              <w:t xml:space="preserve"> value for methane.</w:t>
            </w:r>
          </w:p>
        </w:tc>
      </w:tr>
    </w:tbl>
    <w:tbl>
      <w:tblPr>
        <w:tblStyle w:val="GridTable4-Accent2"/>
        <w:tblpPr w:leftFromText="181" w:rightFromText="181" w:vertAnchor="page" w:horzAnchor="margin" w:tblpY="12531"/>
        <w:tblOverlap w:val="never"/>
        <w:tblW w:w="0" w:type="auto"/>
        <w:shd w:val="clear" w:color="auto" w:fill="C6B1D1"/>
        <w:tblCellMar>
          <w:top w:w="57" w:type="dxa"/>
          <w:bottom w:w="57" w:type="dxa"/>
        </w:tblCellMar>
        <w:tblLook w:val="04A0" w:firstRow="1" w:lastRow="0" w:firstColumn="1" w:lastColumn="0" w:noHBand="0" w:noVBand="1"/>
      </w:tblPr>
      <w:tblGrid>
        <w:gridCol w:w="9016"/>
      </w:tblGrid>
      <w:tr w:rsidR="000F0B0B" w:rsidRPr="00EA4071" w14:paraId="50D835A8" w14:textId="77777777" w:rsidTr="000F0B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9E76B3"/>
          </w:tcPr>
          <w:p w14:paraId="29DADE81" w14:textId="77777777" w:rsidR="000F0B0B" w:rsidRPr="00BA7CD8" w:rsidRDefault="000F0B0B" w:rsidP="000F0B0B">
            <w:pPr>
              <w:pStyle w:val="Content"/>
              <w:keepNext/>
              <w:spacing w:before="0" w:after="0"/>
              <w:jc w:val="center"/>
              <w:rPr>
                <w:bCs w:val="0"/>
                <w:color w:val="000000" w:themeColor="text1"/>
                <w:sz w:val="24"/>
                <w:szCs w:val="24"/>
                <w:lang w:val="en-US"/>
              </w:rPr>
            </w:pPr>
            <w:r>
              <w:rPr>
                <w:bCs w:val="0"/>
                <w:sz w:val="28"/>
                <w:szCs w:val="28"/>
              </w:rPr>
              <w:t>Consultation question 3</w:t>
            </w:r>
          </w:p>
          <w:p w14:paraId="4C96D0E1" w14:textId="77777777" w:rsidR="000F0B0B" w:rsidRPr="00EA4071" w:rsidRDefault="000F0B0B" w:rsidP="000F0B0B">
            <w:pPr>
              <w:pStyle w:val="Content"/>
              <w:keepNext/>
              <w:spacing w:before="0" w:after="0"/>
              <w:jc w:val="center"/>
              <w:rPr>
                <w:b w:val="0"/>
                <w:sz w:val="28"/>
                <w:szCs w:val="28"/>
              </w:rPr>
            </w:pPr>
            <w:r>
              <w:rPr>
                <w:b w:val="0"/>
                <w:sz w:val="28"/>
                <w:szCs w:val="28"/>
                <w:lang w:val="en-US"/>
              </w:rPr>
              <w:t>Break down of emissions budget</w:t>
            </w:r>
          </w:p>
        </w:tc>
      </w:tr>
      <w:tr w:rsidR="000F0B0B" w:rsidRPr="00EA4071" w14:paraId="437408C6" w14:textId="77777777" w:rsidTr="000F0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C6B1D1"/>
          </w:tcPr>
          <w:p w14:paraId="118F59C8" w14:textId="77777777" w:rsidR="000F0B0B" w:rsidRPr="00E5673C" w:rsidRDefault="000F0B0B" w:rsidP="000F0B0B">
            <w:pPr>
              <w:spacing w:line="276" w:lineRule="auto"/>
            </w:pPr>
            <w:r>
              <w:t>Do you support our proposed break down of emissions budgets between gross long-lived gases, biogenic methane and carbon removals from forestry</w:t>
            </w:r>
            <w:r>
              <w:rPr>
                <w:bCs w:val="0"/>
              </w:rPr>
              <w:t>? Is there anything we should change, and why</w:t>
            </w:r>
            <w:r w:rsidRPr="00E5673C">
              <w:rPr>
                <w:bCs w:val="0"/>
              </w:rPr>
              <w:t>?</w:t>
            </w:r>
          </w:p>
        </w:tc>
      </w:tr>
    </w:tbl>
    <w:p w14:paraId="0073DBA0" w14:textId="77777777" w:rsidR="000F0B0B" w:rsidRDefault="000F0B0B" w:rsidP="000C1F2E">
      <w:pPr>
        <w:pStyle w:val="Content"/>
        <w:rPr>
          <w:lang w:val="en-US"/>
        </w:rPr>
      </w:pPr>
    </w:p>
    <w:tbl>
      <w:tblPr>
        <w:tblStyle w:val="GridTable4-Accent2"/>
        <w:tblpPr w:leftFromText="180" w:rightFromText="180" w:vertAnchor="text" w:horzAnchor="margin" w:tblpY="145"/>
        <w:tblW w:w="0" w:type="auto"/>
        <w:tblCellMar>
          <w:top w:w="57" w:type="dxa"/>
          <w:bottom w:w="57" w:type="dxa"/>
        </w:tblCellMar>
        <w:tblLook w:val="04A0" w:firstRow="1" w:lastRow="0" w:firstColumn="1" w:lastColumn="0" w:noHBand="0" w:noVBand="1"/>
      </w:tblPr>
      <w:tblGrid>
        <w:gridCol w:w="9016"/>
      </w:tblGrid>
      <w:tr w:rsidR="00FC2019" w:rsidRPr="00EA4071" w14:paraId="0F8A98BC" w14:textId="77777777" w:rsidTr="00FC2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52941D3" w14:textId="77777777" w:rsidR="00FC2019" w:rsidRPr="00BA7CD8" w:rsidRDefault="00FC2019" w:rsidP="00FC2019">
            <w:pPr>
              <w:pStyle w:val="Content"/>
              <w:spacing w:before="0" w:after="0"/>
              <w:jc w:val="center"/>
              <w:rPr>
                <w:bCs w:val="0"/>
                <w:color w:val="000000" w:themeColor="text1"/>
                <w:sz w:val="24"/>
                <w:szCs w:val="24"/>
                <w:lang w:val="en-US"/>
              </w:rPr>
            </w:pPr>
            <w:r>
              <w:rPr>
                <w:bCs w:val="0"/>
                <w:sz w:val="28"/>
                <w:szCs w:val="28"/>
              </w:rPr>
              <w:lastRenderedPageBreak/>
              <w:t>Budget</w:t>
            </w:r>
            <w:r w:rsidRPr="00BA7CD8">
              <w:rPr>
                <w:bCs w:val="0"/>
                <w:sz w:val="28"/>
                <w:szCs w:val="28"/>
              </w:rPr>
              <w:t xml:space="preserve"> recommendation </w:t>
            </w:r>
            <w:r>
              <w:rPr>
                <w:bCs w:val="0"/>
                <w:sz w:val="28"/>
                <w:szCs w:val="28"/>
              </w:rPr>
              <w:t>3</w:t>
            </w:r>
          </w:p>
          <w:p w14:paraId="1ACEEDEF" w14:textId="77777777" w:rsidR="00FC2019" w:rsidRPr="00EA4071" w:rsidRDefault="00FC2019" w:rsidP="00FC2019">
            <w:pPr>
              <w:pStyle w:val="Content"/>
              <w:spacing w:before="0" w:after="0"/>
              <w:jc w:val="center"/>
              <w:rPr>
                <w:b w:val="0"/>
                <w:sz w:val="28"/>
                <w:szCs w:val="28"/>
              </w:rPr>
            </w:pPr>
            <w:r>
              <w:rPr>
                <w:b w:val="0"/>
                <w:sz w:val="28"/>
                <w:szCs w:val="28"/>
                <w:lang w:val="en-US"/>
              </w:rPr>
              <w:t>Reductions by greenhouse gas to meet the emissions budgets</w:t>
            </w:r>
            <w:r w:rsidRPr="00B01F3E" w:rsidDel="00FC64E2">
              <w:rPr>
                <w:b w:val="0"/>
                <w:sz w:val="28"/>
                <w:szCs w:val="28"/>
                <w:lang w:val="en-US"/>
              </w:rPr>
              <w:t xml:space="preserve"> </w:t>
            </w:r>
          </w:p>
        </w:tc>
      </w:tr>
      <w:tr w:rsidR="00FC2019" w:rsidRPr="00EA4071" w14:paraId="7EB8D84E" w14:textId="77777777" w:rsidTr="00FC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3120C88" w14:textId="77777777" w:rsidR="00FC2019" w:rsidRDefault="00FC2019" w:rsidP="00FC2019">
            <w:pPr>
              <w:pStyle w:val="Content"/>
              <w:spacing w:after="240"/>
              <w:rPr>
                <w:b w:val="0"/>
              </w:rPr>
            </w:pPr>
            <w:r w:rsidRPr="004953B2">
              <w:rPr>
                <w:bCs w:val="0"/>
              </w:rPr>
              <w:t>We recommend that the Government implement policies</w:t>
            </w:r>
            <w:r>
              <w:rPr>
                <w:bCs w:val="0"/>
              </w:rPr>
              <w:t xml:space="preserve"> that deliver emissions reductions of each greenhouse gas as</w:t>
            </w:r>
            <w:r w:rsidRPr="004953B2" w:rsidDel="00D6731B">
              <w:rPr>
                <w:bCs w:val="0"/>
              </w:rPr>
              <w:t xml:space="preserve"> </w:t>
            </w:r>
            <w:r w:rsidRPr="004953B2">
              <w:rPr>
                <w:bCs w:val="0"/>
              </w:rPr>
              <w:t>outlined in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00"/>
              <w:gridCol w:w="1517"/>
              <w:gridCol w:w="1518"/>
              <w:gridCol w:w="1517"/>
              <w:gridCol w:w="1518"/>
            </w:tblGrid>
            <w:tr w:rsidR="00FC2019" w14:paraId="02E9F39F" w14:textId="77777777" w:rsidTr="001B5D5F">
              <w:tc>
                <w:tcPr>
                  <w:tcW w:w="2700" w:type="dxa"/>
                  <w:tcBorders>
                    <w:top w:val="single" w:sz="12" w:space="0" w:color="auto"/>
                    <w:left w:val="single" w:sz="12" w:space="0" w:color="auto"/>
                    <w:bottom w:val="single" w:sz="12" w:space="0" w:color="auto"/>
                  </w:tcBorders>
                  <w:tcMar>
                    <w:top w:w="0" w:type="dxa"/>
                    <w:left w:w="108" w:type="dxa"/>
                    <w:bottom w:w="0" w:type="dxa"/>
                    <w:right w:w="108" w:type="dxa"/>
                  </w:tcMar>
                </w:tcPr>
                <w:p w14:paraId="7677ABFF" w14:textId="77777777" w:rsidR="00FC2019" w:rsidRDefault="00FC2019" w:rsidP="00A74117">
                  <w:pPr>
                    <w:pStyle w:val="Default"/>
                    <w:framePr w:hSpace="180" w:wrap="around" w:vAnchor="text" w:hAnchor="margin" w:y="145"/>
                    <w:spacing w:before="60" w:after="60"/>
                    <w:rPr>
                      <w:b/>
                      <w:bCs/>
                      <w:color w:val="auto"/>
                      <w:sz w:val="22"/>
                      <w:szCs w:val="22"/>
                      <w:lang w:val="en-US"/>
                    </w:rPr>
                  </w:pPr>
                </w:p>
              </w:tc>
              <w:tc>
                <w:tcPr>
                  <w:tcW w:w="1517" w:type="dxa"/>
                  <w:tcBorders>
                    <w:top w:val="single" w:sz="12" w:space="0" w:color="auto"/>
                    <w:bottom w:val="single" w:sz="12" w:space="0" w:color="auto"/>
                  </w:tcBorders>
                </w:tcPr>
                <w:p w14:paraId="680E59BC" w14:textId="77777777" w:rsidR="00FC2019" w:rsidRPr="00FA2F07" w:rsidRDefault="00FC2019" w:rsidP="00A74117">
                  <w:pPr>
                    <w:pStyle w:val="Default"/>
                    <w:framePr w:hSpace="180" w:wrap="around" w:vAnchor="text" w:hAnchor="margin" w:y="145"/>
                    <w:spacing w:before="60" w:after="60"/>
                    <w:jc w:val="center"/>
                    <w:rPr>
                      <w:b/>
                      <w:bCs/>
                      <w:color w:val="auto"/>
                      <w:sz w:val="22"/>
                      <w:szCs w:val="22"/>
                      <w:lang w:val="en-US"/>
                    </w:rPr>
                  </w:pPr>
                  <w:r w:rsidRPr="00FA2F07">
                    <w:rPr>
                      <w:b/>
                      <w:bCs/>
                      <w:sz w:val="22"/>
                      <w:szCs w:val="22"/>
                    </w:rPr>
                    <w:t>201</w:t>
                  </w:r>
                  <w:r>
                    <w:rPr>
                      <w:b/>
                      <w:bCs/>
                      <w:sz w:val="22"/>
                      <w:szCs w:val="22"/>
                    </w:rPr>
                    <w:t>8</w:t>
                  </w:r>
                </w:p>
              </w:tc>
              <w:tc>
                <w:tcPr>
                  <w:tcW w:w="1518" w:type="dxa"/>
                  <w:tcBorders>
                    <w:top w:val="single" w:sz="12" w:space="0" w:color="auto"/>
                    <w:bottom w:val="single" w:sz="12" w:space="0" w:color="auto"/>
                  </w:tcBorders>
                  <w:tcMar>
                    <w:top w:w="0" w:type="dxa"/>
                    <w:left w:w="108" w:type="dxa"/>
                    <w:bottom w:w="0" w:type="dxa"/>
                    <w:right w:w="108" w:type="dxa"/>
                  </w:tcMar>
                </w:tcPr>
                <w:p w14:paraId="09956422" w14:textId="77777777" w:rsidR="00FC2019" w:rsidRPr="00FA2F07" w:rsidRDefault="00FC2019" w:rsidP="00A74117">
                  <w:pPr>
                    <w:pStyle w:val="Default"/>
                    <w:framePr w:hSpace="180" w:wrap="around" w:vAnchor="text" w:hAnchor="margin" w:y="145"/>
                    <w:spacing w:before="60" w:after="60"/>
                    <w:jc w:val="center"/>
                    <w:rPr>
                      <w:b/>
                      <w:bCs/>
                      <w:color w:val="auto"/>
                      <w:sz w:val="22"/>
                      <w:szCs w:val="22"/>
                      <w:lang w:val="en-US"/>
                    </w:rPr>
                  </w:pPr>
                  <w:r>
                    <w:rPr>
                      <w:b/>
                      <w:bCs/>
                      <w:sz w:val="22"/>
                      <w:szCs w:val="22"/>
                      <w:lang w:val="en-US"/>
                    </w:rPr>
                    <w:t xml:space="preserve">Emission </w:t>
                  </w:r>
                  <w:r>
                    <w:rPr>
                      <w:b/>
                      <w:bCs/>
                      <w:sz w:val="22"/>
                      <w:szCs w:val="22"/>
                      <w:lang w:val="en-US"/>
                    </w:rPr>
                    <w:br/>
                    <w:t>budget 1</w:t>
                  </w:r>
                  <w:r>
                    <w:rPr>
                      <w:b/>
                      <w:bCs/>
                      <w:sz w:val="22"/>
                      <w:szCs w:val="22"/>
                      <w:lang w:val="en-US"/>
                    </w:rPr>
                    <w:br/>
                    <w:t>(2022 – 2025)</w:t>
                  </w:r>
                </w:p>
              </w:tc>
              <w:tc>
                <w:tcPr>
                  <w:tcW w:w="1517" w:type="dxa"/>
                  <w:tcBorders>
                    <w:top w:val="single" w:sz="12" w:space="0" w:color="auto"/>
                    <w:bottom w:val="single" w:sz="12" w:space="0" w:color="auto"/>
                  </w:tcBorders>
                  <w:tcMar>
                    <w:top w:w="0" w:type="dxa"/>
                    <w:left w:w="108" w:type="dxa"/>
                    <w:bottom w:w="0" w:type="dxa"/>
                    <w:right w:w="108" w:type="dxa"/>
                  </w:tcMar>
                </w:tcPr>
                <w:p w14:paraId="432F0FDE" w14:textId="77777777" w:rsidR="00FC2019" w:rsidRPr="00FA2F07" w:rsidRDefault="00FC2019" w:rsidP="00A74117">
                  <w:pPr>
                    <w:pStyle w:val="Default"/>
                    <w:framePr w:hSpace="180" w:wrap="around" w:vAnchor="text" w:hAnchor="margin" w:y="145"/>
                    <w:spacing w:before="60" w:after="60"/>
                    <w:jc w:val="center"/>
                    <w:rPr>
                      <w:b/>
                      <w:bCs/>
                      <w:sz w:val="22"/>
                      <w:szCs w:val="22"/>
                      <w:lang w:val="en-US"/>
                    </w:rPr>
                  </w:pPr>
                  <w:r>
                    <w:rPr>
                      <w:b/>
                      <w:bCs/>
                      <w:sz w:val="22"/>
                      <w:szCs w:val="22"/>
                      <w:lang w:val="en-US"/>
                    </w:rPr>
                    <w:t xml:space="preserve">Emission </w:t>
                  </w:r>
                  <w:r>
                    <w:rPr>
                      <w:b/>
                      <w:bCs/>
                      <w:sz w:val="22"/>
                      <w:szCs w:val="22"/>
                      <w:lang w:val="en-US"/>
                    </w:rPr>
                    <w:br/>
                    <w:t>budget 2</w:t>
                  </w:r>
                  <w:r>
                    <w:rPr>
                      <w:b/>
                      <w:bCs/>
                      <w:sz w:val="22"/>
                      <w:szCs w:val="22"/>
                      <w:lang w:val="en-US"/>
                    </w:rPr>
                    <w:br/>
                    <w:t>(2026 – 2030)</w:t>
                  </w:r>
                </w:p>
              </w:tc>
              <w:tc>
                <w:tcPr>
                  <w:tcW w:w="1518" w:type="dxa"/>
                  <w:tcBorders>
                    <w:top w:val="single" w:sz="12" w:space="0" w:color="auto"/>
                    <w:bottom w:val="single" w:sz="12" w:space="0" w:color="auto"/>
                    <w:right w:val="single" w:sz="12" w:space="0" w:color="auto"/>
                  </w:tcBorders>
                  <w:tcMar>
                    <w:top w:w="0" w:type="dxa"/>
                    <w:left w:w="108" w:type="dxa"/>
                    <w:bottom w:w="0" w:type="dxa"/>
                    <w:right w:w="108" w:type="dxa"/>
                  </w:tcMar>
                </w:tcPr>
                <w:p w14:paraId="7F80953B" w14:textId="77777777" w:rsidR="00FC2019" w:rsidRPr="00FA2F07" w:rsidRDefault="00FC2019" w:rsidP="00A74117">
                  <w:pPr>
                    <w:pStyle w:val="Default"/>
                    <w:framePr w:hSpace="180" w:wrap="around" w:vAnchor="text" w:hAnchor="margin" w:y="145"/>
                    <w:spacing w:before="60" w:after="60"/>
                    <w:jc w:val="center"/>
                    <w:rPr>
                      <w:b/>
                      <w:bCs/>
                      <w:sz w:val="22"/>
                      <w:szCs w:val="22"/>
                      <w:lang w:val="en-US"/>
                    </w:rPr>
                  </w:pPr>
                  <w:r>
                    <w:rPr>
                      <w:b/>
                      <w:bCs/>
                      <w:sz w:val="22"/>
                      <w:szCs w:val="22"/>
                      <w:lang w:val="en-US"/>
                    </w:rPr>
                    <w:t xml:space="preserve">Emission </w:t>
                  </w:r>
                  <w:r>
                    <w:rPr>
                      <w:b/>
                      <w:bCs/>
                      <w:sz w:val="22"/>
                      <w:szCs w:val="22"/>
                      <w:lang w:val="en-US"/>
                    </w:rPr>
                    <w:br/>
                    <w:t>budget 3</w:t>
                  </w:r>
                  <w:r>
                    <w:rPr>
                      <w:b/>
                      <w:bCs/>
                      <w:sz w:val="22"/>
                      <w:szCs w:val="22"/>
                      <w:lang w:val="en-US"/>
                    </w:rPr>
                    <w:br/>
                    <w:t>(2031 – 2035)</w:t>
                  </w:r>
                </w:p>
              </w:tc>
            </w:tr>
            <w:tr w:rsidR="00FC2019" w14:paraId="3A6929C6" w14:textId="77777777" w:rsidTr="001B5D5F">
              <w:tc>
                <w:tcPr>
                  <w:tcW w:w="2700" w:type="dxa"/>
                  <w:tcBorders>
                    <w:top w:val="single" w:sz="12" w:space="0" w:color="auto"/>
                    <w:left w:val="single" w:sz="12" w:space="0" w:color="auto"/>
                  </w:tcBorders>
                  <w:tcMar>
                    <w:top w:w="0" w:type="dxa"/>
                    <w:left w:w="108" w:type="dxa"/>
                    <w:bottom w:w="0" w:type="dxa"/>
                    <w:right w:w="108" w:type="dxa"/>
                  </w:tcMar>
                </w:tcPr>
                <w:p w14:paraId="6433BF8D" w14:textId="77777777" w:rsidR="00FC2019" w:rsidRDefault="00FC2019" w:rsidP="00A74117">
                  <w:pPr>
                    <w:pStyle w:val="Default"/>
                    <w:framePr w:hSpace="180" w:wrap="around" w:vAnchor="text" w:hAnchor="margin" w:y="145"/>
                    <w:spacing w:before="60" w:after="60"/>
                    <w:rPr>
                      <w:b/>
                      <w:bCs/>
                      <w:color w:val="auto"/>
                      <w:sz w:val="22"/>
                      <w:szCs w:val="22"/>
                      <w:lang w:val="en-US"/>
                    </w:rPr>
                  </w:pPr>
                  <w:r>
                    <w:rPr>
                      <w:b/>
                      <w:bCs/>
                      <w:color w:val="auto"/>
                      <w:sz w:val="22"/>
                      <w:szCs w:val="22"/>
                      <w:lang w:val="en-US"/>
                    </w:rPr>
                    <w:t>Total net emissions</w:t>
                  </w:r>
                </w:p>
                <w:p w14:paraId="3048652F" w14:textId="77777777" w:rsidR="00FC2019" w:rsidRPr="003824D9" w:rsidRDefault="00FC2019" w:rsidP="00A74117">
                  <w:pPr>
                    <w:pStyle w:val="Default"/>
                    <w:framePr w:hSpace="180" w:wrap="around" w:vAnchor="text" w:hAnchor="margin" w:y="145"/>
                    <w:spacing w:before="60" w:after="60"/>
                    <w:ind w:firstLine="336"/>
                    <w:rPr>
                      <w:color w:val="auto"/>
                      <w:sz w:val="22"/>
                      <w:szCs w:val="22"/>
                      <w:lang w:val="en-US"/>
                    </w:rPr>
                  </w:pPr>
                  <w:r w:rsidRPr="003824D9">
                    <w:rPr>
                      <w:color w:val="auto"/>
                      <w:sz w:val="22"/>
                      <w:szCs w:val="22"/>
                      <w:lang w:val="en-US"/>
                    </w:rPr>
                    <w:t>Annual average</w:t>
                  </w:r>
                </w:p>
                <w:p w14:paraId="645E8833" w14:textId="77777777" w:rsidR="00FC2019" w:rsidRPr="00FA2F07" w:rsidRDefault="00FC2019" w:rsidP="00A74117">
                  <w:pPr>
                    <w:pStyle w:val="Default"/>
                    <w:framePr w:hSpace="180" w:wrap="around" w:vAnchor="text" w:hAnchor="margin" w:y="145"/>
                    <w:spacing w:before="60" w:after="60"/>
                    <w:ind w:firstLine="336"/>
                    <w:rPr>
                      <w:b/>
                      <w:bCs/>
                      <w:color w:val="auto"/>
                      <w:sz w:val="22"/>
                      <w:szCs w:val="22"/>
                      <w:lang w:val="en-US"/>
                    </w:rPr>
                  </w:pPr>
                  <w:r w:rsidRPr="003824D9">
                    <w:rPr>
                      <w:color w:val="auto"/>
                      <w:sz w:val="22"/>
                      <w:szCs w:val="22"/>
                      <w:lang w:val="en-US"/>
                    </w:rPr>
                    <w:t>Reduction from 2018</w:t>
                  </w:r>
                </w:p>
              </w:tc>
              <w:tc>
                <w:tcPr>
                  <w:tcW w:w="1517" w:type="dxa"/>
                  <w:tcBorders>
                    <w:top w:val="single" w:sz="12" w:space="0" w:color="auto"/>
                  </w:tcBorders>
                </w:tcPr>
                <w:p w14:paraId="199BFB59" w14:textId="77777777" w:rsidR="00FC2019" w:rsidRPr="00CA7E54" w:rsidRDefault="00FC2019" w:rsidP="00A74117">
                  <w:pPr>
                    <w:pStyle w:val="Default"/>
                    <w:framePr w:hSpace="180" w:wrap="around" w:vAnchor="text" w:hAnchor="margin" w:y="145"/>
                    <w:spacing w:before="60" w:after="60" w:line="252" w:lineRule="auto"/>
                    <w:jc w:val="center"/>
                    <w:rPr>
                      <w:color w:val="auto"/>
                      <w:sz w:val="22"/>
                      <w:szCs w:val="22"/>
                    </w:rPr>
                  </w:pPr>
                </w:p>
                <w:p w14:paraId="1006519D" w14:textId="77777777" w:rsidR="00FC2019" w:rsidRPr="00CA7E54" w:rsidRDefault="00FC2019" w:rsidP="00A74117">
                  <w:pPr>
                    <w:pStyle w:val="Default"/>
                    <w:framePr w:hSpace="180" w:wrap="around" w:vAnchor="text" w:hAnchor="margin" w:y="145"/>
                    <w:spacing w:before="60" w:after="60"/>
                    <w:jc w:val="center"/>
                    <w:rPr>
                      <w:color w:val="auto"/>
                      <w:sz w:val="22"/>
                      <w:szCs w:val="22"/>
                    </w:rPr>
                  </w:pPr>
                  <w:r w:rsidRPr="00CA7E54">
                    <w:rPr>
                      <w:color w:val="auto"/>
                      <w:sz w:val="22"/>
                      <w:szCs w:val="22"/>
                    </w:rPr>
                    <w:t>69.2 Mt CO</w:t>
                  </w:r>
                  <w:r w:rsidRPr="00CA7E54">
                    <w:rPr>
                      <w:color w:val="auto"/>
                      <w:sz w:val="22"/>
                      <w:szCs w:val="22"/>
                      <w:vertAlign w:val="subscript"/>
                    </w:rPr>
                    <w:t>2</w:t>
                  </w:r>
                  <w:r w:rsidRPr="00CA7E54">
                    <w:rPr>
                      <w:color w:val="auto"/>
                      <w:sz w:val="22"/>
                      <w:szCs w:val="22"/>
                    </w:rPr>
                    <w:t>e</w:t>
                  </w:r>
                </w:p>
              </w:tc>
              <w:tc>
                <w:tcPr>
                  <w:tcW w:w="1518" w:type="dxa"/>
                  <w:tcBorders>
                    <w:top w:val="single" w:sz="12" w:space="0" w:color="auto"/>
                  </w:tcBorders>
                  <w:tcMar>
                    <w:top w:w="0" w:type="dxa"/>
                    <w:left w:w="108" w:type="dxa"/>
                    <w:bottom w:w="0" w:type="dxa"/>
                    <w:right w:w="108" w:type="dxa"/>
                  </w:tcMar>
                </w:tcPr>
                <w:p w14:paraId="5D75A410" w14:textId="77777777" w:rsidR="00FC2019" w:rsidRPr="00CA7E54" w:rsidRDefault="00FC2019" w:rsidP="00A74117">
                  <w:pPr>
                    <w:pStyle w:val="Default"/>
                    <w:framePr w:hSpace="180" w:wrap="around" w:vAnchor="text" w:hAnchor="margin" w:y="145"/>
                    <w:spacing w:before="60" w:after="60" w:line="252" w:lineRule="auto"/>
                    <w:jc w:val="center"/>
                    <w:rPr>
                      <w:color w:val="auto"/>
                      <w:sz w:val="22"/>
                      <w:szCs w:val="22"/>
                    </w:rPr>
                  </w:pPr>
                </w:p>
                <w:p w14:paraId="0523E437" w14:textId="7DBBF25E" w:rsidR="00FC2019" w:rsidRPr="00CA7E54" w:rsidRDefault="00FC2019" w:rsidP="00A74117">
                  <w:pPr>
                    <w:pStyle w:val="Default"/>
                    <w:framePr w:hSpace="180" w:wrap="around" w:vAnchor="text" w:hAnchor="margin" w:y="145"/>
                    <w:spacing w:before="60" w:after="60" w:line="252" w:lineRule="auto"/>
                    <w:jc w:val="center"/>
                    <w:rPr>
                      <w:color w:val="auto"/>
                      <w:sz w:val="22"/>
                      <w:szCs w:val="22"/>
                    </w:rPr>
                  </w:pPr>
                  <w:r w:rsidRPr="00CA7E54">
                    <w:rPr>
                      <w:color w:val="auto"/>
                      <w:sz w:val="22"/>
                      <w:szCs w:val="22"/>
                    </w:rPr>
                    <w:t>6</w:t>
                  </w:r>
                  <w:r w:rsidR="00FB4015">
                    <w:rPr>
                      <w:color w:val="auto"/>
                      <w:sz w:val="22"/>
                      <w:szCs w:val="22"/>
                    </w:rPr>
                    <w:t>7</w:t>
                  </w:r>
                  <w:r w:rsidRPr="00CA7E54">
                    <w:rPr>
                      <w:color w:val="auto"/>
                      <w:sz w:val="22"/>
                      <w:szCs w:val="22"/>
                    </w:rPr>
                    <w:t>.</w:t>
                  </w:r>
                  <w:r w:rsidR="00FB4015">
                    <w:rPr>
                      <w:color w:val="auto"/>
                      <w:sz w:val="22"/>
                      <w:szCs w:val="22"/>
                    </w:rPr>
                    <w:t>7</w:t>
                  </w:r>
                  <w:r w:rsidRPr="00CA7E54">
                    <w:rPr>
                      <w:color w:val="auto"/>
                      <w:sz w:val="22"/>
                      <w:szCs w:val="22"/>
                    </w:rPr>
                    <w:t xml:space="preserve"> Mt CO</w:t>
                  </w:r>
                  <w:r w:rsidRPr="00CA7E54">
                    <w:rPr>
                      <w:color w:val="auto"/>
                      <w:sz w:val="22"/>
                      <w:szCs w:val="22"/>
                      <w:vertAlign w:val="subscript"/>
                    </w:rPr>
                    <w:t>2</w:t>
                  </w:r>
                  <w:r w:rsidRPr="00CA7E54">
                    <w:rPr>
                      <w:color w:val="auto"/>
                      <w:sz w:val="22"/>
                      <w:szCs w:val="22"/>
                    </w:rPr>
                    <w:t>e</w:t>
                  </w:r>
                </w:p>
                <w:p w14:paraId="4CF6C2C2" w14:textId="3F9978AF" w:rsidR="00FC2019" w:rsidRPr="00CA7E54" w:rsidRDefault="000A2C14" w:rsidP="00A74117">
                  <w:pPr>
                    <w:pStyle w:val="Default"/>
                    <w:framePr w:hSpace="180" w:wrap="around" w:vAnchor="text" w:hAnchor="margin" w:y="145"/>
                    <w:spacing w:before="60" w:after="60"/>
                    <w:jc w:val="center"/>
                    <w:rPr>
                      <w:color w:val="auto"/>
                      <w:sz w:val="22"/>
                      <w:szCs w:val="22"/>
                    </w:rPr>
                  </w:pPr>
                  <w:r>
                    <w:rPr>
                      <w:color w:val="auto"/>
                      <w:sz w:val="22"/>
                      <w:szCs w:val="22"/>
                    </w:rPr>
                    <w:t>1</w:t>
                  </w:r>
                  <w:r w:rsidR="00FC2019" w:rsidRPr="00CA7E54">
                    <w:rPr>
                      <w:color w:val="auto"/>
                      <w:sz w:val="22"/>
                      <w:szCs w:val="22"/>
                    </w:rPr>
                    <w:t>.</w:t>
                  </w:r>
                  <w:r>
                    <w:rPr>
                      <w:color w:val="auto"/>
                      <w:sz w:val="22"/>
                      <w:szCs w:val="22"/>
                    </w:rPr>
                    <w:t>5</w:t>
                  </w:r>
                  <w:r w:rsidR="00FC2019" w:rsidRPr="00CA7E54">
                    <w:rPr>
                      <w:color w:val="auto"/>
                      <w:sz w:val="22"/>
                      <w:szCs w:val="22"/>
                    </w:rPr>
                    <w:t xml:space="preserve"> Mt CO</w:t>
                  </w:r>
                  <w:r w:rsidR="00FC2019" w:rsidRPr="00CA7E54">
                    <w:rPr>
                      <w:color w:val="auto"/>
                      <w:sz w:val="22"/>
                      <w:szCs w:val="22"/>
                      <w:vertAlign w:val="subscript"/>
                    </w:rPr>
                    <w:t>2</w:t>
                  </w:r>
                  <w:r w:rsidR="00FC2019" w:rsidRPr="00CA7E54">
                    <w:rPr>
                      <w:color w:val="auto"/>
                      <w:sz w:val="22"/>
                      <w:szCs w:val="22"/>
                    </w:rPr>
                    <w:t>e (</w:t>
                  </w:r>
                  <w:r>
                    <w:rPr>
                      <w:color w:val="auto"/>
                      <w:sz w:val="22"/>
                      <w:szCs w:val="22"/>
                    </w:rPr>
                    <w:t>2</w:t>
                  </w:r>
                  <w:r w:rsidR="00FC2019" w:rsidRPr="00CA7E54">
                    <w:rPr>
                      <w:color w:val="auto"/>
                      <w:sz w:val="22"/>
                      <w:szCs w:val="22"/>
                    </w:rPr>
                    <w:t>.1%)</w:t>
                  </w:r>
                </w:p>
              </w:tc>
              <w:tc>
                <w:tcPr>
                  <w:tcW w:w="1517" w:type="dxa"/>
                  <w:tcBorders>
                    <w:top w:val="single" w:sz="12" w:space="0" w:color="auto"/>
                  </w:tcBorders>
                  <w:tcMar>
                    <w:top w:w="0" w:type="dxa"/>
                    <w:left w:w="108" w:type="dxa"/>
                    <w:bottom w:w="0" w:type="dxa"/>
                    <w:right w:w="108" w:type="dxa"/>
                  </w:tcMar>
                </w:tcPr>
                <w:p w14:paraId="319A6FD5" w14:textId="77777777" w:rsidR="00FC2019" w:rsidRPr="00CA7E54" w:rsidRDefault="00FC2019" w:rsidP="00A74117">
                  <w:pPr>
                    <w:pStyle w:val="Default"/>
                    <w:framePr w:hSpace="180" w:wrap="around" w:vAnchor="text" w:hAnchor="margin" w:y="145"/>
                    <w:spacing w:before="60" w:after="60" w:line="252" w:lineRule="auto"/>
                    <w:jc w:val="center"/>
                    <w:rPr>
                      <w:color w:val="auto"/>
                      <w:sz w:val="22"/>
                      <w:szCs w:val="22"/>
                    </w:rPr>
                  </w:pPr>
                </w:p>
                <w:p w14:paraId="0CC112AD" w14:textId="7EB8348E" w:rsidR="00FC2019" w:rsidRPr="00CA7E54" w:rsidRDefault="00FC2019" w:rsidP="00A74117">
                  <w:pPr>
                    <w:pStyle w:val="Default"/>
                    <w:framePr w:hSpace="180" w:wrap="around" w:vAnchor="text" w:hAnchor="margin" w:y="145"/>
                    <w:spacing w:before="60" w:after="60" w:line="252" w:lineRule="auto"/>
                    <w:jc w:val="center"/>
                    <w:rPr>
                      <w:color w:val="auto"/>
                      <w:sz w:val="22"/>
                      <w:szCs w:val="22"/>
                    </w:rPr>
                  </w:pPr>
                  <w:r w:rsidRPr="00CA7E54">
                    <w:rPr>
                      <w:color w:val="auto"/>
                      <w:sz w:val="22"/>
                      <w:szCs w:val="22"/>
                    </w:rPr>
                    <w:t>5</w:t>
                  </w:r>
                  <w:r w:rsidR="000A2C14">
                    <w:rPr>
                      <w:color w:val="auto"/>
                      <w:sz w:val="22"/>
                      <w:szCs w:val="22"/>
                    </w:rPr>
                    <w:t>7</w:t>
                  </w:r>
                  <w:r w:rsidRPr="00CA7E54">
                    <w:rPr>
                      <w:color w:val="auto"/>
                      <w:sz w:val="22"/>
                      <w:szCs w:val="22"/>
                    </w:rPr>
                    <w:t>.</w:t>
                  </w:r>
                  <w:r w:rsidR="000A2C14">
                    <w:rPr>
                      <w:color w:val="auto"/>
                      <w:sz w:val="22"/>
                      <w:szCs w:val="22"/>
                    </w:rPr>
                    <w:t>3</w:t>
                  </w:r>
                  <w:r w:rsidRPr="00CA7E54">
                    <w:rPr>
                      <w:color w:val="auto"/>
                      <w:sz w:val="22"/>
                      <w:szCs w:val="22"/>
                    </w:rPr>
                    <w:t xml:space="preserve"> Mt CO</w:t>
                  </w:r>
                  <w:r w:rsidRPr="00CA7E54">
                    <w:rPr>
                      <w:color w:val="auto"/>
                      <w:sz w:val="22"/>
                      <w:szCs w:val="22"/>
                      <w:vertAlign w:val="subscript"/>
                    </w:rPr>
                    <w:t>2</w:t>
                  </w:r>
                  <w:r w:rsidRPr="00CA7E54">
                    <w:rPr>
                      <w:color w:val="auto"/>
                      <w:sz w:val="22"/>
                      <w:szCs w:val="22"/>
                    </w:rPr>
                    <w:t>e</w:t>
                  </w:r>
                </w:p>
                <w:p w14:paraId="65F63795" w14:textId="33122B9B" w:rsidR="00FC2019" w:rsidRPr="00CA7E54" w:rsidRDefault="00FC2019" w:rsidP="00A74117">
                  <w:pPr>
                    <w:pStyle w:val="Default"/>
                    <w:framePr w:hSpace="180" w:wrap="around" w:vAnchor="text" w:hAnchor="margin" w:y="145"/>
                    <w:spacing w:before="60" w:after="60"/>
                    <w:jc w:val="center"/>
                    <w:rPr>
                      <w:color w:val="auto"/>
                      <w:sz w:val="22"/>
                      <w:szCs w:val="22"/>
                    </w:rPr>
                  </w:pPr>
                  <w:r w:rsidRPr="00CA7E54">
                    <w:rPr>
                      <w:color w:val="auto"/>
                      <w:sz w:val="22"/>
                      <w:szCs w:val="22"/>
                    </w:rPr>
                    <w:t>11.</w:t>
                  </w:r>
                  <w:r w:rsidR="000A2C14">
                    <w:rPr>
                      <w:color w:val="auto"/>
                      <w:sz w:val="22"/>
                      <w:szCs w:val="22"/>
                    </w:rPr>
                    <w:t>9</w:t>
                  </w:r>
                  <w:r w:rsidRPr="00CA7E54">
                    <w:rPr>
                      <w:color w:val="auto"/>
                      <w:sz w:val="22"/>
                      <w:szCs w:val="22"/>
                    </w:rPr>
                    <w:t xml:space="preserve"> Mt CO</w:t>
                  </w:r>
                  <w:r w:rsidRPr="00CA7E54">
                    <w:rPr>
                      <w:color w:val="auto"/>
                      <w:sz w:val="22"/>
                      <w:szCs w:val="22"/>
                      <w:vertAlign w:val="subscript"/>
                    </w:rPr>
                    <w:t>2</w:t>
                  </w:r>
                  <w:r w:rsidRPr="00CA7E54">
                    <w:rPr>
                      <w:color w:val="auto"/>
                      <w:sz w:val="22"/>
                      <w:szCs w:val="22"/>
                    </w:rPr>
                    <w:t xml:space="preserve">e </w:t>
                  </w:r>
                  <w:r w:rsidRPr="00CA7E54">
                    <w:rPr>
                      <w:color w:val="auto"/>
                      <w:sz w:val="22"/>
                      <w:szCs w:val="22"/>
                      <w:lang w:val="en-US"/>
                    </w:rPr>
                    <w:t>(1</w:t>
                  </w:r>
                  <w:r w:rsidR="00373B73">
                    <w:rPr>
                      <w:color w:val="auto"/>
                      <w:sz w:val="22"/>
                      <w:szCs w:val="22"/>
                      <w:lang w:val="en-US"/>
                    </w:rPr>
                    <w:t>7</w:t>
                  </w:r>
                  <w:r w:rsidRPr="00CA7E54">
                    <w:rPr>
                      <w:color w:val="auto"/>
                      <w:sz w:val="22"/>
                      <w:szCs w:val="22"/>
                      <w:lang w:val="en-US"/>
                    </w:rPr>
                    <w:t>.</w:t>
                  </w:r>
                  <w:r w:rsidR="00373B73">
                    <w:rPr>
                      <w:color w:val="auto"/>
                      <w:sz w:val="22"/>
                      <w:szCs w:val="22"/>
                      <w:lang w:val="en-US"/>
                    </w:rPr>
                    <w:t>2</w:t>
                  </w:r>
                  <w:r w:rsidRPr="00CA7E54">
                    <w:rPr>
                      <w:color w:val="auto"/>
                      <w:sz w:val="22"/>
                      <w:szCs w:val="22"/>
                      <w:lang w:val="en-US"/>
                    </w:rPr>
                    <w:t>%)</w:t>
                  </w:r>
                </w:p>
              </w:tc>
              <w:tc>
                <w:tcPr>
                  <w:tcW w:w="1518" w:type="dxa"/>
                  <w:tcBorders>
                    <w:top w:val="single" w:sz="12" w:space="0" w:color="auto"/>
                    <w:right w:val="single" w:sz="12" w:space="0" w:color="auto"/>
                  </w:tcBorders>
                  <w:tcMar>
                    <w:top w:w="0" w:type="dxa"/>
                    <w:left w:w="108" w:type="dxa"/>
                    <w:bottom w:w="0" w:type="dxa"/>
                    <w:right w:w="108" w:type="dxa"/>
                  </w:tcMar>
                </w:tcPr>
                <w:p w14:paraId="31BF4CEF" w14:textId="77777777" w:rsidR="00FC2019" w:rsidRPr="00CA7E54" w:rsidRDefault="00FC2019" w:rsidP="00A74117">
                  <w:pPr>
                    <w:pStyle w:val="Default"/>
                    <w:framePr w:hSpace="180" w:wrap="around" w:vAnchor="text" w:hAnchor="margin" w:y="145"/>
                    <w:spacing w:before="60" w:after="60" w:line="252" w:lineRule="auto"/>
                    <w:jc w:val="center"/>
                    <w:rPr>
                      <w:color w:val="auto"/>
                      <w:sz w:val="22"/>
                      <w:szCs w:val="22"/>
                    </w:rPr>
                  </w:pPr>
                </w:p>
                <w:p w14:paraId="12F745B1" w14:textId="6CA125A0" w:rsidR="00FC2019" w:rsidRPr="00CA7E54" w:rsidRDefault="00FC2019" w:rsidP="00A74117">
                  <w:pPr>
                    <w:pStyle w:val="Default"/>
                    <w:framePr w:hSpace="180" w:wrap="around" w:vAnchor="text" w:hAnchor="margin" w:y="145"/>
                    <w:spacing w:before="60" w:after="60" w:line="252" w:lineRule="auto"/>
                    <w:jc w:val="center"/>
                    <w:rPr>
                      <w:color w:val="auto"/>
                      <w:sz w:val="22"/>
                      <w:szCs w:val="22"/>
                    </w:rPr>
                  </w:pPr>
                  <w:r w:rsidRPr="00CA7E54">
                    <w:rPr>
                      <w:color w:val="auto"/>
                      <w:sz w:val="22"/>
                      <w:szCs w:val="22"/>
                    </w:rPr>
                    <w:t>4</w:t>
                  </w:r>
                  <w:r w:rsidR="00373B73">
                    <w:rPr>
                      <w:color w:val="auto"/>
                      <w:sz w:val="22"/>
                      <w:szCs w:val="22"/>
                    </w:rPr>
                    <w:t>4</w:t>
                  </w:r>
                  <w:r w:rsidRPr="00CA7E54">
                    <w:rPr>
                      <w:color w:val="auto"/>
                      <w:sz w:val="22"/>
                      <w:szCs w:val="22"/>
                    </w:rPr>
                    <w:t>.</w:t>
                  </w:r>
                  <w:r w:rsidR="00373B73">
                    <w:rPr>
                      <w:color w:val="auto"/>
                      <w:sz w:val="22"/>
                      <w:szCs w:val="22"/>
                    </w:rPr>
                    <w:t>6</w:t>
                  </w:r>
                  <w:r w:rsidRPr="00CA7E54">
                    <w:rPr>
                      <w:color w:val="auto"/>
                      <w:sz w:val="22"/>
                      <w:szCs w:val="22"/>
                    </w:rPr>
                    <w:t xml:space="preserve"> Mt CO</w:t>
                  </w:r>
                  <w:r w:rsidRPr="00CA7E54">
                    <w:rPr>
                      <w:color w:val="auto"/>
                      <w:sz w:val="22"/>
                      <w:szCs w:val="22"/>
                      <w:vertAlign w:val="subscript"/>
                    </w:rPr>
                    <w:t>2</w:t>
                  </w:r>
                  <w:r w:rsidRPr="00CA7E54">
                    <w:rPr>
                      <w:color w:val="auto"/>
                      <w:sz w:val="22"/>
                      <w:szCs w:val="22"/>
                    </w:rPr>
                    <w:t>e</w:t>
                  </w:r>
                </w:p>
                <w:p w14:paraId="33395B1D" w14:textId="76B1BEBB" w:rsidR="00FC2019" w:rsidRPr="00CA7E54" w:rsidRDefault="00FC2019" w:rsidP="00A74117">
                  <w:pPr>
                    <w:pStyle w:val="Default"/>
                    <w:framePr w:hSpace="180" w:wrap="around" w:vAnchor="text" w:hAnchor="margin" w:y="145"/>
                    <w:spacing w:before="60" w:after="60"/>
                    <w:jc w:val="center"/>
                    <w:rPr>
                      <w:color w:val="auto"/>
                      <w:sz w:val="22"/>
                      <w:szCs w:val="22"/>
                    </w:rPr>
                  </w:pPr>
                  <w:r w:rsidRPr="00CA7E54">
                    <w:rPr>
                      <w:color w:val="auto"/>
                      <w:sz w:val="22"/>
                      <w:szCs w:val="22"/>
                    </w:rPr>
                    <w:t>2</w:t>
                  </w:r>
                  <w:r w:rsidR="00255880">
                    <w:rPr>
                      <w:color w:val="auto"/>
                      <w:sz w:val="22"/>
                      <w:szCs w:val="22"/>
                    </w:rPr>
                    <w:t>4</w:t>
                  </w:r>
                  <w:r w:rsidRPr="00CA7E54">
                    <w:rPr>
                      <w:color w:val="auto"/>
                      <w:sz w:val="22"/>
                      <w:szCs w:val="22"/>
                    </w:rPr>
                    <w:t>.</w:t>
                  </w:r>
                  <w:r w:rsidR="00255880">
                    <w:rPr>
                      <w:color w:val="auto"/>
                      <w:sz w:val="22"/>
                      <w:szCs w:val="22"/>
                    </w:rPr>
                    <w:t>6</w:t>
                  </w:r>
                  <w:r w:rsidRPr="00CA7E54">
                    <w:rPr>
                      <w:color w:val="auto"/>
                      <w:sz w:val="22"/>
                      <w:szCs w:val="22"/>
                    </w:rPr>
                    <w:t xml:space="preserve"> Mt CO</w:t>
                  </w:r>
                  <w:r w:rsidRPr="00CA7E54">
                    <w:rPr>
                      <w:color w:val="auto"/>
                      <w:sz w:val="22"/>
                      <w:szCs w:val="22"/>
                      <w:vertAlign w:val="subscript"/>
                    </w:rPr>
                    <w:t>2</w:t>
                  </w:r>
                  <w:r w:rsidRPr="00CA7E54">
                    <w:rPr>
                      <w:color w:val="auto"/>
                      <w:sz w:val="22"/>
                      <w:szCs w:val="22"/>
                    </w:rPr>
                    <w:t xml:space="preserve">e </w:t>
                  </w:r>
                  <w:r w:rsidRPr="00CA7E54">
                    <w:rPr>
                      <w:color w:val="auto"/>
                      <w:sz w:val="22"/>
                      <w:szCs w:val="22"/>
                      <w:lang w:val="en-US"/>
                    </w:rPr>
                    <w:t>(</w:t>
                  </w:r>
                  <w:r>
                    <w:rPr>
                      <w:color w:val="auto"/>
                      <w:sz w:val="22"/>
                      <w:szCs w:val="22"/>
                      <w:lang w:val="en-US"/>
                    </w:rPr>
                    <w:t>3</w:t>
                  </w:r>
                  <w:r w:rsidR="00255880">
                    <w:rPr>
                      <w:color w:val="auto"/>
                      <w:sz w:val="22"/>
                      <w:szCs w:val="22"/>
                      <w:lang w:val="en-US"/>
                    </w:rPr>
                    <w:t>5</w:t>
                  </w:r>
                  <w:r>
                    <w:rPr>
                      <w:color w:val="auto"/>
                      <w:sz w:val="22"/>
                      <w:szCs w:val="22"/>
                      <w:lang w:val="en-US"/>
                    </w:rPr>
                    <w:t>.</w:t>
                  </w:r>
                  <w:r w:rsidR="00255880">
                    <w:rPr>
                      <w:color w:val="auto"/>
                      <w:sz w:val="22"/>
                      <w:szCs w:val="22"/>
                      <w:lang w:val="en-US"/>
                    </w:rPr>
                    <w:t>5</w:t>
                  </w:r>
                  <w:r w:rsidRPr="00CA7E54">
                    <w:rPr>
                      <w:color w:val="auto"/>
                      <w:sz w:val="22"/>
                      <w:szCs w:val="22"/>
                      <w:lang w:val="en-US"/>
                    </w:rPr>
                    <w:t>%)</w:t>
                  </w:r>
                </w:p>
              </w:tc>
            </w:tr>
            <w:tr w:rsidR="00FC2019" w14:paraId="58731F43" w14:textId="77777777" w:rsidTr="001B5D5F">
              <w:tc>
                <w:tcPr>
                  <w:tcW w:w="2700" w:type="dxa"/>
                  <w:tcBorders>
                    <w:top w:val="single" w:sz="12" w:space="0" w:color="auto"/>
                    <w:left w:val="single" w:sz="12" w:space="0" w:color="auto"/>
                  </w:tcBorders>
                  <w:tcMar>
                    <w:top w:w="0" w:type="dxa"/>
                    <w:left w:w="108" w:type="dxa"/>
                    <w:bottom w:w="0" w:type="dxa"/>
                    <w:right w:w="108" w:type="dxa"/>
                  </w:tcMar>
                  <w:hideMark/>
                </w:tcPr>
                <w:p w14:paraId="6F745A48" w14:textId="77777777" w:rsidR="00FC2019" w:rsidRDefault="00FC2019" w:rsidP="00A74117">
                  <w:pPr>
                    <w:pStyle w:val="Default"/>
                    <w:framePr w:hSpace="180" w:wrap="around" w:vAnchor="text" w:hAnchor="margin" w:y="145"/>
                    <w:spacing w:before="60" w:after="60"/>
                    <w:rPr>
                      <w:b/>
                      <w:bCs/>
                      <w:color w:val="auto"/>
                      <w:sz w:val="22"/>
                      <w:szCs w:val="22"/>
                      <w:lang w:val="en-US"/>
                    </w:rPr>
                  </w:pPr>
                  <w:r w:rsidRPr="00FA2F07">
                    <w:rPr>
                      <w:b/>
                      <w:bCs/>
                      <w:color w:val="auto"/>
                      <w:sz w:val="22"/>
                      <w:szCs w:val="22"/>
                      <w:lang w:val="en-US"/>
                    </w:rPr>
                    <w:t xml:space="preserve">Total gross </w:t>
                  </w:r>
                  <w:r>
                    <w:rPr>
                      <w:b/>
                      <w:bCs/>
                      <w:color w:val="auto"/>
                      <w:sz w:val="22"/>
                      <w:szCs w:val="22"/>
                      <w:lang w:val="en-US"/>
                    </w:rPr>
                    <w:t>emissions</w:t>
                  </w:r>
                </w:p>
                <w:p w14:paraId="5DB875B0" w14:textId="77777777" w:rsidR="00FC2019" w:rsidRDefault="00FC2019" w:rsidP="00A74117">
                  <w:pPr>
                    <w:pStyle w:val="Default"/>
                    <w:framePr w:hSpace="180" w:wrap="around" w:vAnchor="text" w:hAnchor="margin" w:y="145"/>
                    <w:spacing w:before="60" w:after="60"/>
                    <w:ind w:firstLine="337"/>
                    <w:rPr>
                      <w:color w:val="auto"/>
                      <w:sz w:val="22"/>
                      <w:szCs w:val="22"/>
                      <w:lang w:val="en-US"/>
                    </w:rPr>
                  </w:pPr>
                  <w:r w:rsidRPr="00400204">
                    <w:rPr>
                      <w:color w:val="auto"/>
                      <w:sz w:val="22"/>
                      <w:szCs w:val="22"/>
                      <w:lang w:val="en-US"/>
                    </w:rPr>
                    <w:t>Annual average</w:t>
                  </w:r>
                </w:p>
                <w:p w14:paraId="0887D2C2" w14:textId="77777777" w:rsidR="00FC2019" w:rsidRPr="0091745D" w:rsidRDefault="00FC2019" w:rsidP="00A74117">
                  <w:pPr>
                    <w:pStyle w:val="Default"/>
                    <w:framePr w:hSpace="180" w:wrap="around" w:vAnchor="text" w:hAnchor="margin" w:y="145"/>
                    <w:spacing w:before="60" w:after="60"/>
                    <w:ind w:firstLine="337"/>
                    <w:rPr>
                      <w:color w:val="auto"/>
                      <w:sz w:val="22"/>
                      <w:szCs w:val="22"/>
                      <w:lang w:val="en-US"/>
                    </w:rPr>
                  </w:pPr>
                  <w:r>
                    <w:rPr>
                      <w:color w:val="auto"/>
                      <w:sz w:val="22"/>
                      <w:szCs w:val="22"/>
                      <w:lang w:val="en-US"/>
                    </w:rPr>
                    <w:t>Reduction from 2018</w:t>
                  </w:r>
                </w:p>
              </w:tc>
              <w:tc>
                <w:tcPr>
                  <w:tcW w:w="1517" w:type="dxa"/>
                  <w:tcBorders>
                    <w:top w:val="single" w:sz="12" w:space="0" w:color="auto"/>
                  </w:tcBorders>
                </w:tcPr>
                <w:p w14:paraId="5DAD0C94" w14:textId="77777777" w:rsidR="00FC2019" w:rsidRDefault="00FC2019" w:rsidP="00A74117">
                  <w:pPr>
                    <w:pStyle w:val="Default"/>
                    <w:framePr w:hSpace="180" w:wrap="around" w:vAnchor="text" w:hAnchor="margin" w:y="145"/>
                    <w:spacing w:before="60" w:after="60"/>
                    <w:jc w:val="center"/>
                    <w:rPr>
                      <w:sz w:val="22"/>
                      <w:szCs w:val="22"/>
                    </w:rPr>
                  </w:pPr>
                </w:p>
                <w:p w14:paraId="52C87B22" w14:textId="77777777" w:rsidR="00FC2019" w:rsidRPr="000B22B8" w:rsidRDefault="00FC2019" w:rsidP="00A74117">
                  <w:pPr>
                    <w:pStyle w:val="Default"/>
                    <w:framePr w:hSpace="180" w:wrap="around" w:vAnchor="text" w:hAnchor="margin" w:y="145"/>
                    <w:spacing w:before="60" w:after="60"/>
                    <w:jc w:val="center"/>
                    <w:rPr>
                      <w:color w:val="auto"/>
                      <w:sz w:val="22"/>
                      <w:szCs w:val="22"/>
                      <w:lang w:val="en-US"/>
                    </w:rPr>
                  </w:pPr>
                  <w:r w:rsidRPr="000B22B8">
                    <w:rPr>
                      <w:sz w:val="22"/>
                      <w:szCs w:val="22"/>
                    </w:rPr>
                    <w:t>7</w:t>
                  </w:r>
                  <w:r w:rsidRPr="00400204">
                    <w:rPr>
                      <w:sz w:val="22"/>
                      <w:szCs w:val="22"/>
                    </w:rPr>
                    <w:t>8.6</w:t>
                  </w:r>
                  <w:r w:rsidRPr="000B22B8">
                    <w:rPr>
                      <w:sz w:val="22"/>
                      <w:szCs w:val="22"/>
                    </w:rPr>
                    <w:t xml:space="preserve"> </w:t>
                  </w:r>
                  <w:r w:rsidRPr="000B22B8">
                    <w:rPr>
                      <w:color w:val="auto"/>
                      <w:sz w:val="22"/>
                      <w:szCs w:val="22"/>
                    </w:rPr>
                    <w:t>Mt CO</w:t>
                  </w:r>
                  <w:r w:rsidRPr="000B22B8">
                    <w:rPr>
                      <w:color w:val="auto"/>
                      <w:sz w:val="22"/>
                      <w:szCs w:val="22"/>
                      <w:vertAlign w:val="subscript"/>
                    </w:rPr>
                    <w:t>2</w:t>
                  </w:r>
                  <w:r w:rsidRPr="000B22B8">
                    <w:rPr>
                      <w:color w:val="auto"/>
                      <w:sz w:val="22"/>
                      <w:szCs w:val="22"/>
                    </w:rPr>
                    <w:t>e</w:t>
                  </w:r>
                </w:p>
              </w:tc>
              <w:tc>
                <w:tcPr>
                  <w:tcW w:w="1518" w:type="dxa"/>
                  <w:tcBorders>
                    <w:top w:val="single" w:sz="12" w:space="0" w:color="auto"/>
                  </w:tcBorders>
                  <w:tcMar>
                    <w:top w:w="0" w:type="dxa"/>
                    <w:left w:w="108" w:type="dxa"/>
                    <w:bottom w:w="0" w:type="dxa"/>
                    <w:right w:w="108" w:type="dxa"/>
                  </w:tcMar>
                  <w:hideMark/>
                </w:tcPr>
                <w:p w14:paraId="70289A5F" w14:textId="77777777" w:rsidR="00FC2019" w:rsidRPr="000B22B8" w:rsidRDefault="00FC2019" w:rsidP="00A74117">
                  <w:pPr>
                    <w:pStyle w:val="Default"/>
                    <w:framePr w:hSpace="180" w:wrap="around" w:vAnchor="text" w:hAnchor="margin" w:y="145"/>
                    <w:spacing w:before="60" w:after="60"/>
                    <w:jc w:val="center"/>
                    <w:rPr>
                      <w:sz w:val="22"/>
                      <w:szCs w:val="22"/>
                    </w:rPr>
                  </w:pPr>
                </w:p>
                <w:p w14:paraId="60B7123D" w14:textId="77777777" w:rsidR="00FC2019" w:rsidRPr="000B22B8" w:rsidRDefault="00FC2019" w:rsidP="00A74117">
                  <w:pPr>
                    <w:pStyle w:val="Default"/>
                    <w:framePr w:hSpace="180" w:wrap="around" w:vAnchor="text" w:hAnchor="margin" w:y="145"/>
                    <w:spacing w:before="60" w:after="60"/>
                    <w:jc w:val="center"/>
                    <w:rPr>
                      <w:color w:val="auto"/>
                      <w:sz w:val="22"/>
                      <w:szCs w:val="22"/>
                    </w:rPr>
                  </w:pPr>
                  <w:r w:rsidRPr="000B22B8">
                    <w:rPr>
                      <w:sz w:val="22"/>
                      <w:szCs w:val="22"/>
                    </w:rPr>
                    <w:t>7</w:t>
                  </w:r>
                  <w:r w:rsidRPr="00400204">
                    <w:rPr>
                      <w:sz w:val="22"/>
                      <w:szCs w:val="22"/>
                    </w:rPr>
                    <w:t>4.2</w:t>
                  </w:r>
                  <w:r w:rsidRPr="000B22B8">
                    <w:rPr>
                      <w:sz w:val="22"/>
                      <w:szCs w:val="22"/>
                    </w:rPr>
                    <w:t xml:space="preserve"> </w:t>
                  </w:r>
                  <w:r w:rsidRPr="000B22B8">
                    <w:rPr>
                      <w:color w:val="auto"/>
                      <w:sz w:val="22"/>
                      <w:szCs w:val="22"/>
                    </w:rPr>
                    <w:t>Mt CO</w:t>
                  </w:r>
                  <w:r w:rsidRPr="000B22B8">
                    <w:rPr>
                      <w:color w:val="auto"/>
                      <w:sz w:val="22"/>
                      <w:szCs w:val="22"/>
                      <w:vertAlign w:val="subscript"/>
                    </w:rPr>
                    <w:t>2</w:t>
                  </w:r>
                  <w:r w:rsidRPr="000B22B8">
                    <w:rPr>
                      <w:color w:val="auto"/>
                      <w:sz w:val="22"/>
                      <w:szCs w:val="22"/>
                    </w:rPr>
                    <w:t>e</w:t>
                  </w:r>
                </w:p>
                <w:p w14:paraId="6A43A55E" w14:textId="77777777" w:rsidR="00FC2019" w:rsidRPr="000B22B8" w:rsidRDefault="00FC2019" w:rsidP="00A74117">
                  <w:pPr>
                    <w:pStyle w:val="Default"/>
                    <w:framePr w:hSpace="180" w:wrap="around" w:vAnchor="text" w:hAnchor="margin" w:y="145"/>
                    <w:spacing w:before="60" w:after="60"/>
                    <w:jc w:val="center"/>
                    <w:rPr>
                      <w:color w:val="auto"/>
                      <w:sz w:val="22"/>
                      <w:szCs w:val="22"/>
                      <w:lang w:val="en-US"/>
                    </w:rPr>
                  </w:pPr>
                  <w:r w:rsidRPr="00400204">
                    <w:rPr>
                      <w:sz w:val="22"/>
                      <w:szCs w:val="22"/>
                    </w:rPr>
                    <w:t>4.4</w:t>
                  </w:r>
                  <w:r w:rsidRPr="000B22B8">
                    <w:rPr>
                      <w:sz w:val="22"/>
                      <w:szCs w:val="22"/>
                    </w:rPr>
                    <w:t xml:space="preserve"> </w:t>
                  </w:r>
                  <w:r w:rsidRPr="000B22B8">
                    <w:rPr>
                      <w:color w:val="auto"/>
                      <w:sz w:val="22"/>
                      <w:szCs w:val="22"/>
                    </w:rPr>
                    <w:t>Mt CO</w:t>
                  </w:r>
                  <w:r w:rsidRPr="000B22B8">
                    <w:rPr>
                      <w:color w:val="auto"/>
                      <w:sz w:val="22"/>
                      <w:szCs w:val="22"/>
                      <w:vertAlign w:val="subscript"/>
                    </w:rPr>
                    <w:t>2</w:t>
                  </w:r>
                  <w:r w:rsidRPr="000B22B8">
                    <w:rPr>
                      <w:color w:val="auto"/>
                      <w:sz w:val="22"/>
                      <w:szCs w:val="22"/>
                    </w:rPr>
                    <w:t>e (</w:t>
                  </w:r>
                  <w:r w:rsidRPr="00400204">
                    <w:rPr>
                      <w:color w:val="auto"/>
                      <w:sz w:val="22"/>
                      <w:szCs w:val="22"/>
                    </w:rPr>
                    <w:t>5.6</w:t>
                  </w:r>
                  <w:r w:rsidRPr="000B22B8">
                    <w:rPr>
                      <w:color w:val="auto"/>
                      <w:sz w:val="22"/>
                      <w:szCs w:val="22"/>
                    </w:rPr>
                    <w:t>%)</w:t>
                  </w:r>
                </w:p>
              </w:tc>
              <w:tc>
                <w:tcPr>
                  <w:tcW w:w="1517" w:type="dxa"/>
                  <w:tcBorders>
                    <w:top w:val="single" w:sz="12" w:space="0" w:color="auto"/>
                  </w:tcBorders>
                  <w:tcMar>
                    <w:top w:w="0" w:type="dxa"/>
                    <w:left w:w="108" w:type="dxa"/>
                    <w:bottom w:w="0" w:type="dxa"/>
                    <w:right w:w="108" w:type="dxa"/>
                  </w:tcMar>
                </w:tcPr>
                <w:p w14:paraId="402C06FA" w14:textId="77777777" w:rsidR="00FC2019" w:rsidRPr="000B22B8" w:rsidRDefault="00FC2019" w:rsidP="00A74117">
                  <w:pPr>
                    <w:pStyle w:val="Default"/>
                    <w:framePr w:hSpace="180" w:wrap="around" w:vAnchor="text" w:hAnchor="margin" w:y="145"/>
                    <w:spacing w:before="60" w:after="60"/>
                    <w:jc w:val="center"/>
                    <w:rPr>
                      <w:sz w:val="22"/>
                      <w:szCs w:val="22"/>
                    </w:rPr>
                  </w:pPr>
                </w:p>
                <w:p w14:paraId="74147A03" w14:textId="77777777" w:rsidR="00FC2019" w:rsidRPr="000B22B8" w:rsidRDefault="00FC2019" w:rsidP="00A74117">
                  <w:pPr>
                    <w:pStyle w:val="Default"/>
                    <w:framePr w:hSpace="180" w:wrap="around" w:vAnchor="text" w:hAnchor="margin" w:y="145"/>
                    <w:spacing w:before="60" w:after="60"/>
                    <w:jc w:val="center"/>
                    <w:rPr>
                      <w:color w:val="auto"/>
                      <w:sz w:val="22"/>
                      <w:szCs w:val="22"/>
                    </w:rPr>
                  </w:pPr>
                  <w:r w:rsidRPr="000B22B8">
                    <w:rPr>
                      <w:sz w:val="22"/>
                      <w:szCs w:val="22"/>
                    </w:rPr>
                    <w:t>6</w:t>
                  </w:r>
                  <w:r w:rsidRPr="00400204">
                    <w:rPr>
                      <w:sz w:val="22"/>
                      <w:szCs w:val="22"/>
                    </w:rPr>
                    <w:t>7.1</w:t>
                  </w:r>
                  <w:r w:rsidRPr="000B22B8">
                    <w:rPr>
                      <w:sz w:val="22"/>
                      <w:szCs w:val="22"/>
                    </w:rPr>
                    <w:t xml:space="preserve"> </w:t>
                  </w:r>
                  <w:r w:rsidRPr="000B22B8">
                    <w:rPr>
                      <w:color w:val="auto"/>
                      <w:sz w:val="22"/>
                      <w:szCs w:val="22"/>
                    </w:rPr>
                    <w:t>Mt CO</w:t>
                  </w:r>
                  <w:r w:rsidRPr="000B22B8">
                    <w:rPr>
                      <w:color w:val="auto"/>
                      <w:sz w:val="22"/>
                      <w:szCs w:val="22"/>
                      <w:vertAlign w:val="subscript"/>
                    </w:rPr>
                    <w:t>2</w:t>
                  </w:r>
                  <w:r w:rsidRPr="000B22B8">
                    <w:rPr>
                      <w:color w:val="auto"/>
                      <w:sz w:val="22"/>
                      <w:szCs w:val="22"/>
                    </w:rPr>
                    <w:t>e</w:t>
                  </w:r>
                </w:p>
                <w:p w14:paraId="5099B315" w14:textId="77777777" w:rsidR="00FC2019" w:rsidRPr="000B22B8" w:rsidRDefault="00FC2019" w:rsidP="00A74117">
                  <w:pPr>
                    <w:pStyle w:val="Default"/>
                    <w:framePr w:hSpace="180" w:wrap="around" w:vAnchor="text" w:hAnchor="margin" w:y="145"/>
                    <w:spacing w:before="60" w:after="60"/>
                    <w:jc w:val="center"/>
                    <w:rPr>
                      <w:sz w:val="22"/>
                      <w:szCs w:val="22"/>
                      <w:lang w:val="en-US"/>
                    </w:rPr>
                  </w:pPr>
                  <w:r w:rsidRPr="000B22B8">
                    <w:rPr>
                      <w:sz w:val="22"/>
                      <w:szCs w:val="22"/>
                    </w:rPr>
                    <w:t>1</w:t>
                  </w:r>
                  <w:r w:rsidRPr="00400204">
                    <w:rPr>
                      <w:sz w:val="22"/>
                      <w:szCs w:val="22"/>
                    </w:rPr>
                    <w:t>1.5</w:t>
                  </w:r>
                  <w:r w:rsidRPr="000B22B8">
                    <w:rPr>
                      <w:sz w:val="22"/>
                      <w:szCs w:val="22"/>
                    </w:rPr>
                    <w:t xml:space="preserve"> </w:t>
                  </w:r>
                  <w:r w:rsidRPr="000B22B8">
                    <w:rPr>
                      <w:color w:val="auto"/>
                      <w:sz w:val="22"/>
                      <w:szCs w:val="22"/>
                    </w:rPr>
                    <w:t>Mt CO</w:t>
                  </w:r>
                  <w:r w:rsidRPr="000B22B8">
                    <w:rPr>
                      <w:color w:val="auto"/>
                      <w:sz w:val="22"/>
                      <w:szCs w:val="22"/>
                      <w:vertAlign w:val="subscript"/>
                    </w:rPr>
                    <w:t>2</w:t>
                  </w:r>
                  <w:r w:rsidRPr="000B22B8">
                    <w:rPr>
                      <w:color w:val="auto"/>
                      <w:sz w:val="22"/>
                      <w:szCs w:val="22"/>
                    </w:rPr>
                    <w:t xml:space="preserve">e </w:t>
                  </w:r>
                  <w:r w:rsidRPr="000B22B8">
                    <w:rPr>
                      <w:color w:val="auto"/>
                      <w:sz w:val="22"/>
                      <w:szCs w:val="22"/>
                      <w:lang w:val="en-US"/>
                    </w:rPr>
                    <w:t>(</w:t>
                  </w:r>
                  <w:r w:rsidRPr="00400204">
                    <w:rPr>
                      <w:color w:val="auto"/>
                      <w:sz w:val="22"/>
                      <w:szCs w:val="22"/>
                      <w:lang w:val="en-US"/>
                    </w:rPr>
                    <w:t>14.7</w:t>
                  </w:r>
                  <w:r w:rsidRPr="000B22B8">
                    <w:rPr>
                      <w:color w:val="auto"/>
                      <w:sz w:val="22"/>
                      <w:szCs w:val="22"/>
                      <w:lang w:val="en-US"/>
                    </w:rPr>
                    <w:t>%)</w:t>
                  </w:r>
                </w:p>
              </w:tc>
              <w:tc>
                <w:tcPr>
                  <w:tcW w:w="1518" w:type="dxa"/>
                  <w:tcBorders>
                    <w:top w:val="single" w:sz="12" w:space="0" w:color="auto"/>
                    <w:right w:val="single" w:sz="12" w:space="0" w:color="auto"/>
                  </w:tcBorders>
                  <w:tcMar>
                    <w:top w:w="0" w:type="dxa"/>
                    <w:left w:w="108" w:type="dxa"/>
                    <w:bottom w:w="0" w:type="dxa"/>
                    <w:right w:w="108" w:type="dxa"/>
                  </w:tcMar>
                </w:tcPr>
                <w:p w14:paraId="33781F58" w14:textId="77777777" w:rsidR="00FC2019" w:rsidRPr="000B22B8" w:rsidRDefault="00FC2019" w:rsidP="00A74117">
                  <w:pPr>
                    <w:pStyle w:val="Default"/>
                    <w:framePr w:hSpace="180" w:wrap="around" w:vAnchor="text" w:hAnchor="margin" w:y="145"/>
                    <w:spacing w:before="60" w:after="60"/>
                    <w:jc w:val="center"/>
                    <w:rPr>
                      <w:sz w:val="22"/>
                      <w:szCs w:val="22"/>
                    </w:rPr>
                  </w:pPr>
                </w:p>
                <w:p w14:paraId="22575055" w14:textId="77777777" w:rsidR="00FC2019" w:rsidRPr="000B22B8" w:rsidRDefault="00FC2019" w:rsidP="00A74117">
                  <w:pPr>
                    <w:pStyle w:val="Default"/>
                    <w:framePr w:hSpace="180" w:wrap="around" w:vAnchor="text" w:hAnchor="margin" w:y="145"/>
                    <w:spacing w:before="60" w:after="60"/>
                    <w:jc w:val="center"/>
                    <w:rPr>
                      <w:color w:val="auto"/>
                      <w:sz w:val="22"/>
                      <w:szCs w:val="22"/>
                    </w:rPr>
                  </w:pPr>
                  <w:r w:rsidRPr="00400204">
                    <w:rPr>
                      <w:sz w:val="22"/>
                      <w:szCs w:val="22"/>
                    </w:rPr>
                    <w:t>58.2</w:t>
                  </w:r>
                  <w:r w:rsidRPr="000B22B8">
                    <w:rPr>
                      <w:sz w:val="22"/>
                      <w:szCs w:val="22"/>
                    </w:rPr>
                    <w:t xml:space="preserve"> </w:t>
                  </w:r>
                  <w:r w:rsidRPr="000B22B8">
                    <w:rPr>
                      <w:color w:val="auto"/>
                      <w:sz w:val="22"/>
                      <w:szCs w:val="22"/>
                    </w:rPr>
                    <w:t>Mt CO</w:t>
                  </w:r>
                  <w:r w:rsidRPr="000B22B8">
                    <w:rPr>
                      <w:color w:val="auto"/>
                      <w:sz w:val="22"/>
                      <w:szCs w:val="22"/>
                      <w:vertAlign w:val="subscript"/>
                    </w:rPr>
                    <w:t>2</w:t>
                  </w:r>
                  <w:r w:rsidRPr="000B22B8">
                    <w:rPr>
                      <w:color w:val="auto"/>
                      <w:sz w:val="22"/>
                      <w:szCs w:val="22"/>
                    </w:rPr>
                    <w:t>e</w:t>
                  </w:r>
                </w:p>
                <w:p w14:paraId="0AB18CCC" w14:textId="77777777" w:rsidR="00FC2019" w:rsidRPr="000B22B8" w:rsidRDefault="00FC2019" w:rsidP="00A74117">
                  <w:pPr>
                    <w:pStyle w:val="Default"/>
                    <w:framePr w:hSpace="180" w:wrap="around" w:vAnchor="text" w:hAnchor="margin" w:y="145"/>
                    <w:spacing w:before="60" w:after="60"/>
                    <w:jc w:val="center"/>
                    <w:rPr>
                      <w:sz w:val="22"/>
                      <w:szCs w:val="22"/>
                      <w:lang w:val="en-US"/>
                    </w:rPr>
                  </w:pPr>
                  <w:r w:rsidRPr="000B22B8">
                    <w:rPr>
                      <w:sz w:val="22"/>
                      <w:szCs w:val="22"/>
                    </w:rPr>
                    <w:t>2</w:t>
                  </w:r>
                  <w:r w:rsidRPr="00400204">
                    <w:rPr>
                      <w:sz w:val="22"/>
                      <w:szCs w:val="22"/>
                    </w:rPr>
                    <w:t>0.4</w:t>
                  </w:r>
                  <w:r w:rsidRPr="000B22B8">
                    <w:rPr>
                      <w:sz w:val="22"/>
                      <w:szCs w:val="22"/>
                    </w:rPr>
                    <w:t xml:space="preserve"> </w:t>
                  </w:r>
                  <w:r w:rsidRPr="000B22B8">
                    <w:rPr>
                      <w:color w:val="auto"/>
                      <w:sz w:val="22"/>
                      <w:szCs w:val="22"/>
                    </w:rPr>
                    <w:t>Mt CO</w:t>
                  </w:r>
                  <w:r w:rsidRPr="000B22B8">
                    <w:rPr>
                      <w:color w:val="auto"/>
                      <w:sz w:val="22"/>
                      <w:szCs w:val="22"/>
                      <w:vertAlign w:val="subscript"/>
                    </w:rPr>
                    <w:t>2</w:t>
                  </w:r>
                  <w:r w:rsidRPr="000B22B8">
                    <w:rPr>
                      <w:color w:val="auto"/>
                      <w:sz w:val="22"/>
                      <w:szCs w:val="22"/>
                    </w:rPr>
                    <w:t xml:space="preserve">e </w:t>
                  </w:r>
                  <w:r w:rsidRPr="000B22B8">
                    <w:rPr>
                      <w:color w:val="auto"/>
                      <w:sz w:val="22"/>
                      <w:szCs w:val="22"/>
                      <w:lang w:val="en-US"/>
                    </w:rPr>
                    <w:t>(</w:t>
                  </w:r>
                  <w:r w:rsidRPr="00400204">
                    <w:rPr>
                      <w:color w:val="auto"/>
                      <w:sz w:val="22"/>
                      <w:szCs w:val="22"/>
                      <w:lang w:val="en-US"/>
                    </w:rPr>
                    <w:t>25.9</w:t>
                  </w:r>
                  <w:r w:rsidRPr="000B22B8">
                    <w:rPr>
                      <w:color w:val="auto"/>
                      <w:sz w:val="22"/>
                      <w:szCs w:val="22"/>
                      <w:lang w:val="en-US"/>
                    </w:rPr>
                    <w:t>%)</w:t>
                  </w:r>
                </w:p>
              </w:tc>
            </w:tr>
            <w:tr w:rsidR="00FC2019" w14:paraId="6A68D709" w14:textId="77777777" w:rsidTr="001B5D5F">
              <w:tc>
                <w:tcPr>
                  <w:tcW w:w="8770" w:type="dxa"/>
                  <w:gridSpan w:val="5"/>
                  <w:tcBorders>
                    <w:left w:val="single" w:sz="12" w:space="0" w:color="auto"/>
                    <w:right w:val="single" w:sz="12" w:space="0" w:color="auto"/>
                  </w:tcBorders>
                  <w:tcMar>
                    <w:top w:w="0" w:type="dxa"/>
                    <w:left w:w="108" w:type="dxa"/>
                    <w:bottom w:w="0" w:type="dxa"/>
                    <w:right w:w="108" w:type="dxa"/>
                  </w:tcMar>
                </w:tcPr>
                <w:p w14:paraId="53832D2C" w14:textId="77777777" w:rsidR="00FC2019" w:rsidRPr="000E0BAC" w:rsidRDefault="00FC2019" w:rsidP="00A74117">
                  <w:pPr>
                    <w:pStyle w:val="Default"/>
                    <w:framePr w:hSpace="180" w:wrap="around" w:vAnchor="text" w:hAnchor="margin" w:y="145"/>
                    <w:spacing w:before="60" w:after="60"/>
                    <w:rPr>
                      <w:sz w:val="22"/>
                      <w:szCs w:val="22"/>
                    </w:rPr>
                  </w:pPr>
                  <w:r w:rsidRPr="0084345F">
                    <w:rPr>
                      <w:i/>
                      <w:iCs/>
                      <w:sz w:val="22"/>
                      <w:szCs w:val="22"/>
                    </w:rPr>
                    <w:t>Broken down by:</w:t>
                  </w:r>
                </w:p>
              </w:tc>
            </w:tr>
            <w:tr w:rsidR="00FC2019" w14:paraId="17F681C5" w14:textId="77777777" w:rsidTr="001B5D5F">
              <w:tc>
                <w:tcPr>
                  <w:tcW w:w="2700" w:type="dxa"/>
                  <w:tcBorders>
                    <w:left w:val="single" w:sz="12" w:space="0" w:color="auto"/>
                  </w:tcBorders>
                  <w:tcMar>
                    <w:top w:w="0" w:type="dxa"/>
                    <w:left w:w="108" w:type="dxa"/>
                    <w:bottom w:w="0" w:type="dxa"/>
                    <w:right w:w="108" w:type="dxa"/>
                  </w:tcMar>
                  <w:hideMark/>
                </w:tcPr>
                <w:p w14:paraId="530E5D3E" w14:textId="77777777" w:rsidR="00FC2019" w:rsidRDefault="00FC2019" w:rsidP="00A74117">
                  <w:pPr>
                    <w:pStyle w:val="Default"/>
                    <w:framePr w:hSpace="180" w:wrap="around" w:vAnchor="text" w:hAnchor="margin" w:y="145"/>
                    <w:adjustRightInd/>
                    <w:spacing w:before="60" w:after="60"/>
                    <w:rPr>
                      <w:b/>
                      <w:bCs/>
                      <w:color w:val="auto"/>
                      <w:sz w:val="22"/>
                      <w:szCs w:val="22"/>
                      <w:lang w:val="en-US"/>
                    </w:rPr>
                  </w:pPr>
                  <w:r>
                    <w:rPr>
                      <w:b/>
                      <w:bCs/>
                      <w:color w:val="auto"/>
                      <w:sz w:val="22"/>
                      <w:szCs w:val="22"/>
                      <w:lang w:val="en-US"/>
                    </w:rPr>
                    <w:t>Carbon dioxide (gross)</w:t>
                  </w:r>
                </w:p>
                <w:p w14:paraId="691BFFB8" w14:textId="77777777" w:rsidR="00FC2019" w:rsidRPr="00400204" w:rsidRDefault="00FC2019" w:rsidP="00A74117">
                  <w:pPr>
                    <w:pStyle w:val="Default"/>
                    <w:framePr w:hSpace="180" w:wrap="around" w:vAnchor="text" w:hAnchor="margin" w:y="145"/>
                    <w:adjustRightInd/>
                    <w:spacing w:before="60" w:after="60"/>
                    <w:ind w:firstLine="337"/>
                    <w:rPr>
                      <w:color w:val="auto"/>
                      <w:sz w:val="22"/>
                      <w:szCs w:val="22"/>
                      <w:lang w:val="en-US"/>
                    </w:rPr>
                  </w:pPr>
                  <w:r w:rsidRPr="00400204">
                    <w:rPr>
                      <w:color w:val="auto"/>
                      <w:sz w:val="22"/>
                      <w:szCs w:val="22"/>
                      <w:lang w:val="en-US"/>
                    </w:rPr>
                    <w:t>Annual average</w:t>
                  </w:r>
                </w:p>
                <w:p w14:paraId="722E1AC5" w14:textId="77777777" w:rsidR="00FC2019" w:rsidRPr="00811600" w:rsidRDefault="00FC2019" w:rsidP="00A74117">
                  <w:pPr>
                    <w:pStyle w:val="Default"/>
                    <w:framePr w:hSpace="180" w:wrap="around" w:vAnchor="text" w:hAnchor="margin" w:y="145"/>
                    <w:adjustRightInd/>
                    <w:spacing w:before="60" w:after="60"/>
                    <w:ind w:firstLine="337"/>
                    <w:rPr>
                      <w:b/>
                      <w:bCs/>
                      <w:color w:val="auto"/>
                      <w:sz w:val="22"/>
                      <w:szCs w:val="22"/>
                      <w:lang w:val="en-US"/>
                    </w:rPr>
                  </w:pPr>
                  <w:r w:rsidRPr="00400204">
                    <w:rPr>
                      <w:color w:val="auto"/>
                      <w:sz w:val="22"/>
                      <w:szCs w:val="22"/>
                      <w:lang w:val="en-US"/>
                    </w:rPr>
                    <w:t>Reduction from 2018</w:t>
                  </w:r>
                </w:p>
              </w:tc>
              <w:tc>
                <w:tcPr>
                  <w:tcW w:w="1517" w:type="dxa"/>
                </w:tcPr>
                <w:p w14:paraId="6DC5EB1A" w14:textId="77777777" w:rsidR="00FC2019" w:rsidRPr="00400204" w:rsidRDefault="00FC2019" w:rsidP="00A74117">
                  <w:pPr>
                    <w:pStyle w:val="Default"/>
                    <w:framePr w:hSpace="180" w:wrap="around" w:vAnchor="text" w:hAnchor="margin" w:y="145"/>
                    <w:spacing w:before="60" w:after="60"/>
                    <w:jc w:val="center"/>
                    <w:rPr>
                      <w:sz w:val="22"/>
                      <w:szCs w:val="22"/>
                    </w:rPr>
                  </w:pPr>
                </w:p>
                <w:p w14:paraId="5CD9483E" w14:textId="77777777" w:rsidR="00FC2019" w:rsidRPr="00400204" w:rsidRDefault="00FC2019" w:rsidP="00A74117">
                  <w:pPr>
                    <w:pStyle w:val="Default"/>
                    <w:framePr w:hSpace="180" w:wrap="around" w:vAnchor="text" w:hAnchor="margin" w:y="145"/>
                    <w:spacing w:before="60" w:after="60"/>
                    <w:jc w:val="center"/>
                    <w:rPr>
                      <w:color w:val="auto"/>
                      <w:sz w:val="22"/>
                      <w:szCs w:val="22"/>
                      <w:lang w:val="en-US"/>
                    </w:rPr>
                  </w:pPr>
                  <w:r w:rsidRPr="00400204">
                    <w:rPr>
                      <w:sz w:val="22"/>
                      <w:szCs w:val="22"/>
                    </w:rPr>
                    <w:t xml:space="preserve">35.1 </w:t>
                  </w:r>
                  <w:r w:rsidRPr="00400204">
                    <w:rPr>
                      <w:color w:val="auto"/>
                      <w:sz w:val="22"/>
                      <w:szCs w:val="22"/>
                    </w:rPr>
                    <w:t>Mt CO</w:t>
                  </w:r>
                  <w:r w:rsidRPr="00400204">
                    <w:rPr>
                      <w:color w:val="auto"/>
                      <w:sz w:val="22"/>
                      <w:szCs w:val="22"/>
                      <w:vertAlign w:val="subscript"/>
                    </w:rPr>
                    <w:t>2</w:t>
                  </w:r>
                  <w:r w:rsidRPr="00400204">
                    <w:rPr>
                      <w:color w:val="auto"/>
                      <w:sz w:val="22"/>
                      <w:szCs w:val="22"/>
                    </w:rPr>
                    <w:t>e</w:t>
                  </w:r>
                </w:p>
              </w:tc>
              <w:tc>
                <w:tcPr>
                  <w:tcW w:w="1518" w:type="dxa"/>
                  <w:tcMar>
                    <w:top w:w="0" w:type="dxa"/>
                    <w:left w:w="108" w:type="dxa"/>
                    <w:bottom w:w="0" w:type="dxa"/>
                    <w:right w:w="108" w:type="dxa"/>
                  </w:tcMar>
                  <w:hideMark/>
                </w:tcPr>
                <w:p w14:paraId="16B55FD9" w14:textId="77777777" w:rsidR="00FC2019" w:rsidRPr="00400204" w:rsidRDefault="00FC2019" w:rsidP="00A74117">
                  <w:pPr>
                    <w:pStyle w:val="Default"/>
                    <w:framePr w:hSpace="180" w:wrap="around" w:vAnchor="text" w:hAnchor="margin" w:y="145"/>
                    <w:spacing w:before="60" w:after="60"/>
                    <w:jc w:val="center"/>
                    <w:rPr>
                      <w:sz w:val="22"/>
                      <w:szCs w:val="22"/>
                    </w:rPr>
                  </w:pPr>
                </w:p>
                <w:p w14:paraId="472ABBD5" w14:textId="77777777" w:rsidR="00FC2019" w:rsidRPr="00400204" w:rsidRDefault="00FC2019" w:rsidP="00A74117">
                  <w:pPr>
                    <w:pStyle w:val="Default"/>
                    <w:framePr w:hSpace="180" w:wrap="around" w:vAnchor="text" w:hAnchor="margin" w:y="145"/>
                    <w:spacing w:before="60" w:after="60"/>
                    <w:jc w:val="center"/>
                    <w:rPr>
                      <w:color w:val="auto"/>
                      <w:sz w:val="22"/>
                      <w:szCs w:val="22"/>
                    </w:rPr>
                  </w:pPr>
                  <w:r w:rsidRPr="00400204">
                    <w:rPr>
                      <w:sz w:val="22"/>
                      <w:szCs w:val="22"/>
                    </w:rPr>
                    <w:t xml:space="preserve">33.4 </w:t>
                  </w:r>
                  <w:r w:rsidRPr="00400204">
                    <w:rPr>
                      <w:color w:val="auto"/>
                      <w:sz w:val="22"/>
                      <w:szCs w:val="22"/>
                    </w:rPr>
                    <w:t>Mt CO</w:t>
                  </w:r>
                  <w:r w:rsidRPr="00400204">
                    <w:rPr>
                      <w:color w:val="auto"/>
                      <w:sz w:val="22"/>
                      <w:szCs w:val="22"/>
                      <w:vertAlign w:val="subscript"/>
                    </w:rPr>
                    <w:t>2</w:t>
                  </w:r>
                  <w:r w:rsidRPr="00400204">
                    <w:rPr>
                      <w:color w:val="auto"/>
                      <w:sz w:val="22"/>
                      <w:szCs w:val="22"/>
                    </w:rPr>
                    <w:t>e</w:t>
                  </w:r>
                </w:p>
                <w:p w14:paraId="4D74B677" w14:textId="77777777" w:rsidR="00FC2019" w:rsidRPr="00400204" w:rsidRDefault="00FC2019" w:rsidP="00A74117">
                  <w:pPr>
                    <w:pStyle w:val="Default"/>
                    <w:framePr w:hSpace="180" w:wrap="around" w:vAnchor="text" w:hAnchor="margin" w:y="145"/>
                    <w:spacing w:before="60" w:after="60"/>
                    <w:jc w:val="center"/>
                    <w:rPr>
                      <w:color w:val="auto"/>
                      <w:sz w:val="22"/>
                      <w:szCs w:val="22"/>
                      <w:lang w:val="en-US"/>
                    </w:rPr>
                  </w:pPr>
                  <w:r w:rsidRPr="00400204">
                    <w:rPr>
                      <w:sz w:val="22"/>
                      <w:szCs w:val="22"/>
                    </w:rPr>
                    <w:t xml:space="preserve">1.6 </w:t>
                  </w:r>
                  <w:r w:rsidRPr="00400204">
                    <w:rPr>
                      <w:color w:val="auto"/>
                      <w:sz w:val="22"/>
                      <w:szCs w:val="22"/>
                    </w:rPr>
                    <w:t>Mt CO</w:t>
                  </w:r>
                  <w:r w:rsidRPr="00400204">
                    <w:rPr>
                      <w:color w:val="auto"/>
                      <w:sz w:val="22"/>
                      <w:szCs w:val="22"/>
                      <w:vertAlign w:val="subscript"/>
                    </w:rPr>
                    <w:t>2</w:t>
                  </w:r>
                  <w:r w:rsidRPr="00400204">
                    <w:rPr>
                      <w:color w:val="auto"/>
                      <w:sz w:val="22"/>
                      <w:szCs w:val="22"/>
                    </w:rPr>
                    <w:t>e (4.7%)</w:t>
                  </w:r>
                </w:p>
              </w:tc>
              <w:tc>
                <w:tcPr>
                  <w:tcW w:w="1517" w:type="dxa"/>
                  <w:tcMar>
                    <w:top w:w="0" w:type="dxa"/>
                    <w:left w:w="108" w:type="dxa"/>
                    <w:bottom w:w="0" w:type="dxa"/>
                    <w:right w:w="108" w:type="dxa"/>
                  </w:tcMar>
                </w:tcPr>
                <w:p w14:paraId="1188D624" w14:textId="77777777" w:rsidR="00FC2019" w:rsidRPr="00400204" w:rsidRDefault="00FC2019" w:rsidP="00A74117">
                  <w:pPr>
                    <w:pStyle w:val="Default"/>
                    <w:framePr w:hSpace="180" w:wrap="around" w:vAnchor="text" w:hAnchor="margin" w:y="145"/>
                    <w:spacing w:before="60" w:after="60"/>
                    <w:jc w:val="center"/>
                    <w:rPr>
                      <w:sz w:val="22"/>
                      <w:szCs w:val="22"/>
                    </w:rPr>
                  </w:pPr>
                </w:p>
                <w:p w14:paraId="498BCD90" w14:textId="77777777" w:rsidR="00FC2019" w:rsidRPr="00400204" w:rsidRDefault="00FC2019" w:rsidP="00A74117">
                  <w:pPr>
                    <w:pStyle w:val="Default"/>
                    <w:framePr w:hSpace="180" w:wrap="around" w:vAnchor="text" w:hAnchor="margin" w:y="145"/>
                    <w:spacing w:before="60" w:after="60"/>
                    <w:jc w:val="center"/>
                    <w:rPr>
                      <w:color w:val="auto"/>
                      <w:sz w:val="22"/>
                      <w:szCs w:val="22"/>
                    </w:rPr>
                  </w:pPr>
                  <w:r w:rsidRPr="00400204">
                    <w:rPr>
                      <w:sz w:val="22"/>
                      <w:szCs w:val="22"/>
                    </w:rPr>
                    <w:t xml:space="preserve">28.6 </w:t>
                  </w:r>
                  <w:r w:rsidRPr="00400204">
                    <w:rPr>
                      <w:color w:val="auto"/>
                      <w:sz w:val="22"/>
                      <w:szCs w:val="22"/>
                    </w:rPr>
                    <w:t>Mt CO</w:t>
                  </w:r>
                  <w:r w:rsidRPr="00400204">
                    <w:rPr>
                      <w:color w:val="auto"/>
                      <w:sz w:val="22"/>
                      <w:szCs w:val="22"/>
                      <w:vertAlign w:val="subscript"/>
                    </w:rPr>
                    <w:t>2</w:t>
                  </w:r>
                  <w:r w:rsidRPr="00400204">
                    <w:rPr>
                      <w:color w:val="auto"/>
                      <w:sz w:val="22"/>
                      <w:szCs w:val="22"/>
                    </w:rPr>
                    <w:t>e</w:t>
                  </w:r>
                </w:p>
                <w:p w14:paraId="1359E6C8" w14:textId="77777777" w:rsidR="00FC2019" w:rsidRPr="00400204" w:rsidRDefault="00FC2019" w:rsidP="00A74117">
                  <w:pPr>
                    <w:pStyle w:val="Default"/>
                    <w:framePr w:hSpace="180" w:wrap="around" w:vAnchor="text" w:hAnchor="margin" w:y="145"/>
                    <w:spacing w:before="60" w:after="60"/>
                    <w:jc w:val="center"/>
                    <w:rPr>
                      <w:sz w:val="22"/>
                      <w:szCs w:val="22"/>
                      <w:lang w:val="en-US"/>
                    </w:rPr>
                  </w:pPr>
                  <w:r w:rsidRPr="00400204">
                    <w:rPr>
                      <w:sz w:val="22"/>
                      <w:szCs w:val="22"/>
                    </w:rPr>
                    <w:t xml:space="preserve">6.4 </w:t>
                  </w:r>
                  <w:r w:rsidRPr="00400204">
                    <w:rPr>
                      <w:color w:val="auto"/>
                      <w:sz w:val="22"/>
                      <w:szCs w:val="22"/>
                    </w:rPr>
                    <w:t>Mt CO</w:t>
                  </w:r>
                  <w:r w:rsidRPr="00400204">
                    <w:rPr>
                      <w:color w:val="auto"/>
                      <w:sz w:val="22"/>
                      <w:szCs w:val="22"/>
                      <w:vertAlign w:val="subscript"/>
                    </w:rPr>
                    <w:t>2</w:t>
                  </w:r>
                  <w:r w:rsidRPr="00400204">
                    <w:rPr>
                      <w:color w:val="auto"/>
                      <w:sz w:val="22"/>
                      <w:szCs w:val="22"/>
                    </w:rPr>
                    <w:t>e (18.3%)</w:t>
                  </w:r>
                </w:p>
              </w:tc>
              <w:tc>
                <w:tcPr>
                  <w:tcW w:w="1518" w:type="dxa"/>
                  <w:tcBorders>
                    <w:right w:val="single" w:sz="12" w:space="0" w:color="auto"/>
                  </w:tcBorders>
                  <w:tcMar>
                    <w:top w:w="0" w:type="dxa"/>
                    <w:left w:w="108" w:type="dxa"/>
                    <w:bottom w:w="0" w:type="dxa"/>
                    <w:right w:w="108" w:type="dxa"/>
                  </w:tcMar>
                </w:tcPr>
                <w:p w14:paraId="7AF7357C" w14:textId="77777777" w:rsidR="00FC2019" w:rsidRPr="00400204" w:rsidRDefault="00FC2019" w:rsidP="00A74117">
                  <w:pPr>
                    <w:pStyle w:val="Default"/>
                    <w:framePr w:hSpace="180" w:wrap="around" w:vAnchor="text" w:hAnchor="margin" w:y="145"/>
                    <w:spacing w:before="60" w:after="60"/>
                    <w:jc w:val="center"/>
                    <w:rPr>
                      <w:sz w:val="22"/>
                      <w:szCs w:val="22"/>
                    </w:rPr>
                  </w:pPr>
                </w:p>
                <w:p w14:paraId="78CBC40A" w14:textId="77777777" w:rsidR="00FC2019" w:rsidRPr="00400204" w:rsidRDefault="00FC2019" w:rsidP="00A74117">
                  <w:pPr>
                    <w:pStyle w:val="Default"/>
                    <w:framePr w:hSpace="180" w:wrap="around" w:vAnchor="text" w:hAnchor="margin" w:y="145"/>
                    <w:spacing w:before="60" w:after="60"/>
                    <w:jc w:val="center"/>
                    <w:rPr>
                      <w:color w:val="auto"/>
                      <w:sz w:val="22"/>
                      <w:szCs w:val="22"/>
                    </w:rPr>
                  </w:pPr>
                  <w:r w:rsidRPr="00400204">
                    <w:rPr>
                      <w:sz w:val="22"/>
                      <w:szCs w:val="22"/>
                    </w:rPr>
                    <w:t xml:space="preserve">22.2 </w:t>
                  </w:r>
                  <w:r w:rsidRPr="00400204">
                    <w:rPr>
                      <w:color w:val="auto"/>
                      <w:sz w:val="22"/>
                      <w:szCs w:val="22"/>
                    </w:rPr>
                    <w:t>Mt CO</w:t>
                  </w:r>
                  <w:r w:rsidRPr="00400204">
                    <w:rPr>
                      <w:color w:val="auto"/>
                      <w:sz w:val="22"/>
                      <w:szCs w:val="22"/>
                      <w:vertAlign w:val="subscript"/>
                    </w:rPr>
                    <w:t>2</w:t>
                  </w:r>
                  <w:r w:rsidRPr="00400204">
                    <w:rPr>
                      <w:color w:val="auto"/>
                      <w:sz w:val="22"/>
                      <w:szCs w:val="22"/>
                    </w:rPr>
                    <w:t>e</w:t>
                  </w:r>
                </w:p>
                <w:p w14:paraId="3C2CA659" w14:textId="77777777" w:rsidR="00FC2019" w:rsidRPr="00400204" w:rsidRDefault="00FC2019" w:rsidP="00A74117">
                  <w:pPr>
                    <w:pStyle w:val="Default"/>
                    <w:framePr w:hSpace="180" w:wrap="around" w:vAnchor="text" w:hAnchor="margin" w:y="145"/>
                    <w:spacing w:before="60" w:after="60"/>
                    <w:jc w:val="center"/>
                    <w:rPr>
                      <w:sz w:val="22"/>
                      <w:szCs w:val="22"/>
                      <w:lang w:val="en-US"/>
                    </w:rPr>
                  </w:pPr>
                  <w:r w:rsidRPr="00400204">
                    <w:rPr>
                      <w:sz w:val="22"/>
                      <w:szCs w:val="22"/>
                    </w:rPr>
                    <w:t xml:space="preserve">12.9 </w:t>
                  </w:r>
                  <w:r w:rsidRPr="00400204">
                    <w:rPr>
                      <w:color w:val="auto"/>
                      <w:sz w:val="22"/>
                      <w:szCs w:val="22"/>
                    </w:rPr>
                    <w:t>Mt CO</w:t>
                  </w:r>
                  <w:r w:rsidRPr="00400204">
                    <w:rPr>
                      <w:color w:val="auto"/>
                      <w:sz w:val="22"/>
                      <w:szCs w:val="22"/>
                      <w:vertAlign w:val="subscript"/>
                    </w:rPr>
                    <w:t>2</w:t>
                  </w:r>
                  <w:r w:rsidRPr="00400204">
                    <w:rPr>
                      <w:color w:val="auto"/>
                      <w:sz w:val="22"/>
                      <w:szCs w:val="22"/>
                    </w:rPr>
                    <w:t>e (36.8%)</w:t>
                  </w:r>
                </w:p>
              </w:tc>
            </w:tr>
            <w:tr w:rsidR="00FC2019" w14:paraId="52A020DB" w14:textId="77777777" w:rsidTr="001B5D5F">
              <w:tc>
                <w:tcPr>
                  <w:tcW w:w="2700" w:type="dxa"/>
                  <w:tcBorders>
                    <w:left w:val="single" w:sz="12" w:space="0" w:color="auto"/>
                  </w:tcBorders>
                  <w:tcMar>
                    <w:top w:w="0" w:type="dxa"/>
                    <w:left w:w="108" w:type="dxa"/>
                    <w:bottom w:w="0" w:type="dxa"/>
                    <w:right w:w="108" w:type="dxa"/>
                  </w:tcMar>
                </w:tcPr>
                <w:p w14:paraId="66DD2972" w14:textId="77777777" w:rsidR="00FC2019" w:rsidRDefault="00FC2019" w:rsidP="00A74117">
                  <w:pPr>
                    <w:pStyle w:val="Default"/>
                    <w:framePr w:hSpace="180" w:wrap="around" w:vAnchor="text" w:hAnchor="margin" w:y="145"/>
                    <w:adjustRightInd/>
                    <w:spacing w:before="60" w:after="60"/>
                    <w:rPr>
                      <w:b/>
                      <w:bCs/>
                      <w:color w:val="auto"/>
                      <w:sz w:val="22"/>
                      <w:szCs w:val="22"/>
                      <w:lang w:val="en-US"/>
                    </w:rPr>
                  </w:pPr>
                  <w:r w:rsidRPr="003C2481">
                    <w:rPr>
                      <w:b/>
                      <w:bCs/>
                      <w:color w:val="auto"/>
                      <w:sz w:val="22"/>
                      <w:szCs w:val="22"/>
                      <w:lang w:val="en-US"/>
                    </w:rPr>
                    <w:t>Nitrous oxide</w:t>
                  </w:r>
                </w:p>
                <w:p w14:paraId="4D8BF42C" w14:textId="77777777" w:rsidR="00FC2019" w:rsidRDefault="00FC2019" w:rsidP="00A74117">
                  <w:pPr>
                    <w:pStyle w:val="Default"/>
                    <w:framePr w:hSpace="180" w:wrap="around" w:vAnchor="text" w:hAnchor="margin" w:y="145"/>
                    <w:adjustRightInd/>
                    <w:spacing w:before="60" w:after="60"/>
                    <w:ind w:firstLine="337"/>
                    <w:rPr>
                      <w:color w:val="auto"/>
                      <w:sz w:val="22"/>
                      <w:szCs w:val="22"/>
                      <w:lang w:val="en-US"/>
                    </w:rPr>
                  </w:pPr>
                  <w:r w:rsidRPr="00400204">
                    <w:rPr>
                      <w:color w:val="auto"/>
                      <w:sz w:val="22"/>
                      <w:szCs w:val="22"/>
                      <w:lang w:val="en-US"/>
                    </w:rPr>
                    <w:t>Annual average</w:t>
                  </w:r>
                </w:p>
                <w:p w14:paraId="0D231C32" w14:textId="77777777" w:rsidR="00FC2019" w:rsidRPr="00400204" w:rsidRDefault="00FC2019" w:rsidP="00A74117">
                  <w:pPr>
                    <w:pStyle w:val="Default"/>
                    <w:framePr w:hSpace="180" w:wrap="around" w:vAnchor="text" w:hAnchor="margin" w:y="145"/>
                    <w:adjustRightInd/>
                    <w:spacing w:before="60" w:after="60"/>
                    <w:ind w:firstLine="337"/>
                    <w:rPr>
                      <w:color w:val="auto"/>
                      <w:sz w:val="22"/>
                      <w:szCs w:val="22"/>
                      <w:lang w:val="en-US"/>
                    </w:rPr>
                  </w:pPr>
                  <w:r w:rsidRPr="003C2481">
                    <w:rPr>
                      <w:color w:val="auto"/>
                      <w:sz w:val="22"/>
                      <w:szCs w:val="22"/>
                      <w:lang w:val="en-US"/>
                    </w:rPr>
                    <w:t>Reduction from 2018</w:t>
                  </w:r>
                </w:p>
              </w:tc>
              <w:tc>
                <w:tcPr>
                  <w:tcW w:w="1517" w:type="dxa"/>
                </w:tcPr>
                <w:p w14:paraId="16FD6656" w14:textId="77777777" w:rsidR="00FC2019" w:rsidRPr="00400204" w:rsidRDefault="00FC2019" w:rsidP="00A74117">
                  <w:pPr>
                    <w:pStyle w:val="Default"/>
                    <w:framePr w:hSpace="180" w:wrap="around" w:vAnchor="text" w:hAnchor="margin" w:y="145"/>
                    <w:spacing w:before="60" w:after="60"/>
                    <w:jc w:val="center"/>
                    <w:rPr>
                      <w:sz w:val="22"/>
                      <w:szCs w:val="22"/>
                    </w:rPr>
                  </w:pPr>
                </w:p>
                <w:p w14:paraId="124B9F40" w14:textId="77777777" w:rsidR="00FC2019" w:rsidRPr="00400204" w:rsidRDefault="00FC2019" w:rsidP="00A74117">
                  <w:pPr>
                    <w:pStyle w:val="Default"/>
                    <w:framePr w:hSpace="180" w:wrap="around" w:vAnchor="text" w:hAnchor="margin" w:y="145"/>
                    <w:spacing w:before="60" w:after="60"/>
                    <w:jc w:val="center"/>
                    <w:rPr>
                      <w:color w:val="auto"/>
                      <w:sz w:val="22"/>
                      <w:szCs w:val="22"/>
                      <w:lang w:val="en-US"/>
                    </w:rPr>
                  </w:pPr>
                  <w:r w:rsidRPr="00400204">
                    <w:rPr>
                      <w:sz w:val="22"/>
                      <w:szCs w:val="22"/>
                    </w:rPr>
                    <w:t xml:space="preserve">7.7 </w:t>
                  </w:r>
                  <w:r w:rsidRPr="00400204">
                    <w:rPr>
                      <w:color w:val="auto"/>
                      <w:sz w:val="22"/>
                      <w:szCs w:val="22"/>
                    </w:rPr>
                    <w:t>Mt CO</w:t>
                  </w:r>
                  <w:r w:rsidRPr="00400204">
                    <w:rPr>
                      <w:color w:val="auto"/>
                      <w:sz w:val="22"/>
                      <w:szCs w:val="22"/>
                      <w:vertAlign w:val="subscript"/>
                    </w:rPr>
                    <w:t>2</w:t>
                  </w:r>
                  <w:r w:rsidRPr="00400204">
                    <w:rPr>
                      <w:color w:val="auto"/>
                      <w:sz w:val="22"/>
                      <w:szCs w:val="22"/>
                    </w:rPr>
                    <w:t>e</w:t>
                  </w:r>
                </w:p>
              </w:tc>
              <w:tc>
                <w:tcPr>
                  <w:tcW w:w="1518" w:type="dxa"/>
                  <w:tcMar>
                    <w:top w:w="0" w:type="dxa"/>
                    <w:left w:w="108" w:type="dxa"/>
                    <w:bottom w:w="0" w:type="dxa"/>
                    <w:right w:w="108" w:type="dxa"/>
                  </w:tcMar>
                </w:tcPr>
                <w:p w14:paraId="7A2921F4" w14:textId="77777777" w:rsidR="00FC2019" w:rsidRPr="00400204" w:rsidRDefault="00FC2019" w:rsidP="00A74117">
                  <w:pPr>
                    <w:pStyle w:val="Default"/>
                    <w:framePr w:hSpace="180" w:wrap="around" w:vAnchor="text" w:hAnchor="margin" w:y="145"/>
                    <w:spacing w:before="60" w:after="60"/>
                    <w:jc w:val="center"/>
                    <w:rPr>
                      <w:sz w:val="22"/>
                      <w:szCs w:val="22"/>
                    </w:rPr>
                  </w:pPr>
                </w:p>
                <w:p w14:paraId="17088754" w14:textId="77777777" w:rsidR="00FC2019" w:rsidRPr="00400204" w:rsidRDefault="00FC2019" w:rsidP="00A74117">
                  <w:pPr>
                    <w:pStyle w:val="Default"/>
                    <w:framePr w:hSpace="180" w:wrap="around" w:vAnchor="text" w:hAnchor="margin" w:y="145"/>
                    <w:spacing w:before="60" w:after="60"/>
                    <w:jc w:val="center"/>
                    <w:rPr>
                      <w:color w:val="auto"/>
                      <w:sz w:val="22"/>
                      <w:szCs w:val="22"/>
                    </w:rPr>
                  </w:pPr>
                  <w:r w:rsidRPr="00400204">
                    <w:rPr>
                      <w:sz w:val="22"/>
                      <w:szCs w:val="22"/>
                    </w:rPr>
                    <w:t xml:space="preserve">7.3 </w:t>
                  </w:r>
                  <w:r w:rsidRPr="00400204">
                    <w:rPr>
                      <w:color w:val="auto"/>
                      <w:sz w:val="22"/>
                      <w:szCs w:val="22"/>
                    </w:rPr>
                    <w:t>Mt CO</w:t>
                  </w:r>
                  <w:r w:rsidRPr="00400204">
                    <w:rPr>
                      <w:color w:val="auto"/>
                      <w:sz w:val="22"/>
                      <w:szCs w:val="22"/>
                      <w:vertAlign w:val="subscript"/>
                    </w:rPr>
                    <w:t>2</w:t>
                  </w:r>
                  <w:r w:rsidRPr="00400204">
                    <w:rPr>
                      <w:color w:val="auto"/>
                      <w:sz w:val="22"/>
                      <w:szCs w:val="22"/>
                    </w:rPr>
                    <w:t>e</w:t>
                  </w:r>
                </w:p>
                <w:p w14:paraId="3D3C5464" w14:textId="77777777" w:rsidR="00FC2019" w:rsidRPr="00400204" w:rsidRDefault="00FC2019" w:rsidP="00A74117">
                  <w:pPr>
                    <w:pStyle w:val="Default"/>
                    <w:framePr w:hSpace="180" w:wrap="around" w:vAnchor="text" w:hAnchor="margin" w:y="145"/>
                    <w:spacing w:before="60" w:after="60"/>
                    <w:jc w:val="center"/>
                    <w:rPr>
                      <w:sz w:val="22"/>
                      <w:szCs w:val="22"/>
                    </w:rPr>
                  </w:pPr>
                  <w:r w:rsidRPr="00400204">
                    <w:rPr>
                      <w:sz w:val="22"/>
                      <w:szCs w:val="22"/>
                    </w:rPr>
                    <w:t xml:space="preserve">0.4 </w:t>
                  </w:r>
                  <w:r w:rsidRPr="00400204">
                    <w:rPr>
                      <w:color w:val="auto"/>
                      <w:sz w:val="22"/>
                      <w:szCs w:val="22"/>
                    </w:rPr>
                    <w:t>Mt CO</w:t>
                  </w:r>
                  <w:r w:rsidRPr="00400204">
                    <w:rPr>
                      <w:color w:val="auto"/>
                      <w:sz w:val="22"/>
                      <w:szCs w:val="22"/>
                      <w:vertAlign w:val="subscript"/>
                    </w:rPr>
                    <w:t>2</w:t>
                  </w:r>
                  <w:r w:rsidRPr="00400204">
                    <w:rPr>
                      <w:color w:val="auto"/>
                      <w:sz w:val="22"/>
                      <w:szCs w:val="22"/>
                    </w:rPr>
                    <w:t>e (4.9%)</w:t>
                  </w:r>
                </w:p>
              </w:tc>
              <w:tc>
                <w:tcPr>
                  <w:tcW w:w="1517" w:type="dxa"/>
                  <w:tcMar>
                    <w:top w:w="0" w:type="dxa"/>
                    <w:left w:w="108" w:type="dxa"/>
                    <w:bottom w:w="0" w:type="dxa"/>
                    <w:right w:w="108" w:type="dxa"/>
                  </w:tcMar>
                </w:tcPr>
                <w:p w14:paraId="4E7E66FB" w14:textId="77777777" w:rsidR="00FC2019" w:rsidRPr="00400204" w:rsidRDefault="00FC2019" w:rsidP="00A74117">
                  <w:pPr>
                    <w:pStyle w:val="Default"/>
                    <w:framePr w:hSpace="180" w:wrap="around" w:vAnchor="text" w:hAnchor="margin" w:y="145"/>
                    <w:spacing w:before="60" w:after="60"/>
                    <w:jc w:val="center"/>
                    <w:rPr>
                      <w:sz w:val="22"/>
                      <w:szCs w:val="22"/>
                    </w:rPr>
                  </w:pPr>
                </w:p>
                <w:p w14:paraId="62417F2D" w14:textId="77777777" w:rsidR="00FC2019" w:rsidRPr="00400204" w:rsidRDefault="00FC2019" w:rsidP="00A74117">
                  <w:pPr>
                    <w:pStyle w:val="Default"/>
                    <w:framePr w:hSpace="180" w:wrap="around" w:vAnchor="text" w:hAnchor="margin" w:y="145"/>
                    <w:spacing w:before="60" w:after="60"/>
                    <w:jc w:val="center"/>
                    <w:rPr>
                      <w:color w:val="auto"/>
                      <w:sz w:val="22"/>
                      <w:szCs w:val="22"/>
                    </w:rPr>
                  </w:pPr>
                  <w:r w:rsidRPr="00400204">
                    <w:rPr>
                      <w:sz w:val="22"/>
                      <w:szCs w:val="22"/>
                    </w:rPr>
                    <w:t xml:space="preserve">7.1 </w:t>
                  </w:r>
                  <w:r w:rsidRPr="00400204">
                    <w:rPr>
                      <w:color w:val="auto"/>
                      <w:sz w:val="22"/>
                      <w:szCs w:val="22"/>
                    </w:rPr>
                    <w:t>Mt CO</w:t>
                  </w:r>
                  <w:r w:rsidRPr="00400204">
                    <w:rPr>
                      <w:color w:val="auto"/>
                      <w:sz w:val="22"/>
                      <w:szCs w:val="22"/>
                      <w:vertAlign w:val="subscript"/>
                    </w:rPr>
                    <w:t>2</w:t>
                  </w:r>
                  <w:r w:rsidRPr="00400204">
                    <w:rPr>
                      <w:color w:val="auto"/>
                      <w:sz w:val="22"/>
                      <w:szCs w:val="22"/>
                    </w:rPr>
                    <w:t>e</w:t>
                  </w:r>
                </w:p>
                <w:p w14:paraId="05B8D2F1" w14:textId="77777777" w:rsidR="00FC2019" w:rsidRPr="00400204" w:rsidRDefault="00FC2019" w:rsidP="00A74117">
                  <w:pPr>
                    <w:pStyle w:val="Default"/>
                    <w:framePr w:hSpace="180" w:wrap="around" w:vAnchor="text" w:hAnchor="margin" w:y="145"/>
                    <w:spacing w:before="60" w:after="60"/>
                    <w:jc w:val="center"/>
                    <w:rPr>
                      <w:sz w:val="22"/>
                      <w:szCs w:val="22"/>
                    </w:rPr>
                  </w:pPr>
                  <w:r w:rsidRPr="00400204">
                    <w:rPr>
                      <w:sz w:val="22"/>
                      <w:szCs w:val="22"/>
                    </w:rPr>
                    <w:t xml:space="preserve">0.7 </w:t>
                  </w:r>
                  <w:r w:rsidRPr="00400204">
                    <w:rPr>
                      <w:color w:val="auto"/>
                      <w:sz w:val="22"/>
                      <w:szCs w:val="22"/>
                    </w:rPr>
                    <w:t>Mt CO</w:t>
                  </w:r>
                  <w:r w:rsidRPr="00400204">
                    <w:rPr>
                      <w:color w:val="auto"/>
                      <w:sz w:val="22"/>
                      <w:szCs w:val="22"/>
                      <w:vertAlign w:val="subscript"/>
                    </w:rPr>
                    <w:t>2</w:t>
                  </w:r>
                  <w:r w:rsidRPr="00400204">
                    <w:rPr>
                      <w:color w:val="auto"/>
                      <w:sz w:val="22"/>
                      <w:szCs w:val="22"/>
                    </w:rPr>
                    <w:t>e (8.6%)</w:t>
                  </w:r>
                </w:p>
              </w:tc>
              <w:tc>
                <w:tcPr>
                  <w:tcW w:w="1518" w:type="dxa"/>
                  <w:tcBorders>
                    <w:right w:val="single" w:sz="12" w:space="0" w:color="auto"/>
                  </w:tcBorders>
                  <w:tcMar>
                    <w:top w:w="0" w:type="dxa"/>
                    <w:left w:w="108" w:type="dxa"/>
                    <w:bottom w:w="0" w:type="dxa"/>
                    <w:right w:w="108" w:type="dxa"/>
                  </w:tcMar>
                </w:tcPr>
                <w:p w14:paraId="1E81291E" w14:textId="77777777" w:rsidR="00FC2019" w:rsidRPr="00400204" w:rsidRDefault="00FC2019" w:rsidP="00A74117">
                  <w:pPr>
                    <w:pStyle w:val="Default"/>
                    <w:framePr w:hSpace="180" w:wrap="around" w:vAnchor="text" w:hAnchor="margin" w:y="145"/>
                    <w:spacing w:before="60" w:after="60"/>
                    <w:jc w:val="center"/>
                    <w:rPr>
                      <w:sz w:val="22"/>
                      <w:szCs w:val="22"/>
                    </w:rPr>
                  </w:pPr>
                </w:p>
                <w:p w14:paraId="5C1314E6" w14:textId="77777777" w:rsidR="00FC2019" w:rsidRPr="00400204" w:rsidRDefault="00FC2019" w:rsidP="00A74117">
                  <w:pPr>
                    <w:pStyle w:val="Default"/>
                    <w:framePr w:hSpace="180" w:wrap="around" w:vAnchor="text" w:hAnchor="margin" w:y="145"/>
                    <w:spacing w:before="60" w:after="60"/>
                    <w:jc w:val="center"/>
                    <w:rPr>
                      <w:color w:val="auto"/>
                      <w:sz w:val="22"/>
                      <w:szCs w:val="22"/>
                    </w:rPr>
                  </w:pPr>
                  <w:r w:rsidRPr="00400204">
                    <w:rPr>
                      <w:sz w:val="22"/>
                      <w:szCs w:val="22"/>
                    </w:rPr>
                    <w:t xml:space="preserve">6.6 </w:t>
                  </w:r>
                  <w:r w:rsidRPr="00400204">
                    <w:rPr>
                      <w:color w:val="auto"/>
                      <w:sz w:val="22"/>
                      <w:szCs w:val="22"/>
                    </w:rPr>
                    <w:t>Mt CO</w:t>
                  </w:r>
                  <w:r w:rsidRPr="00400204">
                    <w:rPr>
                      <w:color w:val="auto"/>
                      <w:sz w:val="22"/>
                      <w:szCs w:val="22"/>
                      <w:vertAlign w:val="subscript"/>
                    </w:rPr>
                    <w:t>2</w:t>
                  </w:r>
                  <w:r w:rsidRPr="00400204">
                    <w:rPr>
                      <w:color w:val="auto"/>
                      <w:sz w:val="22"/>
                      <w:szCs w:val="22"/>
                    </w:rPr>
                    <w:t>e</w:t>
                  </w:r>
                </w:p>
                <w:p w14:paraId="6315B3D0" w14:textId="77777777" w:rsidR="00FC2019" w:rsidRPr="00400204" w:rsidRDefault="00FC2019" w:rsidP="00A74117">
                  <w:pPr>
                    <w:pStyle w:val="Default"/>
                    <w:framePr w:hSpace="180" w:wrap="around" w:vAnchor="text" w:hAnchor="margin" w:y="145"/>
                    <w:spacing w:before="60" w:after="60"/>
                    <w:jc w:val="center"/>
                    <w:rPr>
                      <w:sz w:val="22"/>
                      <w:szCs w:val="22"/>
                    </w:rPr>
                  </w:pPr>
                  <w:r w:rsidRPr="00400204">
                    <w:rPr>
                      <w:sz w:val="22"/>
                      <w:szCs w:val="22"/>
                    </w:rPr>
                    <w:t xml:space="preserve">1.1 </w:t>
                  </w:r>
                  <w:r w:rsidRPr="00400204">
                    <w:rPr>
                      <w:color w:val="auto"/>
                      <w:sz w:val="22"/>
                      <w:szCs w:val="22"/>
                    </w:rPr>
                    <w:t>Mt CO</w:t>
                  </w:r>
                  <w:r w:rsidRPr="00400204">
                    <w:rPr>
                      <w:color w:val="auto"/>
                      <w:sz w:val="22"/>
                      <w:szCs w:val="22"/>
                      <w:vertAlign w:val="subscript"/>
                    </w:rPr>
                    <w:t>2</w:t>
                  </w:r>
                  <w:r w:rsidRPr="00400204">
                    <w:rPr>
                      <w:color w:val="auto"/>
                      <w:sz w:val="22"/>
                      <w:szCs w:val="22"/>
                    </w:rPr>
                    <w:t>e (14.2%)</w:t>
                  </w:r>
                </w:p>
              </w:tc>
            </w:tr>
            <w:tr w:rsidR="00FC2019" w14:paraId="43070609" w14:textId="77777777" w:rsidTr="001B5D5F">
              <w:tc>
                <w:tcPr>
                  <w:tcW w:w="2700" w:type="dxa"/>
                  <w:tcBorders>
                    <w:left w:val="single" w:sz="12" w:space="0" w:color="auto"/>
                  </w:tcBorders>
                  <w:tcMar>
                    <w:top w:w="0" w:type="dxa"/>
                    <w:left w:w="108" w:type="dxa"/>
                    <w:bottom w:w="0" w:type="dxa"/>
                    <w:right w:w="108" w:type="dxa"/>
                  </w:tcMar>
                </w:tcPr>
                <w:p w14:paraId="641959C8" w14:textId="77777777" w:rsidR="00FC2019" w:rsidRDefault="00FC2019" w:rsidP="00A74117">
                  <w:pPr>
                    <w:pStyle w:val="Default"/>
                    <w:framePr w:hSpace="180" w:wrap="around" w:vAnchor="text" w:hAnchor="margin" w:y="145"/>
                    <w:adjustRightInd/>
                    <w:spacing w:before="60" w:after="60"/>
                    <w:rPr>
                      <w:b/>
                      <w:bCs/>
                      <w:color w:val="auto"/>
                      <w:sz w:val="22"/>
                      <w:szCs w:val="22"/>
                      <w:lang w:val="en-US"/>
                    </w:rPr>
                  </w:pPr>
                  <w:r w:rsidRPr="003C2481">
                    <w:rPr>
                      <w:b/>
                      <w:bCs/>
                      <w:color w:val="auto"/>
                      <w:sz w:val="22"/>
                      <w:szCs w:val="22"/>
                      <w:lang w:val="en-US"/>
                    </w:rPr>
                    <w:t>F-gase</w:t>
                  </w:r>
                  <w:r>
                    <w:rPr>
                      <w:b/>
                      <w:bCs/>
                      <w:color w:val="auto"/>
                      <w:sz w:val="22"/>
                      <w:szCs w:val="22"/>
                      <w:lang w:val="en-US"/>
                    </w:rPr>
                    <w:t>s</w:t>
                  </w:r>
                </w:p>
                <w:p w14:paraId="3B9640E6" w14:textId="77777777" w:rsidR="00FC2019" w:rsidRPr="00400204" w:rsidRDefault="00FC2019" w:rsidP="00A74117">
                  <w:pPr>
                    <w:pStyle w:val="Default"/>
                    <w:framePr w:hSpace="180" w:wrap="around" w:vAnchor="text" w:hAnchor="margin" w:y="145"/>
                    <w:adjustRightInd/>
                    <w:spacing w:before="60" w:after="60"/>
                    <w:ind w:firstLine="337"/>
                    <w:rPr>
                      <w:color w:val="auto"/>
                      <w:sz w:val="22"/>
                      <w:szCs w:val="22"/>
                      <w:lang w:val="en-US"/>
                    </w:rPr>
                  </w:pPr>
                  <w:r w:rsidRPr="00400204">
                    <w:rPr>
                      <w:color w:val="auto"/>
                      <w:sz w:val="22"/>
                      <w:szCs w:val="22"/>
                      <w:lang w:val="en-US"/>
                    </w:rPr>
                    <w:t>Annual average</w:t>
                  </w:r>
                </w:p>
                <w:p w14:paraId="0E4478F8" w14:textId="77777777" w:rsidR="00FC2019" w:rsidRPr="003C2481" w:rsidRDefault="00FC2019" w:rsidP="00A74117">
                  <w:pPr>
                    <w:pStyle w:val="Default"/>
                    <w:framePr w:hSpace="180" w:wrap="around" w:vAnchor="text" w:hAnchor="margin" w:y="145"/>
                    <w:adjustRightInd/>
                    <w:spacing w:before="60" w:after="60"/>
                    <w:ind w:firstLine="337"/>
                    <w:rPr>
                      <w:b/>
                      <w:bCs/>
                      <w:color w:val="auto"/>
                      <w:sz w:val="22"/>
                      <w:szCs w:val="22"/>
                      <w:lang w:val="en-US"/>
                    </w:rPr>
                  </w:pPr>
                  <w:r>
                    <w:rPr>
                      <w:color w:val="auto"/>
                      <w:sz w:val="22"/>
                      <w:szCs w:val="22"/>
                      <w:lang w:val="en-US"/>
                    </w:rPr>
                    <w:t>Reduction from 2018</w:t>
                  </w:r>
                </w:p>
              </w:tc>
              <w:tc>
                <w:tcPr>
                  <w:tcW w:w="1517" w:type="dxa"/>
                </w:tcPr>
                <w:p w14:paraId="73E18B85" w14:textId="77777777" w:rsidR="00FC2019" w:rsidRPr="00400204" w:rsidRDefault="00FC2019" w:rsidP="00A74117">
                  <w:pPr>
                    <w:pStyle w:val="Default"/>
                    <w:framePr w:hSpace="180" w:wrap="around" w:vAnchor="text" w:hAnchor="margin" w:y="145"/>
                    <w:spacing w:before="60" w:after="60"/>
                    <w:jc w:val="center"/>
                    <w:rPr>
                      <w:sz w:val="22"/>
                      <w:szCs w:val="22"/>
                    </w:rPr>
                  </w:pPr>
                </w:p>
                <w:p w14:paraId="2EB26DD2" w14:textId="77777777" w:rsidR="00FC2019" w:rsidRPr="00400204" w:rsidRDefault="00FC2019" w:rsidP="00A74117">
                  <w:pPr>
                    <w:pStyle w:val="Default"/>
                    <w:framePr w:hSpace="180" w:wrap="around" w:vAnchor="text" w:hAnchor="margin" w:y="145"/>
                    <w:spacing w:before="60" w:after="60"/>
                    <w:jc w:val="center"/>
                    <w:rPr>
                      <w:color w:val="auto"/>
                      <w:sz w:val="22"/>
                      <w:szCs w:val="22"/>
                      <w:lang w:val="en-US"/>
                    </w:rPr>
                  </w:pPr>
                  <w:r w:rsidRPr="00400204">
                    <w:rPr>
                      <w:color w:val="auto"/>
                      <w:sz w:val="22"/>
                      <w:szCs w:val="22"/>
                    </w:rPr>
                    <w:t>1.9 Mt CO</w:t>
                  </w:r>
                  <w:r w:rsidRPr="00400204">
                    <w:rPr>
                      <w:color w:val="auto"/>
                      <w:sz w:val="22"/>
                      <w:szCs w:val="22"/>
                      <w:vertAlign w:val="subscript"/>
                    </w:rPr>
                    <w:t>2</w:t>
                  </w:r>
                  <w:r w:rsidRPr="00400204">
                    <w:rPr>
                      <w:color w:val="auto"/>
                      <w:sz w:val="22"/>
                      <w:szCs w:val="22"/>
                    </w:rPr>
                    <w:t>e</w:t>
                  </w:r>
                </w:p>
              </w:tc>
              <w:tc>
                <w:tcPr>
                  <w:tcW w:w="1518" w:type="dxa"/>
                  <w:tcMar>
                    <w:top w:w="0" w:type="dxa"/>
                    <w:left w:w="108" w:type="dxa"/>
                    <w:bottom w:w="0" w:type="dxa"/>
                    <w:right w:w="108" w:type="dxa"/>
                  </w:tcMar>
                </w:tcPr>
                <w:p w14:paraId="0E2BD88D" w14:textId="77777777" w:rsidR="00FC2019" w:rsidRPr="00400204" w:rsidRDefault="00FC2019" w:rsidP="00A74117">
                  <w:pPr>
                    <w:pStyle w:val="Default"/>
                    <w:framePr w:hSpace="180" w:wrap="around" w:vAnchor="text" w:hAnchor="margin" w:y="145"/>
                    <w:spacing w:before="60" w:after="60"/>
                    <w:jc w:val="center"/>
                    <w:rPr>
                      <w:sz w:val="22"/>
                      <w:szCs w:val="22"/>
                    </w:rPr>
                  </w:pPr>
                </w:p>
                <w:p w14:paraId="431F42BC" w14:textId="77777777" w:rsidR="00FC2019" w:rsidRPr="00400204" w:rsidRDefault="00FC2019" w:rsidP="00A74117">
                  <w:pPr>
                    <w:pStyle w:val="Default"/>
                    <w:framePr w:hSpace="180" w:wrap="around" w:vAnchor="text" w:hAnchor="margin" w:y="145"/>
                    <w:spacing w:before="60" w:after="60"/>
                    <w:jc w:val="center"/>
                    <w:rPr>
                      <w:color w:val="auto"/>
                      <w:sz w:val="22"/>
                      <w:szCs w:val="22"/>
                    </w:rPr>
                  </w:pPr>
                  <w:r w:rsidRPr="00400204">
                    <w:rPr>
                      <w:sz w:val="22"/>
                      <w:szCs w:val="22"/>
                    </w:rPr>
                    <w:t xml:space="preserve">1.8 </w:t>
                  </w:r>
                  <w:r w:rsidRPr="00400204">
                    <w:rPr>
                      <w:color w:val="auto"/>
                      <w:sz w:val="22"/>
                      <w:szCs w:val="22"/>
                    </w:rPr>
                    <w:t>Mt CO</w:t>
                  </w:r>
                  <w:r w:rsidRPr="00400204">
                    <w:rPr>
                      <w:color w:val="auto"/>
                      <w:sz w:val="22"/>
                      <w:szCs w:val="22"/>
                      <w:vertAlign w:val="subscript"/>
                    </w:rPr>
                    <w:t>2</w:t>
                  </w:r>
                  <w:r w:rsidRPr="00400204">
                    <w:rPr>
                      <w:color w:val="auto"/>
                      <w:sz w:val="22"/>
                      <w:szCs w:val="22"/>
                    </w:rPr>
                    <w:t>e</w:t>
                  </w:r>
                </w:p>
                <w:p w14:paraId="214FF1E7" w14:textId="77777777" w:rsidR="00FC2019" w:rsidRPr="00400204" w:rsidRDefault="00FC2019" w:rsidP="00A74117">
                  <w:pPr>
                    <w:pStyle w:val="Default"/>
                    <w:framePr w:hSpace="180" w:wrap="around" w:vAnchor="text" w:hAnchor="margin" w:y="145"/>
                    <w:spacing w:before="60" w:after="60"/>
                    <w:jc w:val="center"/>
                    <w:rPr>
                      <w:sz w:val="22"/>
                      <w:szCs w:val="22"/>
                    </w:rPr>
                  </w:pPr>
                  <w:r w:rsidRPr="00400204">
                    <w:rPr>
                      <w:sz w:val="22"/>
                      <w:szCs w:val="22"/>
                    </w:rPr>
                    <w:t xml:space="preserve">0.1 </w:t>
                  </w:r>
                  <w:r w:rsidRPr="00400204">
                    <w:rPr>
                      <w:color w:val="auto"/>
                      <w:sz w:val="22"/>
                      <w:szCs w:val="22"/>
                    </w:rPr>
                    <w:t>Mt CO</w:t>
                  </w:r>
                  <w:r w:rsidRPr="00400204">
                    <w:rPr>
                      <w:color w:val="auto"/>
                      <w:sz w:val="22"/>
                      <w:szCs w:val="22"/>
                      <w:vertAlign w:val="subscript"/>
                    </w:rPr>
                    <w:t>2</w:t>
                  </w:r>
                  <w:r w:rsidRPr="00400204">
                    <w:rPr>
                      <w:color w:val="auto"/>
                      <w:sz w:val="22"/>
                      <w:szCs w:val="22"/>
                    </w:rPr>
                    <w:t>e (3.5%)</w:t>
                  </w:r>
                </w:p>
              </w:tc>
              <w:tc>
                <w:tcPr>
                  <w:tcW w:w="1517" w:type="dxa"/>
                  <w:tcMar>
                    <w:top w:w="0" w:type="dxa"/>
                    <w:left w:w="108" w:type="dxa"/>
                    <w:bottom w:w="0" w:type="dxa"/>
                    <w:right w:w="108" w:type="dxa"/>
                  </w:tcMar>
                </w:tcPr>
                <w:p w14:paraId="12FFE8F6" w14:textId="77777777" w:rsidR="00FC2019" w:rsidRPr="00400204" w:rsidRDefault="00FC2019" w:rsidP="00A74117">
                  <w:pPr>
                    <w:pStyle w:val="Default"/>
                    <w:framePr w:hSpace="180" w:wrap="around" w:vAnchor="text" w:hAnchor="margin" w:y="145"/>
                    <w:spacing w:before="60" w:after="60"/>
                    <w:jc w:val="center"/>
                    <w:rPr>
                      <w:sz w:val="22"/>
                      <w:szCs w:val="22"/>
                    </w:rPr>
                  </w:pPr>
                </w:p>
                <w:p w14:paraId="7E98E820" w14:textId="77777777" w:rsidR="00FC2019" w:rsidRPr="00400204" w:rsidRDefault="00FC2019" w:rsidP="00A74117">
                  <w:pPr>
                    <w:pStyle w:val="Default"/>
                    <w:framePr w:hSpace="180" w:wrap="around" w:vAnchor="text" w:hAnchor="margin" w:y="145"/>
                    <w:spacing w:before="60" w:after="60"/>
                    <w:jc w:val="center"/>
                    <w:rPr>
                      <w:color w:val="auto"/>
                      <w:sz w:val="22"/>
                      <w:szCs w:val="22"/>
                    </w:rPr>
                  </w:pPr>
                  <w:r w:rsidRPr="00400204">
                    <w:rPr>
                      <w:sz w:val="22"/>
                      <w:szCs w:val="22"/>
                    </w:rPr>
                    <w:t xml:space="preserve">1.6 </w:t>
                  </w:r>
                  <w:r w:rsidRPr="00400204">
                    <w:rPr>
                      <w:color w:val="auto"/>
                      <w:sz w:val="22"/>
                      <w:szCs w:val="22"/>
                    </w:rPr>
                    <w:t>Mt CO</w:t>
                  </w:r>
                  <w:r w:rsidRPr="00400204">
                    <w:rPr>
                      <w:color w:val="auto"/>
                      <w:sz w:val="22"/>
                      <w:szCs w:val="22"/>
                      <w:vertAlign w:val="subscript"/>
                    </w:rPr>
                    <w:t>2</w:t>
                  </w:r>
                  <w:r w:rsidRPr="00400204">
                    <w:rPr>
                      <w:color w:val="auto"/>
                      <w:sz w:val="22"/>
                      <w:szCs w:val="22"/>
                    </w:rPr>
                    <w:t>e</w:t>
                  </w:r>
                </w:p>
                <w:p w14:paraId="4B0E0DC2" w14:textId="77777777" w:rsidR="00FC2019" w:rsidRPr="00400204" w:rsidRDefault="00FC2019" w:rsidP="00A74117">
                  <w:pPr>
                    <w:pStyle w:val="Default"/>
                    <w:framePr w:hSpace="180" w:wrap="around" w:vAnchor="text" w:hAnchor="margin" w:y="145"/>
                    <w:spacing w:before="60" w:after="60"/>
                    <w:jc w:val="center"/>
                    <w:rPr>
                      <w:sz w:val="22"/>
                      <w:szCs w:val="22"/>
                    </w:rPr>
                  </w:pPr>
                  <w:r w:rsidRPr="00400204">
                    <w:rPr>
                      <w:sz w:val="22"/>
                      <w:szCs w:val="22"/>
                    </w:rPr>
                    <w:t xml:space="preserve">0.3 </w:t>
                  </w:r>
                  <w:r w:rsidRPr="00400204">
                    <w:rPr>
                      <w:color w:val="auto"/>
                      <w:sz w:val="22"/>
                      <w:szCs w:val="22"/>
                    </w:rPr>
                    <w:t>Mt CO</w:t>
                  </w:r>
                  <w:r w:rsidRPr="00400204">
                    <w:rPr>
                      <w:color w:val="auto"/>
                      <w:sz w:val="22"/>
                      <w:szCs w:val="22"/>
                      <w:vertAlign w:val="subscript"/>
                    </w:rPr>
                    <w:t>2</w:t>
                  </w:r>
                  <w:r w:rsidRPr="00400204">
                    <w:rPr>
                      <w:color w:val="auto"/>
                      <w:sz w:val="22"/>
                      <w:szCs w:val="22"/>
                    </w:rPr>
                    <w:t>e (15.3%)</w:t>
                  </w:r>
                </w:p>
              </w:tc>
              <w:tc>
                <w:tcPr>
                  <w:tcW w:w="1518" w:type="dxa"/>
                  <w:tcBorders>
                    <w:right w:val="single" w:sz="12" w:space="0" w:color="auto"/>
                  </w:tcBorders>
                  <w:tcMar>
                    <w:top w:w="0" w:type="dxa"/>
                    <w:left w:w="108" w:type="dxa"/>
                    <w:bottom w:w="0" w:type="dxa"/>
                    <w:right w:w="108" w:type="dxa"/>
                  </w:tcMar>
                </w:tcPr>
                <w:p w14:paraId="7532A84F" w14:textId="77777777" w:rsidR="00FC2019" w:rsidRPr="00400204" w:rsidRDefault="00FC2019" w:rsidP="00A74117">
                  <w:pPr>
                    <w:pStyle w:val="Default"/>
                    <w:framePr w:hSpace="180" w:wrap="around" w:vAnchor="text" w:hAnchor="margin" w:y="145"/>
                    <w:spacing w:before="60" w:after="60"/>
                    <w:jc w:val="center"/>
                    <w:rPr>
                      <w:sz w:val="22"/>
                      <w:szCs w:val="22"/>
                    </w:rPr>
                  </w:pPr>
                </w:p>
                <w:p w14:paraId="336FE0ED" w14:textId="77777777" w:rsidR="00FC2019" w:rsidRPr="00400204" w:rsidRDefault="00FC2019" w:rsidP="00A74117">
                  <w:pPr>
                    <w:pStyle w:val="Default"/>
                    <w:framePr w:hSpace="180" w:wrap="around" w:vAnchor="text" w:hAnchor="margin" w:y="145"/>
                    <w:spacing w:before="60" w:after="60"/>
                    <w:jc w:val="center"/>
                    <w:rPr>
                      <w:color w:val="auto"/>
                      <w:sz w:val="22"/>
                      <w:szCs w:val="22"/>
                    </w:rPr>
                  </w:pPr>
                  <w:r w:rsidRPr="00400204">
                    <w:rPr>
                      <w:sz w:val="22"/>
                      <w:szCs w:val="22"/>
                    </w:rPr>
                    <w:t xml:space="preserve">1.3 </w:t>
                  </w:r>
                  <w:r w:rsidRPr="00400204">
                    <w:rPr>
                      <w:color w:val="auto"/>
                      <w:sz w:val="22"/>
                      <w:szCs w:val="22"/>
                    </w:rPr>
                    <w:t>Mt CO</w:t>
                  </w:r>
                  <w:r w:rsidRPr="00400204">
                    <w:rPr>
                      <w:color w:val="auto"/>
                      <w:sz w:val="22"/>
                      <w:szCs w:val="22"/>
                      <w:vertAlign w:val="subscript"/>
                    </w:rPr>
                    <w:t>2</w:t>
                  </w:r>
                  <w:r w:rsidRPr="00400204">
                    <w:rPr>
                      <w:color w:val="auto"/>
                      <w:sz w:val="22"/>
                      <w:szCs w:val="22"/>
                    </w:rPr>
                    <w:t>e</w:t>
                  </w:r>
                </w:p>
                <w:p w14:paraId="6614B23F" w14:textId="77777777" w:rsidR="00FC2019" w:rsidRPr="00400204" w:rsidRDefault="00FC2019" w:rsidP="00A74117">
                  <w:pPr>
                    <w:pStyle w:val="Default"/>
                    <w:framePr w:hSpace="180" w:wrap="around" w:vAnchor="text" w:hAnchor="margin" w:y="145"/>
                    <w:spacing w:before="60" w:after="60"/>
                    <w:jc w:val="center"/>
                    <w:rPr>
                      <w:sz w:val="22"/>
                      <w:szCs w:val="22"/>
                    </w:rPr>
                  </w:pPr>
                  <w:r w:rsidRPr="00400204">
                    <w:rPr>
                      <w:sz w:val="22"/>
                      <w:szCs w:val="22"/>
                    </w:rPr>
                    <w:t xml:space="preserve">0.6 </w:t>
                  </w:r>
                  <w:r w:rsidRPr="00400204">
                    <w:rPr>
                      <w:color w:val="auto"/>
                      <w:sz w:val="22"/>
                      <w:szCs w:val="22"/>
                    </w:rPr>
                    <w:t>Mt CO</w:t>
                  </w:r>
                  <w:r w:rsidRPr="00400204">
                    <w:rPr>
                      <w:color w:val="auto"/>
                      <w:sz w:val="22"/>
                      <w:szCs w:val="22"/>
                      <w:vertAlign w:val="subscript"/>
                    </w:rPr>
                    <w:t>2</w:t>
                  </w:r>
                  <w:r w:rsidRPr="00400204">
                    <w:rPr>
                      <w:color w:val="auto"/>
                      <w:sz w:val="22"/>
                      <w:szCs w:val="22"/>
                    </w:rPr>
                    <w:t>e (29.7%)</w:t>
                  </w:r>
                </w:p>
              </w:tc>
            </w:tr>
            <w:tr w:rsidR="00FC2019" w14:paraId="2AEAA076" w14:textId="77777777" w:rsidTr="001B5D5F">
              <w:tc>
                <w:tcPr>
                  <w:tcW w:w="2700" w:type="dxa"/>
                  <w:tcBorders>
                    <w:left w:val="single" w:sz="12" w:space="0" w:color="auto"/>
                  </w:tcBorders>
                  <w:tcMar>
                    <w:top w:w="0" w:type="dxa"/>
                    <w:left w:w="108" w:type="dxa"/>
                    <w:bottom w:w="0" w:type="dxa"/>
                    <w:right w:w="108" w:type="dxa"/>
                  </w:tcMar>
                  <w:hideMark/>
                </w:tcPr>
                <w:p w14:paraId="7F7F575D" w14:textId="77777777" w:rsidR="00FC2019" w:rsidRDefault="00FC2019" w:rsidP="00A74117">
                  <w:pPr>
                    <w:pStyle w:val="Default"/>
                    <w:framePr w:hSpace="180" w:wrap="around" w:vAnchor="text" w:hAnchor="margin" w:y="145"/>
                    <w:adjustRightInd/>
                    <w:spacing w:before="60" w:after="60"/>
                    <w:rPr>
                      <w:b/>
                      <w:bCs/>
                      <w:color w:val="auto"/>
                      <w:sz w:val="22"/>
                      <w:szCs w:val="22"/>
                      <w:lang w:val="en-US"/>
                    </w:rPr>
                  </w:pPr>
                  <w:r>
                    <w:rPr>
                      <w:b/>
                      <w:bCs/>
                      <w:color w:val="auto"/>
                      <w:sz w:val="22"/>
                      <w:szCs w:val="22"/>
                      <w:lang w:val="en-US"/>
                    </w:rPr>
                    <w:t>Non-b</w:t>
                  </w:r>
                  <w:r w:rsidRPr="00811600">
                    <w:rPr>
                      <w:b/>
                      <w:bCs/>
                      <w:color w:val="auto"/>
                      <w:sz w:val="22"/>
                      <w:szCs w:val="22"/>
                      <w:lang w:val="en-US"/>
                    </w:rPr>
                    <w:t>iogenic methane</w:t>
                  </w:r>
                </w:p>
                <w:p w14:paraId="534791A8" w14:textId="77777777" w:rsidR="00FC2019" w:rsidRPr="00400204" w:rsidRDefault="00FC2019" w:rsidP="00A74117">
                  <w:pPr>
                    <w:pStyle w:val="Default"/>
                    <w:framePr w:hSpace="180" w:wrap="around" w:vAnchor="text" w:hAnchor="margin" w:y="145"/>
                    <w:adjustRightInd/>
                    <w:spacing w:before="60" w:after="60"/>
                    <w:ind w:firstLine="337"/>
                    <w:rPr>
                      <w:color w:val="auto"/>
                      <w:sz w:val="22"/>
                      <w:szCs w:val="22"/>
                      <w:lang w:val="en-US"/>
                    </w:rPr>
                  </w:pPr>
                  <w:r w:rsidRPr="00400204">
                    <w:rPr>
                      <w:color w:val="auto"/>
                      <w:sz w:val="22"/>
                      <w:szCs w:val="22"/>
                      <w:lang w:val="en-US"/>
                    </w:rPr>
                    <w:t>Annual average</w:t>
                  </w:r>
                </w:p>
                <w:p w14:paraId="7BABB212" w14:textId="77777777" w:rsidR="00FC2019" w:rsidRPr="00811600" w:rsidRDefault="00FC2019" w:rsidP="00A74117">
                  <w:pPr>
                    <w:pStyle w:val="Default"/>
                    <w:framePr w:hSpace="180" w:wrap="around" w:vAnchor="text" w:hAnchor="margin" w:y="145"/>
                    <w:adjustRightInd/>
                    <w:spacing w:before="60" w:after="60"/>
                    <w:ind w:firstLine="337"/>
                    <w:rPr>
                      <w:b/>
                      <w:bCs/>
                      <w:color w:val="auto"/>
                      <w:sz w:val="22"/>
                      <w:szCs w:val="22"/>
                      <w:lang w:val="en-US"/>
                    </w:rPr>
                  </w:pPr>
                  <w:r>
                    <w:rPr>
                      <w:color w:val="auto"/>
                      <w:sz w:val="22"/>
                      <w:szCs w:val="22"/>
                      <w:lang w:val="en-US"/>
                    </w:rPr>
                    <w:t>Reduction from 2018</w:t>
                  </w:r>
                </w:p>
              </w:tc>
              <w:tc>
                <w:tcPr>
                  <w:tcW w:w="1517" w:type="dxa"/>
                </w:tcPr>
                <w:p w14:paraId="04DB46CB" w14:textId="77777777" w:rsidR="00FC2019" w:rsidRPr="00780722" w:rsidRDefault="00FC2019" w:rsidP="00A74117">
                  <w:pPr>
                    <w:pStyle w:val="Default"/>
                    <w:framePr w:hSpace="180" w:wrap="around" w:vAnchor="text" w:hAnchor="margin" w:y="145"/>
                    <w:spacing w:before="60" w:after="60"/>
                    <w:jc w:val="center"/>
                    <w:rPr>
                      <w:sz w:val="22"/>
                      <w:szCs w:val="22"/>
                    </w:rPr>
                  </w:pPr>
                </w:p>
                <w:p w14:paraId="6B377CBC" w14:textId="77777777" w:rsidR="00FC2019" w:rsidRPr="00780722" w:rsidRDefault="00FC2019" w:rsidP="00A74117">
                  <w:pPr>
                    <w:pStyle w:val="Default"/>
                    <w:framePr w:hSpace="180" w:wrap="around" w:vAnchor="text" w:hAnchor="margin" w:y="145"/>
                    <w:spacing w:before="60" w:after="60"/>
                    <w:jc w:val="center"/>
                    <w:rPr>
                      <w:color w:val="auto"/>
                      <w:sz w:val="22"/>
                      <w:szCs w:val="22"/>
                      <w:lang w:val="en-US"/>
                    </w:rPr>
                  </w:pPr>
                  <w:r w:rsidRPr="00400204">
                    <w:rPr>
                      <w:sz w:val="22"/>
                      <w:szCs w:val="22"/>
                    </w:rPr>
                    <w:t>1.0</w:t>
                  </w:r>
                  <w:r w:rsidRPr="00780722">
                    <w:rPr>
                      <w:sz w:val="22"/>
                      <w:szCs w:val="22"/>
                    </w:rPr>
                    <w:t xml:space="preserve"> </w:t>
                  </w:r>
                  <w:r w:rsidRPr="00780722">
                    <w:rPr>
                      <w:sz w:val="22"/>
                      <w:szCs w:val="22"/>
                      <w:lang w:val="en-US"/>
                    </w:rPr>
                    <w:t>Mt CO</w:t>
                  </w:r>
                  <w:r w:rsidRPr="00780722">
                    <w:rPr>
                      <w:sz w:val="22"/>
                      <w:szCs w:val="22"/>
                      <w:vertAlign w:val="subscript"/>
                      <w:lang w:val="en-US"/>
                    </w:rPr>
                    <w:t>2</w:t>
                  </w:r>
                  <w:r w:rsidRPr="00780722">
                    <w:rPr>
                      <w:sz w:val="22"/>
                      <w:szCs w:val="22"/>
                      <w:lang w:val="en-US"/>
                    </w:rPr>
                    <w:t>e</w:t>
                  </w:r>
                </w:p>
              </w:tc>
              <w:tc>
                <w:tcPr>
                  <w:tcW w:w="1518" w:type="dxa"/>
                  <w:tcMar>
                    <w:top w:w="0" w:type="dxa"/>
                    <w:left w:w="108" w:type="dxa"/>
                    <w:bottom w:w="0" w:type="dxa"/>
                    <w:right w:w="108" w:type="dxa"/>
                  </w:tcMar>
                  <w:hideMark/>
                </w:tcPr>
                <w:p w14:paraId="4AB931D5" w14:textId="77777777" w:rsidR="00FC2019" w:rsidRPr="00780722" w:rsidRDefault="00FC2019" w:rsidP="00A74117">
                  <w:pPr>
                    <w:pStyle w:val="Default"/>
                    <w:framePr w:hSpace="180" w:wrap="around" w:vAnchor="text" w:hAnchor="margin" w:y="145"/>
                    <w:spacing w:before="60" w:after="60"/>
                    <w:jc w:val="center"/>
                    <w:rPr>
                      <w:sz w:val="22"/>
                      <w:szCs w:val="22"/>
                    </w:rPr>
                  </w:pPr>
                </w:p>
                <w:p w14:paraId="3DB983D5" w14:textId="77777777" w:rsidR="00FC2019" w:rsidRPr="00780722" w:rsidRDefault="00FC2019" w:rsidP="00A74117">
                  <w:pPr>
                    <w:pStyle w:val="Default"/>
                    <w:framePr w:hSpace="180" w:wrap="around" w:vAnchor="text" w:hAnchor="margin" w:y="145"/>
                    <w:spacing w:before="60" w:after="60"/>
                    <w:jc w:val="center"/>
                    <w:rPr>
                      <w:sz w:val="22"/>
                      <w:szCs w:val="22"/>
                      <w:vertAlign w:val="subscript"/>
                    </w:rPr>
                  </w:pPr>
                  <w:r w:rsidRPr="00400204">
                    <w:rPr>
                      <w:sz w:val="22"/>
                      <w:szCs w:val="22"/>
                    </w:rPr>
                    <w:t>0.8</w:t>
                  </w:r>
                  <w:r w:rsidRPr="00780722">
                    <w:rPr>
                      <w:sz w:val="22"/>
                      <w:szCs w:val="22"/>
                    </w:rPr>
                    <w:t xml:space="preserve"> </w:t>
                  </w:r>
                  <w:r w:rsidRPr="00780722">
                    <w:rPr>
                      <w:sz w:val="22"/>
                      <w:szCs w:val="22"/>
                      <w:lang w:val="en-US"/>
                    </w:rPr>
                    <w:t>Mt CO</w:t>
                  </w:r>
                  <w:r w:rsidRPr="00780722">
                    <w:rPr>
                      <w:sz w:val="22"/>
                      <w:szCs w:val="22"/>
                      <w:vertAlign w:val="subscript"/>
                      <w:lang w:val="en-US"/>
                    </w:rPr>
                    <w:t>2</w:t>
                  </w:r>
                  <w:r w:rsidRPr="00780722">
                    <w:rPr>
                      <w:sz w:val="22"/>
                      <w:szCs w:val="22"/>
                      <w:lang w:val="en-US"/>
                    </w:rPr>
                    <w:t>e</w:t>
                  </w:r>
                </w:p>
                <w:p w14:paraId="110358D9" w14:textId="77777777" w:rsidR="00FC2019" w:rsidRPr="00780722" w:rsidRDefault="00FC2019" w:rsidP="00A74117">
                  <w:pPr>
                    <w:pStyle w:val="Default"/>
                    <w:framePr w:hSpace="180" w:wrap="around" w:vAnchor="text" w:hAnchor="margin" w:y="145"/>
                    <w:spacing w:before="60" w:after="60"/>
                    <w:jc w:val="center"/>
                    <w:rPr>
                      <w:color w:val="auto"/>
                      <w:sz w:val="22"/>
                      <w:szCs w:val="22"/>
                      <w:lang w:val="en-US"/>
                    </w:rPr>
                  </w:pPr>
                  <w:r w:rsidRPr="00780722">
                    <w:rPr>
                      <w:sz w:val="22"/>
                      <w:szCs w:val="22"/>
                    </w:rPr>
                    <w:t>0</w:t>
                  </w:r>
                  <w:r w:rsidRPr="000976DF">
                    <w:rPr>
                      <w:sz w:val="22"/>
                      <w:szCs w:val="22"/>
                    </w:rPr>
                    <w:t>.</w:t>
                  </w:r>
                  <w:r w:rsidRPr="00400204">
                    <w:rPr>
                      <w:sz w:val="22"/>
                      <w:szCs w:val="22"/>
                    </w:rPr>
                    <w:t>2</w:t>
                  </w:r>
                  <w:r w:rsidRPr="00780722">
                    <w:rPr>
                      <w:sz w:val="22"/>
                      <w:szCs w:val="22"/>
                    </w:rPr>
                    <w:t xml:space="preserve"> </w:t>
                  </w:r>
                  <w:r w:rsidRPr="00780722">
                    <w:rPr>
                      <w:sz w:val="22"/>
                      <w:szCs w:val="22"/>
                      <w:lang w:val="en-US"/>
                    </w:rPr>
                    <w:t>Mt CO</w:t>
                  </w:r>
                  <w:r w:rsidRPr="00780722">
                    <w:rPr>
                      <w:sz w:val="22"/>
                      <w:szCs w:val="22"/>
                      <w:vertAlign w:val="subscript"/>
                      <w:lang w:val="en-US"/>
                    </w:rPr>
                    <w:t>2</w:t>
                  </w:r>
                  <w:r w:rsidRPr="00780722">
                    <w:rPr>
                      <w:sz w:val="22"/>
                      <w:szCs w:val="22"/>
                      <w:lang w:val="en-US"/>
                    </w:rPr>
                    <w:t>e</w:t>
                  </w:r>
                  <w:r w:rsidRPr="00400204">
                    <w:rPr>
                      <w:sz w:val="22"/>
                      <w:szCs w:val="22"/>
                    </w:rPr>
                    <w:t xml:space="preserve"> </w:t>
                  </w:r>
                  <w:r w:rsidRPr="00780722">
                    <w:rPr>
                      <w:sz w:val="22"/>
                      <w:szCs w:val="22"/>
                    </w:rPr>
                    <w:t>(8.0%)</w:t>
                  </w:r>
                </w:p>
              </w:tc>
              <w:tc>
                <w:tcPr>
                  <w:tcW w:w="1517" w:type="dxa"/>
                  <w:tcMar>
                    <w:top w:w="0" w:type="dxa"/>
                    <w:left w:w="108" w:type="dxa"/>
                    <w:bottom w:w="0" w:type="dxa"/>
                    <w:right w:w="108" w:type="dxa"/>
                  </w:tcMar>
                </w:tcPr>
                <w:p w14:paraId="487447D6" w14:textId="77777777" w:rsidR="00FC2019" w:rsidRPr="00780722" w:rsidRDefault="00FC2019" w:rsidP="00A74117">
                  <w:pPr>
                    <w:pStyle w:val="Default"/>
                    <w:framePr w:hSpace="180" w:wrap="around" w:vAnchor="text" w:hAnchor="margin" w:y="145"/>
                    <w:spacing w:before="60" w:after="60"/>
                    <w:jc w:val="center"/>
                    <w:rPr>
                      <w:sz w:val="22"/>
                      <w:szCs w:val="22"/>
                    </w:rPr>
                  </w:pPr>
                </w:p>
                <w:p w14:paraId="2FF4AFC4" w14:textId="77777777" w:rsidR="00FC2019" w:rsidRPr="00780722" w:rsidRDefault="00FC2019" w:rsidP="00A74117">
                  <w:pPr>
                    <w:pStyle w:val="Default"/>
                    <w:framePr w:hSpace="180" w:wrap="around" w:vAnchor="text" w:hAnchor="margin" w:y="145"/>
                    <w:spacing w:before="60" w:after="60"/>
                    <w:jc w:val="center"/>
                    <w:rPr>
                      <w:sz w:val="22"/>
                      <w:szCs w:val="22"/>
                      <w:vertAlign w:val="subscript"/>
                    </w:rPr>
                  </w:pPr>
                  <w:r w:rsidRPr="00400204">
                    <w:rPr>
                      <w:sz w:val="22"/>
                      <w:szCs w:val="22"/>
                    </w:rPr>
                    <w:t>0.6</w:t>
                  </w:r>
                  <w:r w:rsidRPr="00780722">
                    <w:rPr>
                      <w:sz w:val="22"/>
                      <w:szCs w:val="22"/>
                    </w:rPr>
                    <w:t xml:space="preserve"> </w:t>
                  </w:r>
                  <w:r w:rsidRPr="00780722">
                    <w:rPr>
                      <w:sz w:val="22"/>
                      <w:szCs w:val="22"/>
                      <w:lang w:val="en-US"/>
                    </w:rPr>
                    <w:t>Mt CO</w:t>
                  </w:r>
                  <w:r w:rsidRPr="00780722">
                    <w:rPr>
                      <w:sz w:val="22"/>
                      <w:szCs w:val="22"/>
                      <w:vertAlign w:val="subscript"/>
                      <w:lang w:val="en-US"/>
                    </w:rPr>
                    <w:t>2</w:t>
                  </w:r>
                  <w:r w:rsidRPr="00780722">
                    <w:rPr>
                      <w:sz w:val="22"/>
                      <w:szCs w:val="22"/>
                      <w:lang w:val="en-US"/>
                    </w:rPr>
                    <w:t>e</w:t>
                  </w:r>
                </w:p>
                <w:p w14:paraId="5907AF91" w14:textId="77777777" w:rsidR="00FC2019" w:rsidRPr="00780722" w:rsidRDefault="00FC2019" w:rsidP="00A74117">
                  <w:pPr>
                    <w:pStyle w:val="Default"/>
                    <w:framePr w:hSpace="180" w:wrap="around" w:vAnchor="text" w:hAnchor="margin" w:y="145"/>
                    <w:spacing w:before="60" w:after="60"/>
                    <w:jc w:val="center"/>
                    <w:rPr>
                      <w:sz w:val="22"/>
                      <w:szCs w:val="22"/>
                      <w:lang w:val="en-US"/>
                    </w:rPr>
                  </w:pPr>
                  <w:r w:rsidRPr="00780722">
                    <w:rPr>
                      <w:sz w:val="22"/>
                      <w:szCs w:val="22"/>
                    </w:rPr>
                    <w:t>0.</w:t>
                  </w:r>
                  <w:r w:rsidRPr="00400204">
                    <w:rPr>
                      <w:sz w:val="22"/>
                      <w:szCs w:val="22"/>
                    </w:rPr>
                    <w:t>4</w:t>
                  </w:r>
                  <w:r w:rsidRPr="00780722">
                    <w:rPr>
                      <w:sz w:val="22"/>
                      <w:szCs w:val="22"/>
                    </w:rPr>
                    <w:t xml:space="preserve"> </w:t>
                  </w:r>
                  <w:r w:rsidRPr="00780722">
                    <w:rPr>
                      <w:sz w:val="22"/>
                      <w:szCs w:val="22"/>
                      <w:lang w:val="en-US"/>
                    </w:rPr>
                    <w:t>Mt CO</w:t>
                  </w:r>
                  <w:r w:rsidRPr="00780722">
                    <w:rPr>
                      <w:sz w:val="22"/>
                      <w:szCs w:val="22"/>
                      <w:vertAlign w:val="subscript"/>
                      <w:lang w:val="en-US"/>
                    </w:rPr>
                    <w:t>2</w:t>
                  </w:r>
                  <w:r w:rsidRPr="00780722">
                    <w:rPr>
                      <w:sz w:val="22"/>
                      <w:szCs w:val="22"/>
                      <w:lang w:val="en-US"/>
                    </w:rPr>
                    <w:t>e</w:t>
                  </w:r>
                  <w:r w:rsidRPr="00400204">
                    <w:rPr>
                      <w:sz w:val="22"/>
                      <w:szCs w:val="22"/>
                    </w:rPr>
                    <w:t xml:space="preserve"> </w:t>
                  </w:r>
                  <w:r>
                    <w:rPr>
                      <w:sz w:val="22"/>
                      <w:szCs w:val="22"/>
                    </w:rPr>
                    <w:t>(</w:t>
                  </w:r>
                  <w:r w:rsidRPr="00400204">
                    <w:rPr>
                      <w:sz w:val="22"/>
                      <w:szCs w:val="22"/>
                    </w:rPr>
                    <w:t>39.0</w:t>
                  </w:r>
                  <w:r w:rsidRPr="00780722">
                    <w:rPr>
                      <w:sz w:val="22"/>
                      <w:szCs w:val="22"/>
                    </w:rPr>
                    <w:t>%)</w:t>
                  </w:r>
                </w:p>
              </w:tc>
              <w:tc>
                <w:tcPr>
                  <w:tcW w:w="1518" w:type="dxa"/>
                  <w:tcBorders>
                    <w:right w:val="single" w:sz="12" w:space="0" w:color="auto"/>
                  </w:tcBorders>
                  <w:tcMar>
                    <w:top w:w="0" w:type="dxa"/>
                    <w:left w:w="108" w:type="dxa"/>
                    <w:bottom w:w="0" w:type="dxa"/>
                    <w:right w:w="108" w:type="dxa"/>
                  </w:tcMar>
                </w:tcPr>
                <w:p w14:paraId="16E744D1" w14:textId="77777777" w:rsidR="00FC2019" w:rsidRPr="00780722" w:rsidRDefault="00FC2019" w:rsidP="00A74117">
                  <w:pPr>
                    <w:pStyle w:val="Default"/>
                    <w:framePr w:hSpace="180" w:wrap="around" w:vAnchor="text" w:hAnchor="margin" w:y="145"/>
                    <w:spacing w:before="60" w:after="60"/>
                    <w:jc w:val="center"/>
                    <w:rPr>
                      <w:sz w:val="22"/>
                      <w:szCs w:val="22"/>
                    </w:rPr>
                  </w:pPr>
                </w:p>
                <w:p w14:paraId="4147B20F" w14:textId="77777777" w:rsidR="00FC2019" w:rsidRPr="00780722" w:rsidRDefault="00FC2019" w:rsidP="00A74117">
                  <w:pPr>
                    <w:pStyle w:val="Default"/>
                    <w:framePr w:hSpace="180" w:wrap="around" w:vAnchor="text" w:hAnchor="margin" w:y="145"/>
                    <w:spacing w:before="60" w:after="60"/>
                    <w:jc w:val="center"/>
                    <w:rPr>
                      <w:sz w:val="22"/>
                      <w:szCs w:val="22"/>
                      <w:vertAlign w:val="subscript"/>
                    </w:rPr>
                  </w:pPr>
                  <w:r w:rsidRPr="00400204">
                    <w:rPr>
                      <w:sz w:val="22"/>
                      <w:szCs w:val="22"/>
                    </w:rPr>
                    <w:t>0.4</w:t>
                  </w:r>
                  <w:r w:rsidRPr="00780722">
                    <w:rPr>
                      <w:sz w:val="22"/>
                      <w:szCs w:val="22"/>
                    </w:rPr>
                    <w:t xml:space="preserve"> </w:t>
                  </w:r>
                  <w:r w:rsidRPr="00780722">
                    <w:rPr>
                      <w:sz w:val="22"/>
                      <w:szCs w:val="22"/>
                      <w:lang w:val="en-US"/>
                    </w:rPr>
                    <w:t>Mt CO</w:t>
                  </w:r>
                  <w:r w:rsidRPr="00780722">
                    <w:rPr>
                      <w:sz w:val="22"/>
                      <w:szCs w:val="22"/>
                      <w:vertAlign w:val="subscript"/>
                      <w:lang w:val="en-US"/>
                    </w:rPr>
                    <w:t>2</w:t>
                  </w:r>
                  <w:r w:rsidRPr="00780722">
                    <w:rPr>
                      <w:sz w:val="22"/>
                      <w:szCs w:val="22"/>
                      <w:lang w:val="en-US"/>
                    </w:rPr>
                    <w:t>e</w:t>
                  </w:r>
                </w:p>
                <w:p w14:paraId="7686C2C3" w14:textId="77777777" w:rsidR="00FC2019" w:rsidRPr="00780722" w:rsidRDefault="00FC2019" w:rsidP="00A74117">
                  <w:pPr>
                    <w:pStyle w:val="Default"/>
                    <w:framePr w:hSpace="180" w:wrap="around" w:vAnchor="text" w:hAnchor="margin" w:y="145"/>
                    <w:spacing w:before="60" w:after="60"/>
                    <w:jc w:val="center"/>
                    <w:rPr>
                      <w:sz w:val="22"/>
                      <w:szCs w:val="22"/>
                      <w:lang w:val="en-US"/>
                    </w:rPr>
                  </w:pPr>
                  <w:r w:rsidRPr="00780722">
                    <w:rPr>
                      <w:sz w:val="22"/>
                      <w:szCs w:val="22"/>
                    </w:rPr>
                    <w:t>0</w:t>
                  </w:r>
                  <w:r w:rsidRPr="000976DF">
                    <w:rPr>
                      <w:sz w:val="22"/>
                      <w:szCs w:val="22"/>
                    </w:rPr>
                    <w:t>.</w:t>
                  </w:r>
                  <w:r w:rsidRPr="00400204">
                    <w:rPr>
                      <w:sz w:val="22"/>
                      <w:szCs w:val="22"/>
                    </w:rPr>
                    <w:t>6</w:t>
                  </w:r>
                  <w:r w:rsidRPr="00780722">
                    <w:rPr>
                      <w:sz w:val="22"/>
                      <w:szCs w:val="22"/>
                    </w:rPr>
                    <w:t xml:space="preserve"> </w:t>
                  </w:r>
                  <w:r w:rsidRPr="00780722">
                    <w:rPr>
                      <w:sz w:val="22"/>
                      <w:szCs w:val="22"/>
                      <w:lang w:val="en-US"/>
                    </w:rPr>
                    <w:t>Mt CO</w:t>
                  </w:r>
                  <w:r w:rsidRPr="00780722">
                    <w:rPr>
                      <w:sz w:val="22"/>
                      <w:szCs w:val="22"/>
                      <w:vertAlign w:val="subscript"/>
                      <w:lang w:val="en-US"/>
                    </w:rPr>
                    <w:t>2</w:t>
                  </w:r>
                  <w:r w:rsidRPr="00780722">
                    <w:rPr>
                      <w:sz w:val="22"/>
                      <w:szCs w:val="22"/>
                      <w:lang w:val="en-US"/>
                    </w:rPr>
                    <w:t>e</w:t>
                  </w:r>
                  <w:r w:rsidRPr="00400204">
                    <w:rPr>
                      <w:sz w:val="22"/>
                      <w:szCs w:val="22"/>
                    </w:rPr>
                    <w:t xml:space="preserve"> </w:t>
                  </w:r>
                  <w:r w:rsidRPr="00780722">
                    <w:rPr>
                      <w:sz w:val="22"/>
                      <w:szCs w:val="22"/>
                    </w:rPr>
                    <w:t>(</w:t>
                  </w:r>
                  <w:r w:rsidRPr="00400204">
                    <w:rPr>
                      <w:sz w:val="22"/>
                      <w:szCs w:val="22"/>
                    </w:rPr>
                    <w:t>56.1</w:t>
                  </w:r>
                  <w:r w:rsidRPr="00780722">
                    <w:rPr>
                      <w:sz w:val="22"/>
                      <w:szCs w:val="22"/>
                    </w:rPr>
                    <w:t>%)</w:t>
                  </w:r>
                </w:p>
              </w:tc>
            </w:tr>
            <w:tr w:rsidR="00FC2019" w14:paraId="7DD4C6F6" w14:textId="77777777" w:rsidTr="001B5D5F">
              <w:tc>
                <w:tcPr>
                  <w:tcW w:w="2700" w:type="dxa"/>
                  <w:tcBorders>
                    <w:left w:val="single" w:sz="12" w:space="0" w:color="auto"/>
                    <w:bottom w:val="single" w:sz="12" w:space="0" w:color="auto"/>
                  </w:tcBorders>
                  <w:tcMar>
                    <w:top w:w="0" w:type="dxa"/>
                    <w:left w:w="108" w:type="dxa"/>
                    <w:bottom w:w="0" w:type="dxa"/>
                    <w:right w:w="108" w:type="dxa"/>
                  </w:tcMar>
                </w:tcPr>
                <w:p w14:paraId="061A9ED2" w14:textId="77777777" w:rsidR="00FC2019" w:rsidRDefault="00FC2019" w:rsidP="00A74117">
                  <w:pPr>
                    <w:pStyle w:val="Default"/>
                    <w:framePr w:hSpace="180" w:wrap="around" w:vAnchor="text" w:hAnchor="margin" w:y="145"/>
                    <w:adjustRightInd/>
                    <w:spacing w:before="60" w:after="60"/>
                    <w:rPr>
                      <w:b/>
                      <w:bCs/>
                      <w:color w:val="auto"/>
                      <w:sz w:val="22"/>
                      <w:szCs w:val="22"/>
                      <w:lang w:val="en-US"/>
                    </w:rPr>
                  </w:pPr>
                  <w:r>
                    <w:rPr>
                      <w:b/>
                      <w:bCs/>
                      <w:color w:val="auto"/>
                      <w:sz w:val="22"/>
                      <w:szCs w:val="22"/>
                      <w:lang w:val="en-US"/>
                    </w:rPr>
                    <w:t>B</w:t>
                  </w:r>
                  <w:r w:rsidRPr="00811600">
                    <w:rPr>
                      <w:b/>
                      <w:bCs/>
                      <w:color w:val="auto"/>
                      <w:sz w:val="22"/>
                      <w:szCs w:val="22"/>
                      <w:lang w:val="en-US"/>
                    </w:rPr>
                    <w:t>iogenic methane</w:t>
                  </w:r>
                </w:p>
                <w:p w14:paraId="464B8A7F" w14:textId="77777777" w:rsidR="00FC2019" w:rsidRPr="003C2481" w:rsidRDefault="00FC2019" w:rsidP="00A74117">
                  <w:pPr>
                    <w:pStyle w:val="Default"/>
                    <w:framePr w:hSpace="180" w:wrap="around" w:vAnchor="text" w:hAnchor="margin" w:y="145"/>
                    <w:adjustRightInd/>
                    <w:spacing w:before="60" w:after="60"/>
                    <w:ind w:firstLine="337"/>
                    <w:rPr>
                      <w:color w:val="auto"/>
                      <w:sz w:val="22"/>
                      <w:szCs w:val="22"/>
                      <w:lang w:val="en-US"/>
                    </w:rPr>
                  </w:pPr>
                  <w:r w:rsidRPr="003C2481">
                    <w:rPr>
                      <w:color w:val="auto"/>
                      <w:sz w:val="22"/>
                      <w:szCs w:val="22"/>
                      <w:lang w:val="en-US"/>
                    </w:rPr>
                    <w:t>Annual average</w:t>
                  </w:r>
                </w:p>
                <w:p w14:paraId="5B0D0A6B" w14:textId="77777777" w:rsidR="00FC2019" w:rsidRDefault="00FC2019" w:rsidP="00A74117">
                  <w:pPr>
                    <w:pStyle w:val="Default"/>
                    <w:framePr w:hSpace="180" w:wrap="around" w:vAnchor="text" w:hAnchor="margin" w:y="145"/>
                    <w:adjustRightInd/>
                    <w:spacing w:before="60" w:after="60"/>
                    <w:ind w:firstLine="337"/>
                    <w:rPr>
                      <w:b/>
                      <w:bCs/>
                      <w:color w:val="auto"/>
                      <w:sz w:val="22"/>
                      <w:szCs w:val="22"/>
                      <w:lang w:val="en-US"/>
                    </w:rPr>
                  </w:pPr>
                  <w:r>
                    <w:rPr>
                      <w:color w:val="auto"/>
                      <w:sz w:val="22"/>
                      <w:szCs w:val="22"/>
                      <w:lang w:val="en-US"/>
                    </w:rPr>
                    <w:t>Reduction from 2018*</w:t>
                  </w:r>
                </w:p>
              </w:tc>
              <w:tc>
                <w:tcPr>
                  <w:tcW w:w="1517" w:type="dxa"/>
                  <w:tcBorders>
                    <w:bottom w:val="single" w:sz="12" w:space="0" w:color="auto"/>
                  </w:tcBorders>
                </w:tcPr>
                <w:p w14:paraId="1E55945F" w14:textId="77777777" w:rsidR="00FC2019" w:rsidRPr="00400204" w:rsidRDefault="00FC2019" w:rsidP="00A74117">
                  <w:pPr>
                    <w:pStyle w:val="Default"/>
                    <w:framePr w:hSpace="180" w:wrap="around" w:vAnchor="text" w:hAnchor="margin" w:y="145"/>
                    <w:spacing w:before="60" w:after="60"/>
                    <w:jc w:val="center"/>
                    <w:rPr>
                      <w:sz w:val="22"/>
                      <w:szCs w:val="22"/>
                    </w:rPr>
                  </w:pPr>
                </w:p>
                <w:p w14:paraId="5429D0C2" w14:textId="77777777" w:rsidR="00FC2019" w:rsidRPr="00400204" w:rsidRDefault="00FC2019" w:rsidP="00A74117">
                  <w:pPr>
                    <w:pStyle w:val="Default"/>
                    <w:framePr w:hSpace="180" w:wrap="around" w:vAnchor="text" w:hAnchor="margin" w:y="145"/>
                    <w:spacing w:before="60" w:after="60"/>
                    <w:jc w:val="center"/>
                    <w:rPr>
                      <w:sz w:val="22"/>
                      <w:szCs w:val="22"/>
                    </w:rPr>
                  </w:pPr>
                  <w:r w:rsidRPr="00400204">
                    <w:rPr>
                      <w:sz w:val="22"/>
                      <w:szCs w:val="22"/>
                    </w:rPr>
                    <w:t>1.32 Mt CH</w:t>
                  </w:r>
                  <w:r w:rsidRPr="00400204">
                    <w:rPr>
                      <w:sz w:val="22"/>
                      <w:szCs w:val="22"/>
                      <w:vertAlign w:val="subscript"/>
                    </w:rPr>
                    <w:t>4</w:t>
                  </w:r>
                </w:p>
              </w:tc>
              <w:tc>
                <w:tcPr>
                  <w:tcW w:w="1518" w:type="dxa"/>
                  <w:tcBorders>
                    <w:bottom w:val="single" w:sz="12" w:space="0" w:color="auto"/>
                  </w:tcBorders>
                  <w:tcMar>
                    <w:top w:w="0" w:type="dxa"/>
                    <w:left w:w="108" w:type="dxa"/>
                    <w:bottom w:w="0" w:type="dxa"/>
                    <w:right w:w="108" w:type="dxa"/>
                  </w:tcMar>
                </w:tcPr>
                <w:p w14:paraId="633A90EB" w14:textId="77777777" w:rsidR="00FC2019" w:rsidRPr="00400204" w:rsidRDefault="00FC2019" w:rsidP="00A74117">
                  <w:pPr>
                    <w:pStyle w:val="Default"/>
                    <w:framePr w:hSpace="180" w:wrap="around" w:vAnchor="text" w:hAnchor="margin" w:y="145"/>
                    <w:spacing w:before="60" w:after="60"/>
                    <w:jc w:val="center"/>
                    <w:rPr>
                      <w:sz w:val="22"/>
                      <w:szCs w:val="22"/>
                    </w:rPr>
                  </w:pPr>
                </w:p>
                <w:p w14:paraId="58D67D88" w14:textId="77777777" w:rsidR="00FC2019" w:rsidRPr="00400204" w:rsidRDefault="00FC2019" w:rsidP="00A74117">
                  <w:pPr>
                    <w:pStyle w:val="Default"/>
                    <w:framePr w:hSpace="180" w:wrap="around" w:vAnchor="text" w:hAnchor="margin" w:y="145"/>
                    <w:spacing w:before="60" w:after="60"/>
                    <w:jc w:val="center"/>
                    <w:rPr>
                      <w:sz w:val="22"/>
                      <w:szCs w:val="22"/>
                      <w:vertAlign w:val="subscript"/>
                    </w:rPr>
                  </w:pPr>
                  <w:r w:rsidRPr="00400204">
                    <w:rPr>
                      <w:sz w:val="22"/>
                      <w:szCs w:val="22"/>
                    </w:rPr>
                    <w:t>1.23 Mt CH</w:t>
                  </w:r>
                  <w:r w:rsidRPr="00400204">
                    <w:rPr>
                      <w:sz w:val="22"/>
                      <w:szCs w:val="22"/>
                      <w:vertAlign w:val="subscript"/>
                    </w:rPr>
                    <w:t>4</w:t>
                  </w:r>
                </w:p>
                <w:p w14:paraId="379AB568" w14:textId="77777777" w:rsidR="00FC2019" w:rsidRPr="00400204" w:rsidRDefault="00FC2019" w:rsidP="00A74117">
                  <w:pPr>
                    <w:pStyle w:val="Default"/>
                    <w:framePr w:hSpace="180" w:wrap="around" w:vAnchor="text" w:hAnchor="margin" w:y="145"/>
                    <w:spacing w:before="60" w:after="60"/>
                    <w:jc w:val="center"/>
                    <w:rPr>
                      <w:sz w:val="22"/>
                      <w:szCs w:val="22"/>
                    </w:rPr>
                  </w:pPr>
                  <w:r w:rsidRPr="00400204">
                    <w:rPr>
                      <w:sz w:val="22"/>
                      <w:szCs w:val="22"/>
                    </w:rPr>
                    <w:t>0.09 Mt CH</w:t>
                  </w:r>
                  <w:r w:rsidRPr="00400204">
                    <w:rPr>
                      <w:sz w:val="22"/>
                      <w:szCs w:val="22"/>
                      <w:vertAlign w:val="subscript"/>
                    </w:rPr>
                    <w:t xml:space="preserve">4 </w:t>
                  </w:r>
                  <w:r w:rsidRPr="00400204">
                    <w:rPr>
                      <w:sz w:val="22"/>
                      <w:szCs w:val="22"/>
                    </w:rPr>
                    <w:t>(6.5%)</w:t>
                  </w:r>
                </w:p>
              </w:tc>
              <w:tc>
                <w:tcPr>
                  <w:tcW w:w="1517" w:type="dxa"/>
                  <w:tcBorders>
                    <w:bottom w:val="single" w:sz="12" w:space="0" w:color="auto"/>
                  </w:tcBorders>
                  <w:tcMar>
                    <w:top w:w="0" w:type="dxa"/>
                    <w:left w:w="108" w:type="dxa"/>
                    <w:bottom w:w="0" w:type="dxa"/>
                    <w:right w:w="108" w:type="dxa"/>
                  </w:tcMar>
                </w:tcPr>
                <w:p w14:paraId="452E18F1" w14:textId="77777777" w:rsidR="00FC2019" w:rsidRPr="00400204" w:rsidRDefault="00FC2019" w:rsidP="00A74117">
                  <w:pPr>
                    <w:pStyle w:val="Default"/>
                    <w:framePr w:hSpace="180" w:wrap="around" w:vAnchor="text" w:hAnchor="margin" w:y="145"/>
                    <w:spacing w:before="60" w:after="60"/>
                    <w:jc w:val="center"/>
                    <w:rPr>
                      <w:sz w:val="22"/>
                      <w:szCs w:val="22"/>
                    </w:rPr>
                  </w:pPr>
                </w:p>
                <w:p w14:paraId="147FBE4E" w14:textId="77777777" w:rsidR="00FC2019" w:rsidRPr="00400204" w:rsidRDefault="00FC2019" w:rsidP="00A74117">
                  <w:pPr>
                    <w:pStyle w:val="Default"/>
                    <w:framePr w:hSpace="180" w:wrap="around" w:vAnchor="text" w:hAnchor="margin" w:y="145"/>
                    <w:spacing w:before="60" w:after="60"/>
                    <w:jc w:val="center"/>
                    <w:rPr>
                      <w:sz w:val="22"/>
                      <w:szCs w:val="22"/>
                      <w:vertAlign w:val="subscript"/>
                    </w:rPr>
                  </w:pPr>
                  <w:r w:rsidRPr="00400204">
                    <w:rPr>
                      <w:sz w:val="22"/>
                      <w:szCs w:val="22"/>
                    </w:rPr>
                    <w:t>1.17 Mt CH</w:t>
                  </w:r>
                  <w:r w:rsidRPr="00400204">
                    <w:rPr>
                      <w:sz w:val="22"/>
                      <w:szCs w:val="22"/>
                      <w:vertAlign w:val="subscript"/>
                    </w:rPr>
                    <w:t>4</w:t>
                  </w:r>
                </w:p>
                <w:p w14:paraId="03B46745" w14:textId="77777777" w:rsidR="00FC2019" w:rsidRPr="00400204" w:rsidRDefault="00FC2019" w:rsidP="00A74117">
                  <w:pPr>
                    <w:pStyle w:val="Default"/>
                    <w:framePr w:hSpace="180" w:wrap="around" w:vAnchor="text" w:hAnchor="margin" w:y="145"/>
                    <w:spacing w:before="60" w:after="60"/>
                    <w:jc w:val="center"/>
                    <w:rPr>
                      <w:sz w:val="22"/>
                      <w:szCs w:val="22"/>
                    </w:rPr>
                  </w:pPr>
                  <w:r w:rsidRPr="00400204">
                    <w:rPr>
                      <w:sz w:val="22"/>
                      <w:szCs w:val="22"/>
                    </w:rPr>
                    <w:t>0.15 Mt CH</w:t>
                  </w:r>
                  <w:r w:rsidRPr="00400204">
                    <w:rPr>
                      <w:sz w:val="22"/>
                      <w:szCs w:val="22"/>
                      <w:vertAlign w:val="subscript"/>
                    </w:rPr>
                    <w:t xml:space="preserve">4 </w:t>
                  </w:r>
                  <w:r w:rsidRPr="00400204">
                    <w:rPr>
                      <w:sz w:val="22"/>
                      <w:szCs w:val="22"/>
                    </w:rPr>
                    <w:t>(11.4%)</w:t>
                  </w:r>
                </w:p>
              </w:tc>
              <w:tc>
                <w:tcPr>
                  <w:tcW w:w="1518" w:type="dxa"/>
                  <w:tcBorders>
                    <w:bottom w:val="single" w:sz="12" w:space="0" w:color="auto"/>
                    <w:right w:val="single" w:sz="12" w:space="0" w:color="auto"/>
                  </w:tcBorders>
                  <w:tcMar>
                    <w:top w:w="0" w:type="dxa"/>
                    <w:left w:w="108" w:type="dxa"/>
                    <w:bottom w:w="0" w:type="dxa"/>
                    <w:right w:w="108" w:type="dxa"/>
                  </w:tcMar>
                </w:tcPr>
                <w:p w14:paraId="3AEA66A2" w14:textId="77777777" w:rsidR="00FC2019" w:rsidRPr="00400204" w:rsidRDefault="00FC2019" w:rsidP="00A74117">
                  <w:pPr>
                    <w:pStyle w:val="Default"/>
                    <w:framePr w:hSpace="180" w:wrap="around" w:vAnchor="text" w:hAnchor="margin" w:y="145"/>
                    <w:spacing w:before="60" w:after="60"/>
                    <w:jc w:val="center"/>
                    <w:rPr>
                      <w:sz w:val="22"/>
                      <w:szCs w:val="22"/>
                    </w:rPr>
                  </w:pPr>
                </w:p>
                <w:p w14:paraId="4D7020E7" w14:textId="77777777" w:rsidR="00FC2019" w:rsidRPr="00400204" w:rsidRDefault="00FC2019" w:rsidP="00A74117">
                  <w:pPr>
                    <w:pStyle w:val="Default"/>
                    <w:framePr w:hSpace="180" w:wrap="around" w:vAnchor="text" w:hAnchor="margin" w:y="145"/>
                    <w:spacing w:before="60" w:after="60"/>
                    <w:jc w:val="center"/>
                    <w:rPr>
                      <w:sz w:val="22"/>
                      <w:szCs w:val="22"/>
                      <w:vertAlign w:val="subscript"/>
                    </w:rPr>
                  </w:pPr>
                  <w:r w:rsidRPr="00400204">
                    <w:rPr>
                      <w:sz w:val="22"/>
                      <w:szCs w:val="22"/>
                    </w:rPr>
                    <w:t>1.11 Mt CH</w:t>
                  </w:r>
                  <w:r w:rsidRPr="00400204">
                    <w:rPr>
                      <w:sz w:val="22"/>
                      <w:szCs w:val="22"/>
                      <w:vertAlign w:val="subscript"/>
                    </w:rPr>
                    <w:t>4</w:t>
                  </w:r>
                </w:p>
                <w:p w14:paraId="61AB25C4" w14:textId="77777777" w:rsidR="00FC2019" w:rsidRPr="00400204" w:rsidRDefault="00FC2019" w:rsidP="00A74117">
                  <w:pPr>
                    <w:pStyle w:val="Default"/>
                    <w:framePr w:hSpace="180" w:wrap="around" w:vAnchor="text" w:hAnchor="margin" w:y="145"/>
                    <w:spacing w:before="60" w:after="60"/>
                    <w:jc w:val="center"/>
                    <w:rPr>
                      <w:sz w:val="22"/>
                      <w:szCs w:val="22"/>
                    </w:rPr>
                  </w:pPr>
                  <w:r w:rsidRPr="00400204">
                    <w:rPr>
                      <w:sz w:val="22"/>
                      <w:szCs w:val="22"/>
                    </w:rPr>
                    <w:t>0.21 Mt CH</w:t>
                  </w:r>
                  <w:r w:rsidRPr="00400204">
                    <w:rPr>
                      <w:sz w:val="22"/>
                      <w:szCs w:val="22"/>
                      <w:vertAlign w:val="subscript"/>
                    </w:rPr>
                    <w:t xml:space="preserve">4 </w:t>
                  </w:r>
                  <w:r w:rsidRPr="00400204">
                    <w:rPr>
                      <w:sz w:val="22"/>
                      <w:szCs w:val="22"/>
                    </w:rPr>
                    <w:t>(15.9%)</w:t>
                  </w:r>
                </w:p>
              </w:tc>
            </w:tr>
          </w:tbl>
          <w:p w14:paraId="66E1C7BF" w14:textId="77777777" w:rsidR="00FC2019" w:rsidRPr="000E0BAC" w:rsidRDefault="00FC2019" w:rsidP="00FC2019">
            <w:pPr>
              <w:pStyle w:val="Content"/>
              <w:spacing w:before="0" w:after="0"/>
            </w:pPr>
            <w:r>
              <w:rPr>
                <w:b w:val="0"/>
                <w:bCs w:val="0"/>
              </w:rPr>
              <w:t>* Note that the percentage reduction is for the annual average over the budget period. The biogenic methane target for Aotearoa is a 10% reduction by 2030 compared to 2017 levels. Under our emissions budget path, Aotearoa would reduce biogenic methane emissions by 13.2% by 2030 relative to 2017.</w:t>
            </w:r>
          </w:p>
        </w:tc>
      </w:tr>
    </w:tbl>
    <w:p w14:paraId="058E51F9" w14:textId="67FE392A" w:rsidR="00E65DA0" w:rsidRDefault="00E65DA0" w:rsidP="00E65DA0">
      <w:pPr>
        <w:rPr>
          <w:lang w:val="en-US"/>
        </w:rPr>
      </w:pPr>
      <w:r>
        <w:rPr>
          <w:lang w:val="en-US"/>
        </w:rPr>
        <w:lastRenderedPageBreak/>
        <w:t xml:space="preserve">Gross emissions of long-lived gases need to be reduced to the maximum extent possible to set Aotearoa up to meet and sustain the target of net zero by 2050. Our analysis </w:t>
      </w:r>
      <w:r w:rsidRPr="006C2E92">
        <w:rPr>
          <w:lang w:val="en-US"/>
        </w:rPr>
        <w:t xml:space="preserve">in </w:t>
      </w:r>
      <w:r w:rsidR="0085576D">
        <w:rPr>
          <w:lang w:val="en-US"/>
        </w:rPr>
        <w:t>c</w:t>
      </w:r>
      <w:r w:rsidR="000C1F2E" w:rsidRPr="00A327BA">
        <w:rPr>
          <w:lang w:val="en-US"/>
        </w:rPr>
        <w:t>hapter</w:t>
      </w:r>
      <w:r w:rsidRPr="006C2E92">
        <w:rPr>
          <w:lang w:val="en-US"/>
        </w:rPr>
        <w:t xml:space="preserve"> 3</w:t>
      </w:r>
      <w:r>
        <w:rPr>
          <w:lang w:val="en-US"/>
        </w:rPr>
        <w:t xml:space="preserve"> shows that</w:t>
      </w:r>
      <w:r w:rsidR="0086702C">
        <w:rPr>
          <w:lang w:val="en-US"/>
        </w:rPr>
        <w:t>,</w:t>
      </w:r>
      <w:r>
        <w:rPr>
          <w:lang w:val="en-US"/>
        </w:rPr>
        <w:t xml:space="preserve"> in many sectors, there is a clear path for reducing gross emissions of long-lived gases. </w:t>
      </w:r>
      <w:r w:rsidRPr="00B30B91">
        <w:rPr>
          <w:lang w:val="en-US"/>
        </w:rPr>
        <w:t>This means setting a path that would achieve near</w:t>
      </w:r>
      <w:r w:rsidR="002C2CFD" w:rsidRPr="00A327BA">
        <w:rPr>
          <w:lang w:val="en-US"/>
        </w:rPr>
        <w:t xml:space="preserve"> </w:t>
      </w:r>
      <w:r w:rsidRPr="00B30B91">
        <w:rPr>
          <w:lang w:val="en-US"/>
        </w:rPr>
        <w:t xml:space="preserve">complete </w:t>
      </w:r>
      <w:proofErr w:type="spellStart"/>
      <w:r w:rsidRPr="00B30B91">
        <w:rPr>
          <w:lang w:val="en-US"/>
        </w:rPr>
        <w:t>decarbonisation</w:t>
      </w:r>
      <w:proofErr w:type="spellEnd"/>
      <w:r w:rsidRPr="00B30B91">
        <w:rPr>
          <w:lang w:val="en-US"/>
        </w:rPr>
        <w:t xml:space="preserve"> of low and medium temperature heat used in industry, electricity generation, energy use in buildings and land transport</w:t>
      </w:r>
      <w:r>
        <w:rPr>
          <w:lang w:val="en-US"/>
        </w:rPr>
        <w:t>.</w:t>
      </w:r>
    </w:p>
    <w:p w14:paraId="3FEB6C70" w14:textId="583BCF86" w:rsidR="000C1F2E" w:rsidRDefault="000C1F2E" w:rsidP="000C1F2E">
      <w:r w:rsidRPr="00A327BA">
        <w:rPr>
          <w:lang w:val="en-US"/>
        </w:rPr>
        <w:t>Relying too heavily on forestry removals to offset emissions carries</w:t>
      </w:r>
      <w:r>
        <w:rPr>
          <w:lang w:val="en-US"/>
        </w:rPr>
        <w:t xml:space="preserve"> risks. It would require ongoing conversion of land to continue offsetting emissions and</w:t>
      </w:r>
      <w:r>
        <w:t xml:space="preserve"> put the burden of reducing gross emissions on future generations.</w:t>
      </w:r>
    </w:p>
    <w:p w14:paraId="00333278" w14:textId="77777777" w:rsidR="00A716D0" w:rsidRPr="00822465" w:rsidRDefault="00A716D0" w:rsidP="000C1F2E">
      <w:pPr>
        <w:rPr>
          <w:sz w:val="8"/>
          <w:szCs w:val="8"/>
        </w:rPr>
      </w:pPr>
    </w:p>
    <w:p w14:paraId="78FEBC60" w14:textId="77777777" w:rsidR="005A0B52" w:rsidRPr="00ED0D93" w:rsidRDefault="005A0B52" w:rsidP="000C1F2E">
      <w:pPr>
        <w:rPr>
          <w:sz w:val="4"/>
          <w:szCs w:val="4"/>
          <w:lang w:val="en-US"/>
        </w:rPr>
      </w:pPr>
    </w:p>
    <w:p w14:paraId="1FF13466" w14:textId="7F9A5AAD" w:rsidR="007F0987" w:rsidRPr="00ED0D93" w:rsidRDefault="007F0987">
      <w:pPr>
        <w:spacing w:before="0" w:after="160"/>
        <w:rPr>
          <w:sz w:val="8"/>
          <w:szCs w:val="8"/>
        </w:rPr>
      </w:pPr>
    </w:p>
    <w:p w14:paraId="5C28D21E" w14:textId="73A511A7" w:rsidR="009121D5" w:rsidRDefault="61F96335" w:rsidP="004F4F82">
      <w:pPr>
        <w:keepNext/>
        <w:jc w:val="center"/>
      </w:pPr>
      <w:r>
        <w:rPr>
          <w:noProof/>
        </w:rPr>
        <w:lastRenderedPageBreak/>
        <w:drawing>
          <wp:inline distT="0" distB="0" distL="0" distR="0" wp14:anchorId="407189FA" wp14:editId="3CEA5459">
            <wp:extent cx="5495480" cy="78867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26">
                      <a:extLst>
                        <a:ext uri="{28A0092B-C50C-407E-A947-70E740481C1C}">
                          <a14:useLocalDpi xmlns:a14="http://schemas.microsoft.com/office/drawing/2010/main" val="0"/>
                        </a:ext>
                      </a:extLst>
                    </a:blip>
                    <a:stretch>
                      <a:fillRect/>
                    </a:stretch>
                  </pic:blipFill>
                  <pic:spPr>
                    <a:xfrm>
                      <a:off x="0" y="0"/>
                      <a:ext cx="5495480" cy="7886700"/>
                    </a:xfrm>
                    <a:prstGeom prst="rect">
                      <a:avLst/>
                    </a:prstGeom>
                  </pic:spPr>
                </pic:pic>
              </a:graphicData>
            </a:graphic>
          </wp:inline>
        </w:drawing>
      </w:r>
    </w:p>
    <w:p w14:paraId="2511AEF4" w14:textId="233C60A1" w:rsidR="009121D5" w:rsidRDefault="009121D5" w:rsidP="00C57FBF">
      <w:pPr>
        <w:pStyle w:val="Caption"/>
      </w:pPr>
      <w:r>
        <w:t xml:space="preserve">Figure </w:t>
      </w:r>
      <w:r w:rsidR="00A14560">
        <w:t>2.</w:t>
      </w:r>
      <w:r w:rsidR="00454D64">
        <w:t>2:</w:t>
      </w:r>
      <w:r>
        <w:t xml:space="preserve"> </w:t>
      </w:r>
      <w:r w:rsidRPr="00726332">
        <w:t xml:space="preserve">These </w:t>
      </w:r>
      <w:r w:rsidR="00A87D4F">
        <w:t>three</w:t>
      </w:r>
      <w:r w:rsidRPr="00726332">
        <w:t xml:space="preserve"> figures show how our proposed emissions budgets would step Aotearoa towards its emissions reduction targets. The top figure shows long-lived gases, the </w:t>
      </w:r>
      <w:r w:rsidR="00A87D4F">
        <w:t>middle</w:t>
      </w:r>
      <w:r w:rsidRPr="00726332">
        <w:t xml:space="preserve"> figure shows biogenic methane</w:t>
      </w:r>
      <w:r w:rsidR="00A87D4F">
        <w:t xml:space="preserve">, </w:t>
      </w:r>
      <w:r w:rsidRPr="00726332">
        <w:t xml:space="preserve">and the bottom figure shows </w:t>
      </w:r>
      <w:r w:rsidR="00A87D4F">
        <w:t xml:space="preserve">all gases </w:t>
      </w:r>
      <w:r w:rsidR="00462B5D">
        <w:t>combined as CO</w:t>
      </w:r>
      <w:r w:rsidR="00462B5D" w:rsidRPr="00400204">
        <w:rPr>
          <w:vertAlign w:val="subscript"/>
        </w:rPr>
        <w:t>2</w:t>
      </w:r>
      <w:r w:rsidR="00462B5D">
        <w:t>-equivalent</w:t>
      </w:r>
      <w:r w:rsidRPr="00726332">
        <w:t>.</w:t>
      </w:r>
    </w:p>
    <w:p w14:paraId="63969CB6" w14:textId="79798E2E" w:rsidR="00295A62" w:rsidRPr="00295A62" w:rsidRDefault="00295A62" w:rsidP="00400204">
      <w:pPr>
        <w:spacing w:before="0"/>
        <w:jc w:val="right"/>
      </w:pPr>
      <w:r w:rsidRPr="00295A62">
        <w:t>Source: Commission analysis</w:t>
      </w:r>
      <w:r w:rsidR="002D5DEA">
        <w:t>.</w:t>
      </w:r>
    </w:p>
    <w:p w14:paraId="665B6C93" w14:textId="48606770" w:rsidR="00B9100F" w:rsidRDefault="23872F2F" w:rsidP="00400204">
      <w:pPr>
        <w:keepNext/>
      </w:pPr>
      <w:r>
        <w:rPr>
          <w:noProof/>
        </w:rPr>
        <w:lastRenderedPageBreak/>
        <w:drawing>
          <wp:inline distT="0" distB="0" distL="0" distR="0" wp14:anchorId="119601F6" wp14:editId="0971B987">
            <wp:extent cx="5901055" cy="343216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rotWithShape="1">
                    <a:blip r:embed="rId27">
                      <a:extLst>
                        <a:ext uri="{28A0092B-C50C-407E-A947-70E740481C1C}">
                          <a14:useLocalDpi xmlns:a14="http://schemas.microsoft.com/office/drawing/2010/main" val="0"/>
                        </a:ext>
                      </a:extLst>
                    </a:blip>
                    <a:srcRect t="6488" r="3689"/>
                    <a:stretch/>
                  </pic:blipFill>
                  <pic:spPr bwMode="auto">
                    <a:xfrm>
                      <a:off x="0" y="0"/>
                      <a:ext cx="5901071" cy="3432174"/>
                    </a:xfrm>
                    <a:prstGeom prst="rect">
                      <a:avLst/>
                    </a:prstGeom>
                    <a:ln>
                      <a:noFill/>
                    </a:ln>
                    <a:extLst>
                      <a:ext uri="{53640926-AAD7-44D8-BBD7-CCE9431645EC}">
                        <a14:shadowObscured xmlns:a14="http://schemas.microsoft.com/office/drawing/2010/main"/>
                      </a:ext>
                    </a:extLst>
                  </pic:spPr>
                </pic:pic>
              </a:graphicData>
            </a:graphic>
          </wp:inline>
        </w:drawing>
      </w:r>
    </w:p>
    <w:p w14:paraId="66E57C07" w14:textId="5008AFEA" w:rsidR="00295A62" w:rsidRDefault="00B9100F" w:rsidP="00A251E7">
      <w:pPr>
        <w:pStyle w:val="Caption"/>
        <w:rPr>
          <w:lang w:val="en-US"/>
        </w:rPr>
      </w:pPr>
      <w:r>
        <w:t xml:space="preserve">Figure </w:t>
      </w:r>
      <w:r w:rsidR="00327D75">
        <w:t>2.</w:t>
      </w:r>
      <w:r w:rsidR="00454D64">
        <w:t>3</w:t>
      </w:r>
      <w:r>
        <w:rPr>
          <w:lang w:val="en-US"/>
        </w:rPr>
        <w:t xml:space="preserve">: </w:t>
      </w:r>
      <w:r w:rsidR="00DF3BEB">
        <w:rPr>
          <w:lang w:val="en-US"/>
        </w:rPr>
        <w:t xml:space="preserve">Emissions </w:t>
      </w:r>
      <w:r w:rsidR="00847DD0">
        <w:rPr>
          <w:lang w:val="en-US"/>
        </w:rPr>
        <w:t xml:space="preserve">of long-lived gases (left) and biogenic methane (right) </w:t>
      </w:r>
      <w:r w:rsidR="00DF3BEB">
        <w:rPr>
          <w:lang w:val="en-US"/>
        </w:rPr>
        <w:t xml:space="preserve">by sector at the end of </w:t>
      </w:r>
      <w:r w:rsidR="00847DD0">
        <w:rPr>
          <w:lang w:val="en-US"/>
        </w:rPr>
        <w:t>each budget period in our path</w:t>
      </w:r>
      <w:r w:rsidR="00A139F2">
        <w:rPr>
          <w:lang w:val="en-US"/>
        </w:rPr>
        <w:t>, compared to 2018</w:t>
      </w:r>
      <w:r w:rsidR="00295A62">
        <w:rPr>
          <w:lang w:val="en-US"/>
        </w:rPr>
        <w:t>.</w:t>
      </w:r>
    </w:p>
    <w:p w14:paraId="0B42BFC5" w14:textId="25DC1CBD" w:rsidR="00A327BA" w:rsidRPr="00507989" w:rsidRDefault="00295A62" w:rsidP="00550F05">
      <w:pPr>
        <w:spacing w:before="0"/>
        <w:jc w:val="right"/>
      </w:pPr>
      <w:r w:rsidRPr="00295A62">
        <w:t>Source: Commission analysis</w:t>
      </w:r>
      <w:r w:rsidR="002D5DEA">
        <w:t>.</w:t>
      </w:r>
    </w:p>
    <w:p w14:paraId="7E1138A6" w14:textId="06C0C779" w:rsidR="00E65DA0" w:rsidRPr="007F039E" w:rsidRDefault="00550F05" w:rsidP="00E65DA0">
      <w:pPr>
        <w:pStyle w:val="Heading2"/>
      </w:pPr>
      <w:bookmarkStart w:id="38" w:name="_Toc62650246"/>
      <w:r w:rsidRPr="00550F05">
        <w:t xml:space="preserve">2.5 </w:t>
      </w:r>
      <w:r w:rsidR="00E65DA0">
        <w:t>Limit on offshore mitigation and when it should be used to meet emissions budgets</w:t>
      </w:r>
      <w:bookmarkEnd w:id="38"/>
    </w:p>
    <w:p w14:paraId="75B729BE" w14:textId="69DD7D9D" w:rsidR="00E65DA0" w:rsidRDefault="00E65DA0" w:rsidP="00E65DA0">
      <w:r>
        <w:t xml:space="preserve">The Climate Change Response Act requires the </w:t>
      </w:r>
      <w:r w:rsidRPr="007F039E">
        <w:t>Minister</w:t>
      </w:r>
      <w:r>
        <w:t xml:space="preserve"> to </w:t>
      </w:r>
      <w:r w:rsidRPr="007F039E">
        <w:t>set</w:t>
      </w:r>
      <w:r>
        <w:t xml:space="preserve"> </w:t>
      </w:r>
      <w:r w:rsidRPr="007F039E">
        <w:t>emissions</w:t>
      </w:r>
      <w:r>
        <w:t xml:space="preserve"> </w:t>
      </w:r>
      <w:r w:rsidRPr="007F039E">
        <w:t>budgets</w:t>
      </w:r>
      <w:r>
        <w:t xml:space="preserve"> for </w:t>
      </w:r>
      <w:r w:rsidRPr="007F039E">
        <w:t>Aotearoa</w:t>
      </w:r>
      <w:r>
        <w:t xml:space="preserve"> that </w:t>
      </w:r>
      <w:r w:rsidRPr="007F039E">
        <w:t>can</w:t>
      </w:r>
      <w:r>
        <w:t xml:space="preserve"> be met domestically</w:t>
      </w:r>
      <w:r w:rsidRPr="007F039E">
        <w:t>.</w:t>
      </w:r>
      <w:r>
        <w:t xml:space="preserve"> </w:t>
      </w:r>
      <w:r w:rsidRPr="007F039E">
        <w:t>The</w:t>
      </w:r>
      <w:r>
        <w:t xml:space="preserve"> </w:t>
      </w:r>
      <w:r w:rsidRPr="007F039E">
        <w:t>use</w:t>
      </w:r>
      <w:r>
        <w:t xml:space="preserve"> </w:t>
      </w:r>
      <w:r w:rsidRPr="007F039E">
        <w:t>of</w:t>
      </w:r>
      <w:r>
        <w:t xml:space="preserve"> </w:t>
      </w:r>
      <w:r w:rsidRPr="007F039E">
        <w:t>offshore</w:t>
      </w:r>
      <w:r>
        <w:t xml:space="preserve"> </w:t>
      </w:r>
      <w:r w:rsidRPr="007F039E">
        <w:t>mitigation</w:t>
      </w:r>
      <w:r>
        <w:t xml:space="preserve"> – </w:t>
      </w:r>
      <w:r w:rsidRPr="007F039E">
        <w:t>buy</w:t>
      </w:r>
      <w:r>
        <w:t xml:space="preserve">ing emissions </w:t>
      </w:r>
      <w:r w:rsidRPr="007F039E">
        <w:t>units</w:t>
      </w:r>
      <w:r>
        <w:t xml:space="preserve"> </w:t>
      </w:r>
      <w:r w:rsidRPr="007F039E">
        <w:t>or</w:t>
      </w:r>
      <w:r>
        <w:t xml:space="preserve"> </w:t>
      </w:r>
      <w:r w:rsidRPr="007F039E">
        <w:t>emissions</w:t>
      </w:r>
      <w:r>
        <w:t xml:space="preserve"> </w:t>
      </w:r>
      <w:r w:rsidRPr="007F039E">
        <w:t>reductions</w:t>
      </w:r>
      <w:r>
        <w:t xml:space="preserve"> </w:t>
      </w:r>
      <w:r w:rsidRPr="007F039E">
        <w:t>and</w:t>
      </w:r>
      <w:r>
        <w:t xml:space="preserve"> </w:t>
      </w:r>
      <w:r w:rsidRPr="007F039E">
        <w:t>removals</w:t>
      </w:r>
      <w:r>
        <w:t xml:space="preserve"> </w:t>
      </w:r>
      <w:r w:rsidRPr="007F039E">
        <w:t>from</w:t>
      </w:r>
      <w:r>
        <w:t xml:space="preserve"> </w:t>
      </w:r>
      <w:r w:rsidRPr="007F039E">
        <w:t>overseas</w:t>
      </w:r>
      <w:r>
        <w:t xml:space="preserve"> – </w:t>
      </w:r>
      <w:r w:rsidRPr="007F039E">
        <w:t>should</w:t>
      </w:r>
      <w:r>
        <w:t xml:space="preserve"> only be used as </w:t>
      </w:r>
      <w:r w:rsidRPr="007F039E">
        <w:t>a</w:t>
      </w:r>
      <w:r>
        <w:t xml:space="preserve"> </w:t>
      </w:r>
      <w:r w:rsidRPr="007F039E">
        <w:t>last</w:t>
      </w:r>
      <w:r>
        <w:t xml:space="preserve"> </w:t>
      </w:r>
      <w:r w:rsidRPr="007F039E">
        <w:t>resort</w:t>
      </w:r>
      <w:r>
        <w:t xml:space="preserve"> for the purpose of meeting emissions budgets</w:t>
      </w:r>
      <w:r w:rsidRPr="007F039E">
        <w:t>.</w:t>
      </w:r>
      <w:r>
        <w:t xml:space="preserve"> As a result, our proposed emissions budgets are possible to achieve domestically. However, there is always uncertainty when projecting forward in time. There will be elements of the emissions reduction transition that do</w:t>
      </w:r>
      <w:r w:rsidR="00C35276">
        <w:t xml:space="preserve"> not</w:t>
      </w:r>
      <w:r>
        <w:t xml:space="preserve"> play out quite as we expect, particularly when looking ahead </w:t>
      </w:r>
      <w:r w:rsidR="002F3D98">
        <w:t>ten</w:t>
      </w:r>
      <w:r>
        <w:t xml:space="preserve"> years to the start of the third emissions budget. </w:t>
      </w:r>
    </w:p>
    <w:p w14:paraId="23FA55A1" w14:textId="53FD65BE" w:rsidR="00321A39" w:rsidRDefault="00321A39" w:rsidP="00E65DA0">
      <w:r>
        <w:t>More discussion on the use of offshore mitigation for meeting the Nationally</w:t>
      </w:r>
      <w:r w:rsidR="00FA6C34">
        <w:t xml:space="preserve"> Determined</w:t>
      </w:r>
      <w:r>
        <w:t xml:space="preserve"> Contribution can be found in </w:t>
      </w:r>
      <w:r w:rsidR="007B23D9">
        <w:t>Chapter 8</w:t>
      </w:r>
      <w:r w:rsidR="008E7C3D">
        <w:t>.</w:t>
      </w:r>
    </w:p>
    <w:p w14:paraId="5A21BBF9" w14:textId="4ABE5FCA" w:rsidR="00887E3B" w:rsidRDefault="004D7AFF" w:rsidP="00887E3B">
      <w:pPr>
        <w:pStyle w:val="Heading3"/>
      </w:pPr>
      <w:bookmarkStart w:id="39" w:name="_Toc62649306"/>
      <w:bookmarkStart w:id="40" w:name="_Toc62650247"/>
      <w:r>
        <w:t>2.</w:t>
      </w:r>
      <w:r w:rsidR="00D90EFE">
        <w:t xml:space="preserve">5.1 </w:t>
      </w:r>
      <w:r w:rsidR="00887E3B">
        <w:t>Borrowing</w:t>
      </w:r>
      <w:bookmarkEnd w:id="39"/>
      <w:bookmarkEnd w:id="40"/>
      <w:r w:rsidR="00887E3B">
        <w:t xml:space="preserve"> </w:t>
      </w:r>
    </w:p>
    <w:p w14:paraId="0EC95E87" w14:textId="12802BEC" w:rsidR="00E65DA0" w:rsidRPr="00D33A18" w:rsidRDefault="00E65DA0" w:rsidP="00E65DA0">
      <w:pPr>
        <w:rPr>
          <w:rFonts w:ascii="Calibri" w:eastAsiaTheme="majorEastAsia" w:hAnsi="Calibri" w:cs="Calibri"/>
        </w:rPr>
      </w:pPr>
      <w:r>
        <w:t xml:space="preserve">The Climate Change Response Act allows some domestic flexibility in how emissions budgets are met. Up to 1% of the volume from the next emissions budget can be borrowed to help meet the current emissions budget. Borrowing brings emissions forward in time and increases risks that subsequent budgets will be more difficult to meet. The Government’s </w:t>
      </w:r>
      <w:r w:rsidR="008A5B97">
        <w:t>e</w:t>
      </w:r>
      <w:r>
        <w:t xml:space="preserve">missions </w:t>
      </w:r>
      <w:r w:rsidR="008A5B97">
        <w:t>r</w:t>
      </w:r>
      <w:r>
        <w:t xml:space="preserve">eduction </w:t>
      </w:r>
      <w:r w:rsidR="008A5B97">
        <w:t>p</w:t>
      </w:r>
      <w:r>
        <w:t>lans must be set to meet the budget. Therefore, borrowing should only be used when the Government finds itself in a position where there is insufficient time in the budget period to adjust policies to ensure emissions are below the budget level.</w:t>
      </w:r>
    </w:p>
    <w:p w14:paraId="5E3C284C" w14:textId="00B11C2D" w:rsidR="00E65DA0" w:rsidRDefault="00E65DA0" w:rsidP="00E65DA0">
      <w:r>
        <w:t xml:space="preserve">Many of the uncertainties in meeting emissions budgets can still be factored into our analysis. For example, we cannot be certain about how much electric vehicles </w:t>
      </w:r>
      <w:r w:rsidR="00C2058B">
        <w:t>will</w:t>
      </w:r>
      <w:r>
        <w:t xml:space="preserve"> cost over time and what this </w:t>
      </w:r>
      <w:r w:rsidR="00C2058B">
        <w:t>will</w:t>
      </w:r>
      <w:r>
        <w:t xml:space="preserve"> </w:t>
      </w:r>
      <w:r>
        <w:lastRenderedPageBreak/>
        <w:t xml:space="preserve">do to demand. However, as we have factored these unknowns into our analysis, we consider this kind of uncertainty does not provide justification for using offshore mitigation to meet </w:t>
      </w:r>
      <w:r w:rsidR="00527D05">
        <w:t xml:space="preserve">the country’s </w:t>
      </w:r>
      <w:r>
        <w:t>domestic emissions budgets.</w:t>
      </w:r>
      <w:r w:rsidRPr="00085315">
        <w:t xml:space="preserve"> </w:t>
      </w:r>
      <w:r>
        <w:t>In planning how to meet emissions budgets, the Government must plan for these uncertainties and aim to overachieve the budgets.</w:t>
      </w:r>
    </w:p>
    <w:p w14:paraId="702FDC66" w14:textId="6DE8F19D" w:rsidR="00D90EFE" w:rsidRDefault="00D90EFE" w:rsidP="00D90EFE">
      <w:pPr>
        <w:pStyle w:val="Heading3"/>
      </w:pPr>
      <w:bookmarkStart w:id="41" w:name="_Toc62649307"/>
      <w:bookmarkStart w:id="42" w:name="_Toc62650248"/>
      <w:r>
        <w:t>2.5.2 Offshore mitigation</w:t>
      </w:r>
      <w:bookmarkEnd w:id="41"/>
      <w:bookmarkEnd w:id="42"/>
    </w:p>
    <w:p w14:paraId="44E2E1D9" w14:textId="7AD8097E" w:rsidR="00E65DA0" w:rsidRDefault="00D90EFE" w:rsidP="00E65DA0">
      <w:r>
        <w:t>T</w:t>
      </w:r>
      <w:r w:rsidR="00E65DA0">
        <w:t xml:space="preserve">here may also be </w:t>
      </w:r>
      <w:r w:rsidR="00E65DA0">
        <w:rPr>
          <w:rStyle w:val="normaltextrun"/>
        </w:rPr>
        <w:t xml:space="preserve">exceptional circumstances – such as force majeure events – which are unpredictable, unpreventable, outside the control of the Government and which cause a large one-off increase in emissions. </w:t>
      </w:r>
      <w:r w:rsidR="00E65DA0">
        <w:t>Examples include disasters such as earthquakes, a volcanic eruption, or a major fire that prevents transmission lines bringing electricity north</w:t>
      </w:r>
      <w:r w:rsidR="0059276C">
        <w:t xml:space="preserve"> and therefore requires fossil generation to be used</w:t>
      </w:r>
      <w:r w:rsidR="00E65DA0">
        <w:t xml:space="preserve">. </w:t>
      </w:r>
    </w:p>
    <w:p w14:paraId="4EFF0D6F" w14:textId="0CB26211" w:rsidR="00E65DA0" w:rsidRDefault="00E65DA0" w:rsidP="00E65DA0">
      <w:r w:rsidRPr="009E4E5E">
        <w:t xml:space="preserve">If </w:t>
      </w:r>
      <w:r>
        <w:t>such events</w:t>
      </w:r>
      <w:r w:rsidRPr="009E4E5E">
        <w:t xml:space="preserve"> occur, the timing and scale of the emissions increase may be so large that it cannot be made up for domestically. We consider that only these circumstances justify using offshore mitigation for the first three emissions budgets. </w:t>
      </w:r>
      <w:r>
        <w:t>Even if this happens, we should exhaust d</w:t>
      </w:r>
      <w:r w:rsidRPr="009E4E5E">
        <w:t>omestic options first</w:t>
      </w:r>
      <w:r>
        <w:t xml:space="preserve">, with </w:t>
      </w:r>
      <w:r w:rsidRPr="009E4E5E">
        <w:t>offshore mitigation the last resort.</w:t>
      </w:r>
    </w:p>
    <w:p w14:paraId="29B33FBB" w14:textId="419BF4DB" w:rsidR="00E65DA0" w:rsidRDefault="00E65DA0" w:rsidP="00E65DA0">
      <w:r w:rsidRPr="007F039E">
        <w:t>As</w:t>
      </w:r>
      <w:r>
        <w:t xml:space="preserve"> </w:t>
      </w:r>
      <w:r w:rsidRPr="007F039E">
        <w:t>emissions</w:t>
      </w:r>
      <w:r>
        <w:t xml:space="preserve"> </w:t>
      </w:r>
      <w:r w:rsidRPr="007F039E">
        <w:t>reduce,</w:t>
      </w:r>
      <w:r>
        <w:t xml:space="preserve"> </w:t>
      </w:r>
      <w:r w:rsidRPr="007F039E">
        <w:t>however,</w:t>
      </w:r>
      <w:r>
        <w:t xml:space="preserve"> it </w:t>
      </w:r>
      <w:r w:rsidRPr="007F039E">
        <w:t>may</w:t>
      </w:r>
      <w:r>
        <w:t xml:space="preserve"> </w:t>
      </w:r>
      <w:r w:rsidRPr="007F039E">
        <w:t>become</w:t>
      </w:r>
      <w:r>
        <w:t xml:space="preserve"> </w:t>
      </w:r>
      <w:r w:rsidRPr="007F039E">
        <w:t>harder</w:t>
      </w:r>
      <w:r>
        <w:t xml:space="preserve"> </w:t>
      </w:r>
      <w:r w:rsidRPr="007F039E">
        <w:t>and</w:t>
      </w:r>
      <w:r>
        <w:t xml:space="preserve"> </w:t>
      </w:r>
      <w:r w:rsidRPr="007F039E">
        <w:t>more</w:t>
      </w:r>
      <w:r>
        <w:t xml:space="preserve"> </w:t>
      </w:r>
      <w:r w:rsidRPr="007F039E">
        <w:t>expensive</w:t>
      </w:r>
      <w:r>
        <w:t xml:space="preserve"> </w:t>
      </w:r>
      <w:r w:rsidRPr="007F039E">
        <w:t>to</w:t>
      </w:r>
      <w:r>
        <w:t xml:space="preserve"> </w:t>
      </w:r>
      <w:r w:rsidRPr="007F039E">
        <w:t>reduce</w:t>
      </w:r>
      <w:r>
        <w:t xml:space="preserve"> emissions further</w:t>
      </w:r>
      <w:r w:rsidRPr="007F039E">
        <w:t>.</w:t>
      </w:r>
      <w:r>
        <w:t xml:space="preserve"> If there were consistent barriers in the known areas of uncertainty or i</w:t>
      </w:r>
      <w:r w:rsidRPr="007F039E">
        <w:t>f</w:t>
      </w:r>
      <w:r>
        <w:t xml:space="preserve"> technologies were to repeatedly deliver </w:t>
      </w:r>
      <w:r w:rsidR="00526965">
        <w:t>fewer</w:t>
      </w:r>
      <w:r>
        <w:t xml:space="preserve"> emissions reductions than expected, </w:t>
      </w:r>
      <w:r w:rsidRPr="007F039E">
        <w:t>it</w:t>
      </w:r>
      <w:r>
        <w:t xml:space="preserve"> could </w:t>
      </w:r>
      <w:r w:rsidRPr="007F039E">
        <w:t>become</w:t>
      </w:r>
      <w:r>
        <w:t xml:space="preserve"> </w:t>
      </w:r>
      <w:r w:rsidRPr="007F039E">
        <w:t>more</w:t>
      </w:r>
      <w:r>
        <w:t xml:space="preserve"> </w:t>
      </w:r>
      <w:r w:rsidRPr="007F039E">
        <w:t>difficult</w:t>
      </w:r>
      <w:r>
        <w:t xml:space="preserve"> </w:t>
      </w:r>
      <w:r w:rsidRPr="007F039E">
        <w:t>to</w:t>
      </w:r>
      <w:r>
        <w:t xml:space="preserve"> </w:t>
      </w:r>
      <w:r w:rsidRPr="007F039E">
        <w:t>stay</w:t>
      </w:r>
      <w:r>
        <w:t xml:space="preserve"> </w:t>
      </w:r>
      <w:r w:rsidRPr="007F039E">
        <w:t>on</w:t>
      </w:r>
      <w:r>
        <w:t xml:space="preserve"> </w:t>
      </w:r>
      <w:r w:rsidRPr="007F039E">
        <w:t>track</w:t>
      </w:r>
      <w:r>
        <w:t xml:space="preserve"> </w:t>
      </w:r>
      <w:r w:rsidRPr="007F039E">
        <w:t>to</w:t>
      </w:r>
      <w:r>
        <w:t xml:space="preserve"> </w:t>
      </w:r>
      <w:r w:rsidRPr="007F039E">
        <w:t>meet</w:t>
      </w:r>
      <w:r>
        <w:t xml:space="preserve"> </w:t>
      </w:r>
      <w:r w:rsidRPr="007F039E">
        <w:t>the</w:t>
      </w:r>
      <w:r>
        <w:t xml:space="preserve"> </w:t>
      </w:r>
      <w:r w:rsidRPr="007F039E">
        <w:t>2050</w:t>
      </w:r>
      <w:r>
        <w:t xml:space="preserve"> </w:t>
      </w:r>
      <w:r w:rsidRPr="007F039E">
        <w:t>target.</w:t>
      </w:r>
      <w:r>
        <w:t xml:space="preserve"> </w:t>
      </w:r>
      <w:r w:rsidRPr="007F039E">
        <w:t>This</w:t>
      </w:r>
      <w:r>
        <w:t xml:space="preserve"> </w:t>
      </w:r>
      <w:r w:rsidRPr="007F039E">
        <w:t>is</w:t>
      </w:r>
      <w:r>
        <w:t xml:space="preserve"> </w:t>
      </w:r>
      <w:r w:rsidRPr="007F039E">
        <w:t>why</w:t>
      </w:r>
      <w:r>
        <w:t xml:space="preserve"> </w:t>
      </w:r>
      <w:r w:rsidRPr="007F039E">
        <w:t>we</w:t>
      </w:r>
      <w:r>
        <w:t xml:space="preserve"> may revisit </w:t>
      </w:r>
      <w:r w:rsidRPr="007F039E">
        <w:t>the</w:t>
      </w:r>
      <w:r>
        <w:t xml:space="preserve"> </w:t>
      </w:r>
      <w:r w:rsidRPr="007F039E">
        <w:t>possibility</w:t>
      </w:r>
      <w:r>
        <w:t xml:space="preserve"> </w:t>
      </w:r>
      <w:r w:rsidRPr="007F039E">
        <w:t>of</w:t>
      </w:r>
      <w:r>
        <w:t xml:space="preserve"> </w:t>
      </w:r>
      <w:r w:rsidRPr="007F039E">
        <w:t>offshore</w:t>
      </w:r>
      <w:r>
        <w:t xml:space="preserve"> </w:t>
      </w:r>
      <w:r w:rsidRPr="007F039E">
        <w:t>mitigation</w:t>
      </w:r>
      <w:r>
        <w:t xml:space="preserve"> for later emissions budgets </w:t>
      </w:r>
      <w:r w:rsidRPr="007F039E">
        <w:t>as</w:t>
      </w:r>
      <w:r>
        <w:t xml:space="preserve"> </w:t>
      </w:r>
      <w:r w:rsidRPr="007F039E">
        <w:t>Aotearoa</w:t>
      </w:r>
      <w:r>
        <w:t xml:space="preserve"> </w:t>
      </w:r>
      <w:r w:rsidRPr="007F039E">
        <w:t>approaches</w:t>
      </w:r>
      <w:r>
        <w:t xml:space="preserve"> </w:t>
      </w:r>
      <w:r w:rsidRPr="007F039E">
        <w:t>2050.</w:t>
      </w:r>
      <w:r>
        <w:t xml:space="preserve"> </w:t>
      </w:r>
    </w:p>
    <w:p w14:paraId="5CA0ABB1" w14:textId="77777777" w:rsidR="00E65DA0" w:rsidRDefault="00E65DA0" w:rsidP="00E65DA0">
      <w:r w:rsidRPr="00B830A3">
        <w:t xml:space="preserve">By their nature, </w:t>
      </w:r>
      <w:r>
        <w:t xml:space="preserve">the exceptional or </w:t>
      </w:r>
      <w:r w:rsidRPr="00B830A3">
        <w:t xml:space="preserve">force majeure circumstances that </w:t>
      </w:r>
      <w:r>
        <w:t>would</w:t>
      </w:r>
      <w:r w:rsidRPr="00B830A3">
        <w:t xml:space="preserve"> justify using offshore mitigation are unforeseeable and unquantifiable. It is not possible to predict the scale of offshore mitigation that might be needed if they occur. Therefore, we recommend </w:t>
      </w:r>
      <w:r>
        <w:t xml:space="preserve">a </w:t>
      </w:r>
      <w:r w:rsidRPr="00B830A3">
        <w:t xml:space="preserve">limit on offshore mitigation </w:t>
      </w:r>
      <w:r>
        <w:t xml:space="preserve">of </w:t>
      </w:r>
      <w:r w:rsidRPr="00B830A3">
        <w:t>zero for the first three emissions budgets</w:t>
      </w:r>
      <w:r>
        <w:t xml:space="preserve"> except in the case of force majeure events</w:t>
      </w:r>
      <w:r w:rsidRPr="00B830A3">
        <w:t>.</w:t>
      </w:r>
    </w:p>
    <w:p w14:paraId="79E5845E" w14:textId="77777777" w:rsidR="00A666C6" w:rsidRDefault="00A666C6" w:rsidP="00E65DA0"/>
    <w:tbl>
      <w:tblPr>
        <w:tblStyle w:val="GridTable4-Accent2"/>
        <w:tblW w:w="0" w:type="auto"/>
        <w:tblCellMar>
          <w:top w:w="57" w:type="dxa"/>
          <w:bottom w:w="57" w:type="dxa"/>
        </w:tblCellMar>
        <w:tblLook w:val="04A0" w:firstRow="1" w:lastRow="0" w:firstColumn="1" w:lastColumn="0" w:noHBand="0" w:noVBand="1"/>
      </w:tblPr>
      <w:tblGrid>
        <w:gridCol w:w="9016"/>
      </w:tblGrid>
      <w:tr w:rsidR="00E95CFC" w:rsidRPr="00EA4071" w14:paraId="3B37BE36"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CDFF4F5" w14:textId="2B6322DB" w:rsidR="00E95CFC" w:rsidRPr="00BA7CD8" w:rsidRDefault="00E95CFC" w:rsidP="0052109F">
            <w:pPr>
              <w:pStyle w:val="Content"/>
              <w:spacing w:before="0" w:after="0"/>
              <w:jc w:val="center"/>
              <w:rPr>
                <w:bCs w:val="0"/>
                <w:color w:val="000000" w:themeColor="text1"/>
                <w:sz w:val="24"/>
                <w:szCs w:val="24"/>
                <w:lang w:val="en-US"/>
              </w:rPr>
            </w:pPr>
            <w:r>
              <w:rPr>
                <w:bCs w:val="0"/>
                <w:sz w:val="28"/>
                <w:szCs w:val="28"/>
              </w:rPr>
              <w:t>Budget</w:t>
            </w:r>
            <w:r w:rsidRPr="00BA7CD8">
              <w:rPr>
                <w:bCs w:val="0"/>
                <w:sz w:val="28"/>
                <w:szCs w:val="28"/>
              </w:rPr>
              <w:t xml:space="preserve"> recommendation </w:t>
            </w:r>
            <w:r w:rsidR="00DD61A0">
              <w:rPr>
                <w:bCs w:val="0"/>
                <w:sz w:val="28"/>
                <w:szCs w:val="28"/>
              </w:rPr>
              <w:t>4</w:t>
            </w:r>
          </w:p>
          <w:p w14:paraId="66C55416" w14:textId="6F701875" w:rsidR="00E95CFC" w:rsidRPr="00EA4071" w:rsidRDefault="00E95CFC" w:rsidP="0052109F">
            <w:pPr>
              <w:pStyle w:val="Content"/>
              <w:spacing w:before="0" w:after="0"/>
              <w:jc w:val="center"/>
              <w:rPr>
                <w:b w:val="0"/>
                <w:sz w:val="28"/>
                <w:szCs w:val="28"/>
              </w:rPr>
            </w:pPr>
            <w:r w:rsidRPr="00E95CFC">
              <w:rPr>
                <w:b w:val="0"/>
                <w:sz w:val="28"/>
                <w:szCs w:val="28"/>
                <w:lang w:val="en-US"/>
              </w:rPr>
              <w:t xml:space="preserve">Limit on offshore mitigation for emissions budgets </w:t>
            </w:r>
            <w:r>
              <w:rPr>
                <w:b w:val="0"/>
                <w:sz w:val="28"/>
                <w:szCs w:val="28"/>
                <w:lang w:val="en-US"/>
              </w:rPr>
              <w:br/>
            </w:r>
            <w:r w:rsidRPr="00E95CFC">
              <w:rPr>
                <w:b w:val="0"/>
                <w:sz w:val="28"/>
                <w:szCs w:val="28"/>
                <w:lang w:val="en-US"/>
              </w:rPr>
              <w:t>and circumstances justifying its use</w:t>
            </w:r>
          </w:p>
        </w:tc>
      </w:tr>
      <w:tr w:rsidR="00E95CFC" w:rsidRPr="00EA4071" w14:paraId="6BF7B7ED"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A17BCB6" w14:textId="77777777" w:rsidR="00A666C6" w:rsidRPr="004953B2" w:rsidRDefault="00A666C6" w:rsidP="00A666C6">
            <w:r w:rsidRPr="004953B2">
              <w:t>We recommend that, given that emissions budgets must be met as far as possible through domestic action, for the purposes of meeting emissions budgets:</w:t>
            </w:r>
          </w:p>
          <w:p w14:paraId="4BAF497D" w14:textId="7F4B3BC5" w:rsidR="00A666C6" w:rsidRPr="004953B2" w:rsidRDefault="00A666C6" w:rsidP="00655722">
            <w:pPr>
              <w:pStyle w:val="ListParagraph"/>
              <w:numPr>
                <w:ilvl w:val="0"/>
                <w:numId w:val="22"/>
              </w:numPr>
              <w:spacing w:before="120" w:after="120"/>
              <w:contextualSpacing w:val="0"/>
            </w:pPr>
            <w:r w:rsidRPr="004953B2">
              <w:t>The limit on offshore mitigation should be zero for the first three emissions budgets.</w:t>
            </w:r>
          </w:p>
          <w:p w14:paraId="0109B1D4" w14:textId="01D21AF4" w:rsidR="00E95CFC" w:rsidRPr="00A666C6" w:rsidRDefault="00A666C6" w:rsidP="00655722">
            <w:pPr>
              <w:pStyle w:val="ListParagraph"/>
              <w:numPr>
                <w:ilvl w:val="0"/>
                <w:numId w:val="22"/>
              </w:numPr>
              <w:spacing w:before="120" w:after="120"/>
              <w:ind w:left="714" w:hanging="357"/>
              <w:contextualSpacing w:val="0"/>
            </w:pPr>
            <w:r w:rsidRPr="004953B2">
              <w:t xml:space="preserve">The only circumstances that at this stage would justify the use of offshore mitigation </w:t>
            </w:r>
            <w:r w:rsidR="00E90B0B">
              <w:t>is</w:t>
            </w:r>
            <w:r w:rsidRPr="004953B2">
              <w:t xml:space="preserve"> as a last resort in exceptional circumstances beyond the Government’s control, such as force majeure events, where domestic measures cannot compensate for emissions impacts.</w:t>
            </w:r>
            <w:r w:rsidRPr="0010189C">
              <w:rPr>
                <w:b w:val="0"/>
                <w:bCs w:val="0"/>
              </w:rPr>
              <w:t xml:space="preserve"> </w:t>
            </w:r>
          </w:p>
        </w:tc>
      </w:tr>
    </w:tbl>
    <w:p w14:paraId="0A7D19B7" w14:textId="77777777" w:rsidR="004064EE" w:rsidRPr="004064EE" w:rsidRDefault="004064EE" w:rsidP="004064EE">
      <w:pPr>
        <w:pStyle w:val="Content"/>
      </w:pPr>
    </w:p>
    <w:p w14:paraId="58FB6761" w14:textId="77777777" w:rsidR="00D90EFE" w:rsidRDefault="00D90EFE" w:rsidP="00870875">
      <w:pPr>
        <w:pStyle w:val="Content"/>
      </w:pPr>
    </w:p>
    <w:p w14:paraId="56E9FE03" w14:textId="77777777" w:rsidR="00D90EFE" w:rsidRDefault="00D90EFE" w:rsidP="00870875">
      <w:pPr>
        <w:pStyle w:val="Content"/>
      </w:pPr>
    </w:p>
    <w:p w14:paraId="78DE7610" w14:textId="77777777" w:rsidR="00D90EFE" w:rsidRPr="00870875" w:rsidRDefault="00D90EFE" w:rsidP="00870875">
      <w:pPr>
        <w:pStyle w:val="Content"/>
      </w:pPr>
    </w:p>
    <w:tbl>
      <w:tblPr>
        <w:tblStyle w:val="GridTable4-Accent2"/>
        <w:tblW w:w="0" w:type="auto"/>
        <w:shd w:val="clear" w:color="auto" w:fill="C6B1D1"/>
        <w:tblCellMar>
          <w:top w:w="57" w:type="dxa"/>
          <w:bottom w:w="57" w:type="dxa"/>
        </w:tblCellMar>
        <w:tblLook w:val="04A0" w:firstRow="1" w:lastRow="0" w:firstColumn="1" w:lastColumn="0" w:noHBand="0" w:noVBand="1"/>
      </w:tblPr>
      <w:tblGrid>
        <w:gridCol w:w="9016"/>
      </w:tblGrid>
      <w:tr w:rsidR="002A2E88" w:rsidRPr="00EA4071" w14:paraId="1FB4C7C1" w14:textId="77777777" w:rsidTr="00057B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9E76B3"/>
          </w:tcPr>
          <w:p w14:paraId="468EE171" w14:textId="77777777" w:rsidR="002A2E88" w:rsidRPr="00BA7CD8" w:rsidRDefault="002A2E88" w:rsidP="00057B3C">
            <w:pPr>
              <w:pStyle w:val="Content"/>
              <w:spacing w:before="0" w:after="0"/>
              <w:jc w:val="center"/>
              <w:rPr>
                <w:bCs w:val="0"/>
                <w:color w:val="000000" w:themeColor="text1"/>
                <w:sz w:val="24"/>
                <w:szCs w:val="24"/>
                <w:lang w:val="en-US"/>
              </w:rPr>
            </w:pPr>
            <w:bookmarkStart w:id="43" w:name="_Hlk61441610"/>
            <w:r>
              <w:rPr>
                <w:bCs w:val="0"/>
                <w:sz w:val="28"/>
                <w:szCs w:val="28"/>
              </w:rPr>
              <w:t>Consultation question 4</w:t>
            </w:r>
          </w:p>
          <w:p w14:paraId="726B76AD" w14:textId="77777777" w:rsidR="002A2E88" w:rsidRPr="00EA4071" w:rsidRDefault="002A2E88" w:rsidP="00057B3C">
            <w:pPr>
              <w:pStyle w:val="Content"/>
              <w:spacing w:before="0" w:after="0"/>
              <w:jc w:val="center"/>
              <w:rPr>
                <w:b w:val="0"/>
                <w:sz w:val="28"/>
                <w:szCs w:val="28"/>
              </w:rPr>
            </w:pPr>
            <w:r w:rsidRPr="00E95CFC">
              <w:rPr>
                <w:b w:val="0"/>
                <w:sz w:val="28"/>
                <w:szCs w:val="28"/>
                <w:lang w:val="en-US"/>
              </w:rPr>
              <w:t xml:space="preserve">Limit on offshore mitigation for emissions budgets </w:t>
            </w:r>
            <w:r>
              <w:rPr>
                <w:b w:val="0"/>
                <w:sz w:val="28"/>
                <w:szCs w:val="28"/>
                <w:lang w:val="en-US"/>
              </w:rPr>
              <w:br/>
            </w:r>
            <w:r w:rsidRPr="00E95CFC">
              <w:rPr>
                <w:b w:val="0"/>
                <w:sz w:val="28"/>
                <w:szCs w:val="28"/>
                <w:lang w:val="en-US"/>
              </w:rPr>
              <w:t>and circumstances justifying its use</w:t>
            </w:r>
          </w:p>
        </w:tc>
      </w:tr>
      <w:tr w:rsidR="006A203F" w:rsidRPr="00EA4071" w14:paraId="004C3FC4" w14:textId="77777777" w:rsidTr="00057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C6B1D1"/>
          </w:tcPr>
          <w:p w14:paraId="75600928" w14:textId="35A8820C" w:rsidR="006A203F" w:rsidRPr="00EA4071" w:rsidRDefault="006A203F" w:rsidP="006A203F">
            <w:pPr>
              <w:pStyle w:val="Content"/>
              <w:rPr>
                <w:b w:val="0"/>
              </w:rPr>
            </w:pPr>
            <w:r w:rsidRPr="00B2626E">
              <w:rPr>
                <w:bCs w:val="0"/>
              </w:rPr>
              <w:t xml:space="preserve">Do you </w:t>
            </w:r>
            <w:r>
              <w:rPr>
                <w:bCs w:val="0"/>
              </w:rPr>
              <w:t>support b</w:t>
            </w:r>
            <w:r w:rsidRPr="00B2626E">
              <w:rPr>
                <w:bCs w:val="0"/>
              </w:rPr>
              <w:t>udget recommendation 4</w:t>
            </w:r>
            <w:r>
              <w:rPr>
                <w:bCs w:val="0"/>
              </w:rPr>
              <w:t>? Is there anything we should change, and why</w:t>
            </w:r>
            <w:r w:rsidRPr="00E5673C">
              <w:rPr>
                <w:bCs w:val="0"/>
              </w:rPr>
              <w:t>?</w:t>
            </w:r>
          </w:p>
        </w:tc>
      </w:tr>
    </w:tbl>
    <w:p w14:paraId="3AC52F20" w14:textId="251C7611" w:rsidR="00E65DA0" w:rsidRDefault="00550F05" w:rsidP="00E65DA0">
      <w:pPr>
        <w:pStyle w:val="Heading2"/>
      </w:pPr>
      <w:bookmarkStart w:id="44" w:name="_Toc62650249"/>
      <w:bookmarkEnd w:id="43"/>
      <w:r>
        <w:t xml:space="preserve">2.6 </w:t>
      </w:r>
      <w:r w:rsidR="00E65DA0">
        <w:t>Enabling an enduring climate transition</w:t>
      </w:r>
      <w:bookmarkEnd w:id="44"/>
    </w:p>
    <w:p w14:paraId="56887420" w14:textId="7460BE78" w:rsidR="00CA48E0" w:rsidRDefault="00E65DA0" w:rsidP="00E65DA0">
      <w:r w:rsidRPr="006F5718">
        <w:t>Climate</w:t>
      </w:r>
      <w:r>
        <w:t xml:space="preserve"> </w:t>
      </w:r>
      <w:r w:rsidRPr="006F5718">
        <w:t>change</w:t>
      </w:r>
      <w:r>
        <w:t xml:space="preserve"> </w:t>
      </w:r>
      <w:r w:rsidRPr="006F5718">
        <w:t>is</w:t>
      </w:r>
      <w:r>
        <w:t xml:space="preserve"> an </w:t>
      </w:r>
      <w:r w:rsidRPr="006F5718">
        <w:t>intergenerational</w:t>
      </w:r>
      <w:r>
        <w:t xml:space="preserve"> and cross-system </w:t>
      </w:r>
      <w:r w:rsidRPr="006F5718">
        <w:t>issue.</w:t>
      </w:r>
      <w:r>
        <w:t xml:space="preserve"> </w:t>
      </w:r>
      <w:r w:rsidR="00CA48E0">
        <w:t xml:space="preserve">Taking actions to address it will require unprecedented </w:t>
      </w:r>
      <w:r w:rsidR="00613127">
        <w:t>coordination</w:t>
      </w:r>
      <w:r w:rsidR="000B3357">
        <w:t>, an inclusive approach</w:t>
      </w:r>
      <w:r w:rsidR="00AA25B2">
        <w:t xml:space="preserve"> and a step change in</w:t>
      </w:r>
      <w:r w:rsidR="00AA25B2" w:rsidDel="00527D05">
        <w:t xml:space="preserve"> </w:t>
      </w:r>
      <w:r w:rsidR="00AA25B2">
        <w:t xml:space="preserve">climate policy </w:t>
      </w:r>
      <w:r w:rsidR="00527D05">
        <w:t xml:space="preserve">in Aotearoa </w:t>
      </w:r>
      <w:r w:rsidR="00AA25B2">
        <w:t>to drive emissions reductions.</w:t>
      </w:r>
    </w:p>
    <w:p w14:paraId="2A69932D" w14:textId="4B07C2C9" w:rsidR="0084790A" w:rsidRDefault="003B2351" w:rsidP="0084790A">
      <w:r>
        <w:t xml:space="preserve">Many of the changes that will need to be made will take time to implement. </w:t>
      </w:r>
      <w:r w:rsidR="00E65DA0">
        <w:t>It will</w:t>
      </w:r>
      <w:r>
        <w:t>, therefore,</w:t>
      </w:r>
      <w:r w:rsidR="0084790A">
        <w:t xml:space="preserve"> require Aotearoa to look forward not just to </w:t>
      </w:r>
      <w:r>
        <w:t>the next few years</w:t>
      </w:r>
      <w:r w:rsidR="0084790A">
        <w:t xml:space="preserve">, but to 2050 and beyond. </w:t>
      </w:r>
      <w:r w:rsidR="00CA34A2">
        <w:t xml:space="preserve">Taking a long-term view and </w:t>
      </w:r>
      <w:r w:rsidR="006C661B">
        <w:t>sending signals early will help to provide communities, businesses and investors with the predictability that they need to plan.</w:t>
      </w:r>
    </w:p>
    <w:p w14:paraId="39ADBE02" w14:textId="0054AFEA" w:rsidR="00E65DA0" w:rsidRDefault="00AA25B2" w:rsidP="00E65DA0">
      <w:r>
        <w:t>Climate change</w:t>
      </w:r>
      <w:r w:rsidR="00E65DA0">
        <w:t xml:space="preserve"> touch</w:t>
      </w:r>
      <w:r>
        <w:t>es</w:t>
      </w:r>
      <w:r w:rsidR="00E65DA0">
        <w:t xml:space="preserve"> on the lives of </w:t>
      </w:r>
      <w:r w:rsidR="7A444FD5">
        <w:t>everyone that lives in Aotearoa</w:t>
      </w:r>
      <w:r w:rsidR="006F447A">
        <w:t>.</w:t>
      </w:r>
      <w:r w:rsidR="3E2BE670">
        <w:t xml:space="preserve"> This means </w:t>
      </w:r>
      <w:r w:rsidR="00E65DA0">
        <w:t>all New Zealanders, businesses, industries, communities and regions will need to play their part in addressing it. Ensuring that the actions Aotearoa takes to reduce emissions are enduring will require an inclusive and transparent approach with all New Zealanders working together.</w:t>
      </w:r>
    </w:p>
    <w:p w14:paraId="595F3555" w14:textId="709547CC" w:rsidR="00E65DA0" w:rsidRDefault="00E65DA0" w:rsidP="00E65DA0">
      <w:r>
        <w:t xml:space="preserve">This </w:t>
      </w:r>
      <w:r w:rsidRPr="001670D6">
        <w:t xml:space="preserve">section contains </w:t>
      </w:r>
      <w:r w:rsidR="001670D6" w:rsidRPr="001670D6">
        <w:t>five</w:t>
      </w:r>
      <w:r w:rsidRPr="001670D6">
        <w:t xml:space="preserve"> recommendations that</w:t>
      </w:r>
      <w:r>
        <w:t xml:space="preserve"> will be crucial for ensuring that the climate transition is enduring. </w:t>
      </w:r>
    </w:p>
    <w:p w14:paraId="348DD938" w14:textId="3224DDF3" w:rsidR="00E65DA0" w:rsidRPr="006F5718" w:rsidRDefault="00550F05" w:rsidP="00E65DA0">
      <w:pPr>
        <w:pStyle w:val="Heading3"/>
      </w:pPr>
      <w:bookmarkStart w:id="45" w:name="_Toc58840891"/>
      <w:bookmarkStart w:id="46" w:name="_Toc58857565"/>
      <w:bookmarkStart w:id="47" w:name="_Toc62649309"/>
      <w:bookmarkStart w:id="48" w:name="_Toc62650250"/>
      <w:r>
        <w:t xml:space="preserve">2.6.1 </w:t>
      </w:r>
      <w:r w:rsidR="00E65DA0">
        <w:t>Cross-party support for emissions budgets</w:t>
      </w:r>
      <w:bookmarkEnd w:id="45"/>
      <w:bookmarkEnd w:id="46"/>
      <w:bookmarkEnd w:id="47"/>
      <w:bookmarkEnd w:id="48"/>
    </w:p>
    <w:p w14:paraId="40D2FCEE" w14:textId="45D8B1FD" w:rsidR="00E65DA0" w:rsidRDefault="00E65DA0" w:rsidP="00E65DA0">
      <w:r w:rsidRPr="00A55BC5">
        <w:t xml:space="preserve">There will be ten elections between now and 2050. </w:t>
      </w:r>
      <w:r>
        <w:t xml:space="preserve">Abrupt changes of </w:t>
      </w:r>
      <w:r w:rsidRPr="006F5718">
        <w:t>course</w:t>
      </w:r>
      <w:r>
        <w:t xml:space="preserve"> </w:t>
      </w:r>
      <w:r w:rsidRPr="006F5718">
        <w:t>as</w:t>
      </w:r>
      <w:r>
        <w:t xml:space="preserve"> government </w:t>
      </w:r>
      <w:r w:rsidRPr="006F5718">
        <w:t>change</w:t>
      </w:r>
      <w:r>
        <w:t xml:space="preserve">s </w:t>
      </w:r>
      <w:r w:rsidRPr="006F5718">
        <w:t>w</w:t>
      </w:r>
      <w:r w:rsidR="009D71DA">
        <w:t>ould</w:t>
      </w:r>
      <w:r>
        <w:t xml:space="preserve"> </w:t>
      </w:r>
      <w:r w:rsidRPr="006F5718">
        <w:t>not</w:t>
      </w:r>
      <w:r>
        <w:t xml:space="preserve"> </w:t>
      </w:r>
      <w:r w:rsidRPr="006F5718">
        <w:t>give</w:t>
      </w:r>
      <w:r>
        <w:t xml:space="preserve"> </w:t>
      </w:r>
      <w:r w:rsidRPr="006F5718">
        <w:t>businesses</w:t>
      </w:r>
      <w:r>
        <w:t xml:space="preserve"> </w:t>
      </w:r>
      <w:r w:rsidRPr="006F5718">
        <w:t>and</w:t>
      </w:r>
      <w:r>
        <w:t xml:space="preserve"> </w:t>
      </w:r>
      <w:r w:rsidRPr="006F5718">
        <w:t>individuals</w:t>
      </w:r>
      <w:r>
        <w:t xml:space="preserve"> </w:t>
      </w:r>
      <w:r w:rsidRPr="006F5718">
        <w:t>the</w:t>
      </w:r>
      <w:r>
        <w:t xml:space="preserve"> </w:t>
      </w:r>
      <w:r w:rsidRPr="006F5718">
        <w:t>predictability</w:t>
      </w:r>
      <w:r>
        <w:t xml:space="preserve"> </w:t>
      </w:r>
      <w:r w:rsidRPr="006F5718">
        <w:t>they</w:t>
      </w:r>
      <w:r>
        <w:t xml:space="preserve"> </w:t>
      </w:r>
      <w:r w:rsidRPr="006F5718">
        <w:t>need</w:t>
      </w:r>
      <w:r>
        <w:t xml:space="preserve"> </w:t>
      </w:r>
      <w:r w:rsidRPr="006F5718">
        <w:t>to</w:t>
      </w:r>
      <w:r>
        <w:t xml:space="preserve"> </w:t>
      </w:r>
      <w:r w:rsidRPr="006F5718">
        <w:t>make</w:t>
      </w:r>
      <w:r>
        <w:t xml:space="preserve"> </w:t>
      </w:r>
      <w:r w:rsidRPr="006F5718">
        <w:t>decisions.</w:t>
      </w:r>
      <w:r>
        <w:t xml:space="preserve"> </w:t>
      </w:r>
    </w:p>
    <w:p w14:paraId="317D474C" w14:textId="320D7467" w:rsidR="004064EE" w:rsidRPr="004064EE" w:rsidRDefault="00E65DA0" w:rsidP="004064EE">
      <w:r>
        <w:t>It is critical that emissions budgets are non-partisan and set transparently to ensure enduring progress. While the Minister is already required under the Act to consult with other political parties on emissions budgets before they are notified, debating the budgets in parliament is important to ensure transparency and to</w:t>
      </w:r>
      <w:r w:rsidRPr="0089627A">
        <w:t xml:space="preserve"> ensure </w:t>
      </w:r>
      <w:r>
        <w:t>that cross-party deliberations are on the parliamentary record</w:t>
      </w:r>
      <w:r w:rsidRPr="0089627A">
        <w:t>.</w:t>
      </w:r>
    </w:p>
    <w:p w14:paraId="6A315F25" w14:textId="77777777" w:rsidR="00D90EFE" w:rsidRPr="00D90EFE" w:rsidRDefault="00D90EFE" w:rsidP="00E65DA0"/>
    <w:tbl>
      <w:tblPr>
        <w:tblStyle w:val="GridTable4-Accent2"/>
        <w:tblW w:w="0" w:type="auto"/>
        <w:tblCellMar>
          <w:top w:w="57" w:type="dxa"/>
          <w:bottom w:w="57" w:type="dxa"/>
        </w:tblCellMar>
        <w:tblLook w:val="04A0" w:firstRow="1" w:lastRow="0" w:firstColumn="1" w:lastColumn="0" w:noHBand="0" w:noVBand="1"/>
      </w:tblPr>
      <w:tblGrid>
        <w:gridCol w:w="9016"/>
      </w:tblGrid>
      <w:tr w:rsidR="007604E4" w:rsidRPr="00EA4071" w14:paraId="0438B232"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3CA952C" w14:textId="6B8630E2" w:rsidR="007604E4" w:rsidRPr="00BA7CD8" w:rsidRDefault="007604E4" w:rsidP="0052109F">
            <w:pPr>
              <w:pStyle w:val="Content"/>
              <w:spacing w:before="0" w:after="0"/>
              <w:jc w:val="center"/>
              <w:rPr>
                <w:bCs w:val="0"/>
                <w:color w:val="000000" w:themeColor="text1"/>
                <w:sz w:val="24"/>
                <w:szCs w:val="24"/>
                <w:lang w:val="en-US"/>
              </w:rPr>
            </w:pPr>
            <w:r>
              <w:rPr>
                <w:bCs w:val="0"/>
                <w:sz w:val="28"/>
                <w:szCs w:val="28"/>
              </w:rPr>
              <w:t>Enabling</w:t>
            </w:r>
            <w:r w:rsidRPr="00BA7CD8">
              <w:rPr>
                <w:bCs w:val="0"/>
                <w:sz w:val="28"/>
                <w:szCs w:val="28"/>
              </w:rPr>
              <w:t xml:space="preserve"> recommendation 1</w:t>
            </w:r>
          </w:p>
          <w:p w14:paraId="0DC97275" w14:textId="392B9F74" w:rsidR="007604E4" w:rsidRPr="00EA4071" w:rsidRDefault="007604E4" w:rsidP="0052109F">
            <w:pPr>
              <w:pStyle w:val="Content"/>
              <w:spacing w:before="0" w:after="0"/>
              <w:jc w:val="center"/>
              <w:rPr>
                <w:b w:val="0"/>
                <w:sz w:val="28"/>
                <w:szCs w:val="28"/>
              </w:rPr>
            </w:pPr>
            <w:r w:rsidRPr="007604E4">
              <w:rPr>
                <w:b w:val="0"/>
                <w:sz w:val="28"/>
                <w:szCs w:val="28"/>
                <w:lang w:val="en-US"/>
              </w:rPr>
              <w:t>Cross-party support for emissions budgets</w:t>
            </w:r>
          </w:p>
        </w:tc>
      </w:tr>
      <w:tr w:rsidR="007604E4" w:rsidRPr="00EA4071" w14:paraId="281AF0D4"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46B6C00" w14:textId="3141FB9B" w:rsidR="007604E4" w:rsidRPr="008761FA" w:rsidRDefault="007604E4" w:rsidP="007604E4">
            <w:pPr>
              <w:pStyle w:val="Content"/>
              <w:rPr>
                <w:bCs w:val="0"/>
              </w:rPr>
            </w:pPr>
            <w:r w:rsidRPr="008761FA">
              <w:rPr>
                <w:bCs w:val="0"/>
              </w:rPr>
              <w:t>We recommend the Minister for Climate Change seek cross-party support on emissions budgets. We note that the Minister must consult representatives of political parties on emissions budgets before they are notified but</w:t>
            </w:r>
            <w:r w:rsidR="0058704A">
              <w:rPr>
                <w:bCs w:val="0"/>
              </w:rPr>
              <w:t>,</w:t>
            </w:r>
            <w:r w:rsidRPr="008761FA">
              <w:rPr>
                <w:bCs w:val="0"/>
              </w:rPr>
              <w:t xml:space="preserve"> in addition to this</w:t>
            </w:r>
            <w:r w:rsidR="0058704A">
              <w:rPr>
                <w:bCs w:val="0"/>
              </w:rPr>
              <w:t>,</w:t>
            </w:r>
            <w:r w:rsidRPr="008761FA">
              <w:rPr>
                <w:bCs w:val="0"/>
              </w:rPr>
              <w:t xml:space="preserve"> the Minister should also </w:t>
            </w:r>
            <w:r w:rsidR="00D90EFE">
              <w:rPr>
                <w:bCs w:val="0"/>
              </w:rPr>
              <w:t xml:space="preserve">seek to </w:t>
            </w:r>
            <w:r w:rsidRPr="008761FA">
              <w:rPr>
                <w:bCs w:val="0"/>
              </w:rPr>
              <w:t>ensure that the emissions budgets are debated in the House of Representatives so that the positions of each political party are on the parliamentary record.</w:t>
            </w:r>
          </w:p>
        </w:tc>
      </w:tr>
    </w:tbl>
    <w:p w14:paraId="30C8C546" w14:textId="77777777" w:rsidR="008E6B26" w:rsidRDefault="008E6B26" w:rsidP="008E6B26">
      <w:pPr>
        <w:pStyle w:val="Content"/>
      </w:pPr>
      <w:bookmarkStart w:id="49" w:name="_Toc58840892"/>
      <w:bookmarkStart w:id="50" w:name="_Toc58857566"/>
    </w:p>
    <w:tbl>
      <w:tblPr>
        <w:tblStyle w:val="GridTable4-Accent2"/>
        <w:tblW w:w="0" w:type="auto"/>
        <w:shd w:val="clear" w:color="auto" w:fill="C6B1D1"/>
        <w:tblCellMar>
          <w:top w:w="57" w:type="dxa"/>
          <w:bottom w:w="57" w:type="dxa"/>
        </w:tblCellMar>
        <w:tblLook w:val="04A0" w:firstRow="1" w:lastRow="0" w:firstColumn="1" w:lastColumn="0" w:noHBand="0" w:noVBand="1"/>
      </w:tblPr>
      <w:tblGrid>
        <w:gridCol w:w="9016"/>
      </w:tblGrid>
      <w:tr w:rsidR="008E6B26" w:rsidRPr="00EA4071" w14:paraId="2231EA13" w14:textId="77777777" w:rsidTr="009B3F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9E76B3"/>
          </w:tcPr>
          <w:p w14:paraId="729E3AA5" w14:textId="77777777" w:rsidR="008E6B26" w:rsidRPr="00BA7CD8" w:rsidRDefault="008E6B26" w:rsidP="009B3F48">
            <w:pPr>
              <w:pStyle w:val="Content"/>
              <w:spacing w:before="0" w:after="0"/>
              <w:jc w:val="center"/>
              <w:rPr>
                <w:bCs w:val="0"/>
                <w:color w:val="000000" w:themeColor="text1"/>
                <w:sz w:val="24"/>
                <w:szCs w:val="24"/>
                <w:lang w:val="en-US"/>
              </w:rPr>
            </w:pPr>
            <w:r>
              <w:rPr>
                <w:bCs w:val="0"/>
                <w:sz w:val="28"/>
                <w:szCs w:val="28"/>
              </w:rPr>
              <w:t>Consultation question 5</w:t>
            </w:r>
          </w:p>
          <w:p w14:paraId="3B3CAFD2" w14:textId="77777777" w:rsidR="008E6B26" w:rsidRPr="00EA4071" w:rsidRDefault="008E6B26" w:rsidP="009B3F48">
            <w:pPr>
              <w:pStyle w:val="Content"/>
              <w:spacing w:before="0" w:after="0"/>
              <w:jc w:val="center"/>
              <w:rPr>
                <w:b w:val="0"/>
                <w:sz w:val="28"/>
                <w:szCs w:val="28"/>
              </w:rPr>
            </w:pPr>
            <w:r w:rsidRPr="007604E4">
              <w:rPr>
                <w:b w:val="0"/>
                <w:sz w:val="28"/>
                <w:szCs w:val="28"/>
                <w:lang w:val="en-US"/>
              </w:rPr>
              <w:t>Cross-party support for emissions budget</w:t>
            </w:r>
          </w:p>
        </w:tc>
      </w:tr>
      <w:tr w:rsidR="008E6B26" w:rsidRPr="00EA4071" w14:paraId="0BF11D92" w14:textId="77777777" w:rsidTr="009B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C6B1D1"/>
          </w:tcPr>
          <w:p w14:paraId="6FEDAC1F" w14:textId="67CDEAD9" w:rsidR="008E6B26" w:rsidRPr="00EA4071" w:rsidRDefault="00594D26" w:rsidP="00400204">
            <w:pPr>
              <w:pStyle w:val="Content"/>
              <w:rPr>
                <w:b w:val="0"/>
              </w:rPr>
            </w:pPr>
            <w:r w:rsidRPr="00B2626E">
              <w:rPr>
                <w:bCs w:val="0"/>
              </w:rPr>
              <w:t xml:space="preserve">Do you </w:t>
            </w:r>
            <w:r>
              <w:rPr>
                <w:bCs w:val="0"/>
              </w:rPr>
              <w:t xml:space="preserve">support </w:t>
            </w:r>
            <w:r w:rsidRPr="00B2626E">
              <w:rPr>
                <w:bCs w:val="0"/>
              </w:rPr>
              <w:t>enabling recommendation 1</w:t>
            </w:r>
            <w:r>
              <w:rPr>
                <w:bCs w:val="0"/>
              </w:rPr>
              <w:t>? Is there anything we should change, and why</w:t>
            </w:r>
            <w:r w:rsidRPr="00E5673C">
              <w:rPr>
                <w:bCs w:val="0"/>
              </w:rPr>
              <w:t>?</w:t>
            </w:r>
          </w:p>
        </w:tc>
      </w:tr>
    </w:tbl>
    <w:p w14:paraId="28433552" w14:textId="0C2DB07D" w:rsidR="00A7755B" w:rsidRPr="000A7436" w:rsidRDefault="00550F05" w:rsidP="00A7755B">
      <w:pPr>
        <w:pStyle w:val="Heading3"/>
      </w:pPr>
      <w:bookmarkStart w:id="51" w:name="_Toc62649310"/>
      <w:bookmarkStart w:id="52" w:name="_Toc62650251"/>
      <w:r>
        <w:t xml:space="preserve">2.6.2 </w:t>
      </w:r>
      <w:r w:rsidR="00A7755B">
        <w:t xml:space="preserve">Coordinate efforts to address climate change across </w:t>
      </w:r>
      <w:r w:rsidR="00424EE0">
        <w:t>g</w:t>
      </w:r>
      <w:r w:rsidR="00A7755B">
        <w:t>overnment</w:t>
      </w:r>
      <w:bookmarkEnd w:id="49"/>
      <w:bookmarkEnd w:id="50"/>
      <w:bookmarkEnd w:id="51"/>
      <w:bookmarkEnd w:id="52"/>
    </w:p>
    <w:p w14:paraId="4941A941" w14:textId="1A44E65B" w:rsidR="00F05230" w:rsidRDefault="00CA75B3" w:rsidP="00F05230">
      <w:r>
        <w:t xml:space="preserve">The </w:t>
      </w:r>
      <w:r w:rsidR="00F05230">
        <w:t xml:space="preserve">Government is increasingly asking government agencies to work together to deliver on cross-economy issues like climate change. There will need to be coordination across a number of government </w:t>
      </w:r>
      <w:r w:rsidR="004F1D5B">
        <w:t xml:space="preserve">departments and </w:t>
      </w:r>
      <w:r w:rsidR="00F05230">
        <w:t xml:space="preserve">agencies including the Ministry for the Environment, Treasury, Ministry for Primary Industries, Ministry </w:t>
      </w:r>
      <w:r w:rsidR="00E900A2">
        <w:t>of</w:t>
      </w:r>
      <w:r w:rsidR="00F05230">
        <w:t xml:space="preserve"> Business, Innovation and Employment, Ministry of Transport, Ministry </w:t>
      </w:r>
      <w:r w:rsidR="003465B0">
        <w:t>of</w:t>
      </w:r>
      <w:r w:rsidR="00F05230">
        <w:t xml:space="preserve"> </w:t>
      </w:r>
      <w:r w:rsidR="00F16480">
        <w:t xml:space="preserve">Health, </w:t>
      </w:r>
      <w:r w:rsidR="00F05230">
        <w:t xml:space="preserve">Ministry </w:t>
      </w:r>
      <w:r w:rsidR="003465B0">
        <w:t>of</w:t>
      </w:r>
      <w:r w:rsidR="00F05230">
        <w:t xml:space="preserve"> Housing and Urban Development, Waka Kotahi, Energy Efficiency and Conservation Authority, Ministry </w:t>
      </w:r>
      <w:r w:rsidR="001C51DF">
        <w:t>of</w:t>
      </w:r>
      <w:r w:rsidR="00F05230">
        <w:t xml:space="preserve"> Foreign Affairs and Trade, </w:t>
      </w:r>
      <w:proofErr w:type="spellStart"/>
      <w:r w:rsidR="00F05230">
        <w:t>Te</w:t>
      </w:r>
      <w:proofErr w:type="spellEnd"/>
      <w:r w:rsidR="00F05230">
        <w:t xml:space="preserve"> </w:t>
      </w:r>
      <w:proofErr w:type="spellStart"/>
      <w:r w:rsidR="00F05230">
        <w:t>Puni</w:t>
      </w:r>
      <w:proofErr w:type="spellEnd"/>
      <w:r w:rsidR="00F05230">
        <w:t xml:space="preserve"> </w:t>
      </w:r>
      <w:proofErr w:type="spellStart"/>
      <w:r w:rsidR="00F05230">
        <w:t>Kōkiri</w:t>
      </w:r>
      <w:proofErr w:type="spellEnd"/>
      <w:r w:rsidR="00F05230">
        <w:t xml:space="preserve">, Department of Conservation, Ministry </w:t>
      </w:r>
      <w:r w:rsidR="005C0725">
        <w:t>of</w:t>
      </w:r>
      <w:r w:rsidR="00F05230">
        <w:t xml:space="preserve"> Social Development, Inland Revenue, Department of Internal Affairs, Ministry of Education and the Tertiary Education Commission. The roles and expectations of each of these</w:t>
      </w:r>
      <w:r w:rsidR="00872AF4">
        <w:t>,</w:t>
      </w:r>
      <w:r w:rsidR="00125AD3">
        <w:t xml:space="preserve"> and other</w:t>
      </w:r>
      <w:r w:rsidR="00F05230">
        <w:t xml:space="preserve"> agencies in addressing climate change will need to be clearly set out</w:t>
      </w:r>
      <w:r w:rsidR="00686EA1">
        <w:t>. The</w:t>
      </w:r>
      <w:r w:rsidR="00F05230">
        <w:t xml:space="preserve"> accountability mechanisms for delivery</w:t>
      </w:r>
      <w:r w:rsidR="00686EA1">
        <w:t xml:space="preserve"> will also need to be</w:t>
      </w:r>
      <w:r w:rsidR="00F05230">
        <w:t xml:space="preserve"> defined.</w:t>
      </w:r>
    </w:p>
    <w:p w14:paraId="6074B24E" w14:textId="113B52AF" w:rsidR="00F05230" w:rsidRDefault="00F05230" w:rsidP="00F05230">
      <w:r>
        <w:t xml:space="preserve">The Climate Change Response Act requires the Government to publish an </w:t>
      </w:r>
      <w:r w:rsidR="009B2023">
        <w:t>e</w:t>
      </w:r>
      <w:r>
        <w:t xml:space="preserve">missions </w:t>
      </w:r>
      <w:r w:rsidR="009B2023">
        <w:t>r</w:t>
      </w:r>
      <w:r>
        <w:t xml:space="preserve">eduction </w:t>
      </w:r>
      <w:r w:rsidR="009B2023">
        <w:t>p</w:t>
      </w:r>
      <w:r>
        <w:t xml:space="preserve">lan outlining the policies and strategies it will put in place to meet the first emissions budget. The Act also allows the Government to include policies and strategies for meeting the second and third emissions budgets, but this is not a requirement. It will take time for </w:t>
      </w:r>
      <w:r w:rsidR="00C70F0D">
        <w:t>g</w:t>
      </w:r>
      <w:r>
        <w:t>overnment actions to take effect. Signalling longer term policy well in advance will support both public and private investment decisions in line with target outcomes. For this reason, it is crucial that the Government focuses not only on policy for delivering on the first emissions budget, but to look out to future emissions budgets to 2050 and beyond.</w:t>
      </w:r>
    </w:p>
    <w:p w14:paraId="4A88DCBE" w14:textId="7637781A" w:rsidR="00F05230" w:rsidRDefault="00F05230" w:rsidP="00F05230">
      <w:r>
        <w:t>There is currently no separate appropriation</w:t>
      </w:r>
      <w:r w:rsidR="00CF7165">
        <w:t xml:space="preserve"> in the Crown</w:t>
      </w:r>
      <w:r w:rsidR="00E60B6C">
        <w:t xml:space="preserve"> accounts and annual b</w:t>
      </w:r>
      <w:r w:rsidR="00363249">
        <w:t xml:space="preserve">udget </w:t>
      </w:r>
      <w:r>
        <w:t xml:space="preserve">for climate change. Rather climate change sits under the broader Vote Environment appropriation for the Ministry for the Environment. In addition, numerous levers for addressing climate change sit outside of the Ministry for the Environment and expenditure on climate change actions sits in many other government agencies. </w:t>
      </w:r>
    </w:p>
    <w:p w14:paraId="4D438CB8" w14:textId="392924B5" w:rsidR="00F05230" w:rsidRDefault="00F05230" w:rsidP="00F05230">
      <w:r>
        <w:t xml:space="preserve">A separate appropriation for climate change is appropriate given the gravity of the issue and the scale of response required from </w:t>
      </w:r>
      <w:r w:rsidR="00820032">
        <w:t>g</w:t>
      </w:r>
      <w:r>
        <w:t xml:space="preserve">overnment and the whole of society. Without a specific appropriation for climate change, it will be difficult to assure </w:t>
      </w:r>
      <w:r w:rsidR="00820032">
        <w:t xml:space="preserve">the </w:t>
      </w:r>
      <w:r>
        <w:t xml:space="preserve">Government and society that action across </w:t>
      </w:r>
      <w:r w:rsidR="00590DEF">
        <w:t xml:space="preserve">departments and </w:t>
      </w:r>
      <w:r>
        <w:t>agencies is synchronised in its delivery and to get the most effective and efficient outcome. Having all expenditure under one appropriation will increase the transparency of how this funding is being used and protect it from being re-directed to other areas.</w:t>
      </w:r>
    </w:p>
    <w:p w14:paraId="4F788D0B" w14:textId="74C38F27" w:rsidR="00F05230" w:rsidRPr="00F05230" w:rsidRDefault="00F05230" w:rsidP="00F05230">
      <w:r>
        <w:t xml:space="preserve">There is precedent in Aotearoa for integrated work programmes across government agencies, which could be used as a reference in establishing a dedicated cross-agency climate change work programme. An example is the Joint Venture for Family Violence and Sexual Violence. Integrating climate change initiatives across </w:t>
      </w:r>
      <w:r w:rsidR="004F44ED">
        <w:t xml:space="preserve">government </w:t>
      </w:r>
      <w:r>
        <w:t>would be strengthened by consolidating funding for these initiatives within a dedicated Vote Climate Change.</w:t>
      </w:r>
    </w:p>
    <w:p w14:paraId="1EBFA944" w14:textId="081DB24C" w:rsidR="006739D2" w:rsidRDefault="00FD2835">
      <w:pPr>
        <w:spacing w:before="0" w:after="160"/>
      </w:pPr>
      <w:r>
        <w:br w:type="page"/>
      </w:r>
    </w:p>
    <w:p w14:paraId="764DC26E" w14:textId="77777777" w:rsidR="006739D2" w:rsidRDefault="006739D2" w:rsidP="006739D2"/>
    <w:tbl>
      <w:tblPr>
        <w:tblStyle w:val="GridTable4-Accent2"/>
        <w:tblW w:w="0" w:type="auto"/>
        <w:tblCellMar>
          <w:top w:w="57" w:type="dxa"/>
          <w:bottom w:w="57" w:type="dxa"/>
        </w:tblCellMar>
        <w:tblLook w:val="04A0" w:firstRow="1" w:lastRow="0" w:firstColumn="1" w:lastColumn="0" w:noHBand="0" w:noVBand="1"/>
      </w:tblPr>
      <w:tblGrid>
        <w:gridCol w:w="9016"/>
      </w:tblGrid>
      <w:tr w:rsidR="006739D2" w:rsidRPr="00EA4071" w14:paraId="36FE6669"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5F59289" w14:textId="5D5492E7" w:rsidR="006739D2" w:rsidRPr="00BA7CD8" w:rsidRDefault="006739D2" w:rsidP="0052109F">
            <w:pPr>
              <w:pStyle w:val="Content"/>
              <w:spacing w:before="0" w:after="0"/>
              <w:jc w:val="center"/>
              <w:rPr>
                <w:bCs w:val="0"/>
                <w:color w:val="000000" w:themeColor="text1"/>
                <w:sz w:val="24"/>
                <w:szCs w:val="24"/>
                <w:lang w:val="en-US"/>
              </w:rPr>
            </w:pPr>
            <w:r>
              <w:rPr>
                <w:bCs w:val="0"/>
                <w:sz w:val="28"/>
                <w:szCs w:val="28"/>
              </w:rPr>
              <w:t>Enabling</w:t>
            </w:r>
            <w:r w:rsidRPr="00BA7CD8">
              <w:rPr>
                <w:bCs w:val="0"/>
                <w:sz w:val="28"/>
                <w:szCs w:val="28"/>
              </w:rPr>
              <w:t xml:space="preserve"> recommendation </w:t>
            </w:r>
            <w:r>
              <w:rPr>
                <w:bCs w:val="0"/>
                <w:sz w:val="28"/>
                <w:szCs w:val="28"/>
              </w:rPr>
              <w:t>2</w:t>
            </w:r>
          </w:p>
          <w:p w14:paraId="1903847D" w14:textId="077E9CB6" w:rsidR="006739D2" w:rsidRPr="00EA4071" w:rsidRDefault="00A7755B" w:rsidP="0052109F">
            <w:pPr>
              <w:pStyle w:val="Content"/>
              <w:spacing w:before="0" w:after="0"/>
              <w:jc w:val="center"/>
              <w:rPr>
                <w:b w:val="0"/>
                <w:sz w:val="28"/>
                <w:szCs w:val="28"/>
              </w:rPr>
            </w:pPr>
            <w:r w:rsidRPr="00A7755B">
              <w:rPr>
                <w:b w:val="0"/>
                <w:sz w:val="28"/>
                <w:szCs w:val="28"/>
                <w:lang w:val="en-US"/>
              </w:rPr>
              <w:t>Coordinate efforts to address climate change across Government</w:t>
            </w:r>
          </w:p>
        </w:tc>
      </w:tr>
      <w:tr w:rsidR="006739D2" w:rsidRPr="00EA4071" w14:paraId="47DC38F7"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FEC7FA3" w14:textId="77777777" w:rsidR="000A6F9F" w:rsidRPr="008761FA" w:rsidRDefault="000A6F9F" w:rsidP="000A6F9F">
            <w:pPr>
              <w:pStyle w:val="Content"/>
              <w:rPr>
                <w:bCs w:val="0"/>
              </w:rPr>
            </w:pPr>
            <w:r w:rsidRPr="008761FA">
              <w:rPr>
                <w:bCs w:val="0"/>
              </w:rPr>
              <w:t>We recommend that the Government:</w:t>
            </w:r>
          </w:p>
          <w:p w14:paraId="7EE93EE4" w14:textId="0153BF28" w:rsidR="000A6F9F" w:rsidRPr="008761FA" w:rsidRDefault="000A6F9F" w:rsidP="00655722">
            <w:pPr>
              <w:pStyle w:val="Content"/>
              <w:numPr>
                <w:ilvl w:val="0"/>
                <w:numId w:val="25"/>
              </w:numPr>
              <w:rPr>
                <w:bCs w:val="0"/>
              </w:rPr>
            </w:pPr>
            <w:r w:rsidRPr="008761FA">
              <w:rPr>
                <w:bCs w:val="0"/>
              </w:rPr>
              <w:t xml:space="preserve">In each emissions reduction plan, include policies and strategies for meeting </w:t>
            </w:r>
            <w:r w:rsidR="008F477F">
              <w:rPr>
                <w:bCs w:val="0"/>
              </w:rPr>
              <w:t>b</w:t>
            </w:r>
            <w:r w:rsidR="008F477F">
              <w:t xml:space="preserve">oth the next and </w:t>
            </w:r>
            <w:r w:rsidRPr="008761FA">
              <w:rPr>
                <w:bCs w:val="0"/>
              </w:rPr>
              <w:t>future emissions budgets (as recommended but not required under the Climate Change Response Act).</w:t>
            </w:r>
          </w:p>
          <w:p w14:paraId="551EB740" w14:textId="49076166" w:rsidR="000A6F9F" w:rsidRPr="008761FA" w:rsidRDefault="000A6F9F" w:rsidP="00655722">
            <w:pPr>
              <w:pStyle w:val="Content"/>
              <w:numPr>
                <w:ilvl w:val="0"/>
                <w:numId w:val="25"/>
              </w:numPr>
              <w:rPr>
                <w:bCs w:val="0"/>
              </w:rPr>
            </w:pPr>
            <w:r w:rsidRPr="008761FA">
              <w:rPr>
                <w:bCs w:val="0"/>
              </w:rPr>
              <w:t xml:space="preserve">In each emissions reduction plan, nominate specific Ministers and </w:t>
            </w:r>
            <w:r w:rsidR="00485370">
              <w:rPr>
                <w:bCs w:val="0"/>
              </w:rPr>
              <w:t>a</w:t>
            </w:r>
            <w:r w:rsidR="00485370">
              <w:t>gencies</w:t>
            </w:r>
            <w:r w:rsidR="00485370" w:rsidRPr="008761FA">
              <w:rPr>
                <w:bCs w:val="0"/>
              </w:rPr>
              <w:t xml:space="preserve"> </w:t>
            </w:r>
            <w:r w:rsidRPr="008761FA">
              <w:rPr>
                <w:bCs w:val="0"/>
              </w:rPr>
              <w:t>with accountability for implementing policies and strategies in line with emissions budgets.</w:t>
            </w:r>
          </w:p>
          <w:p w14:paraId="1668E6FF" w14:textId="6E7D39CB" w:rsidR="000A6F9F" w:rsidRPr="008761FA" w:rsidRDefault="000A6F9F" w:rsidP="00655722">
            <w:pPr>
              <w:pStyle w:val="Content"/>
              <w:numPr>
                <w:ilvl w:val="0"/>
                <w:numId w:val="25"/>
              </w:numPr>
              <w:rPr>
                <w:bCs w:val="0"/>
              </w:rPr>
            </w:pPr>
            <w:r w:rsidRPr="008761FA">
              <w:rPr>
                <w:bCs w:val="0"/>
              </w:rPr>
              <w:t>Assess and meet funding requirements for implementing each emissions reduction plan in line with emissions budgets</w:t>
            </w:r>
            <w:r w:rsidR="00AA2D35" w:rsidRPr="008761FA">
              <w:rPr>
                <w:bCs w:val="0"/>
              </w:rPr>
              <w:t>.</w:t>
            </w:r>
          </w:p>
          <w:p w14:paraId="58AB8A0F" w14:textId="4F729569" w:rsidR="006739D2" w:rsidRPr="00EA4071" w:rsidRDefault="000A6F9F" w:rsidP="00655722">
            <w:pPr>
              <w:pStyle w:val="Content"/>
              <w:numPr>
                <w:ilvl w:val="0"/>
                <w:numId w:val="25"/>
              </w:numPr>
              <w:rPr>
                <w:b w:val="0"/>
              </w:rPr>
            </w:pPr>
            <w:r w:rsidRPr="008761FA">
              <w:rPr>
                <w:bCs w:val="0"/>
              </w:rPr>
              <w:t>Establish Vote Climate Change as a specific multi-agency appropriation which consolidates existing and future government funding for core climate change mitigation and adaptation activities.</w:t>
            </w:r>
          </w:p>
        </w:tc>
      </w:tr>
    </w:tbl>
    <w:p w14:paraId="5AAB5CEB" w14:textId="4BE8C58D" w:rsidR="006739D2" w:rsidRPr="00337210" w:rsidRDefault="006739D2" w:rsidP="006739D2">
      <w:pPr>
        <w:rPr>
          <w:sz w:val="2"/>
          <w:szCs w:val="2"/>
        </w:rPr>
      </w:pPr>
    </w:p>
    <w:tbl>
      <w:tblPr>
        <w:tblStyle w:val="GridTable4-Accent2"/>
        <w:tblW w:w="0" w:type="auto"/>
        <w:tblCellMar>
          <w:top w:w="57" w:type="dxa"/>
          <w:bottom w:w="57" w:type="dxa"/>
        </w:tblCellMar>
        <w:tblLook w:val="04A0" w:firstRow="1" w:lastRow="0" w:firstColumn="1" w:lastColumn="0" w:noHBand="0" w:noVBand="1"/>
      </w:tblPr>
      <w:tblGrid>
        <w:gridCol w:w="9016"/>
      </w:tblGrid>
      <w:tr w:rsidR="000C555E" w:rsidRPr="00EA4071" w14:paraId="701865C5" w14:textId="77777777" w:rsidTr="00B06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DC66B89" w14:textId="318B4714" w:rsidR="000C555E" w:rsidRPr="009E7648" w:rsidRDefault="009E7648" w:rsidP="009E7648">
            <w:pPr>
              <w:pStyle w:val="Content"/>
              <w:spacing w:before="0" w:after="0"/>
              <w:jc w:val="center"/>
              <w:rPr>
                <w:bCs w:val="0"/>
                <w:color w:val="000000" w:themeColor="text1"/>
                <w:sz w:val="24"/>
                <w:szCs w:val="24"/>
                <w:lang w:val="en-US"/>
              </w:rPr>
            </w:pPr>
            <w:r w:rsidRPr="00BA7CD8">
              <w:rPr>
                <w:bCs w:val="0"/>
                <w:sz w:val="28"/>
                <w:szCs w:val="28"/>
              </w:rPr>
              <w:t>Progress indicator</w:t>
            </w:r>
            <w:r>
              <w:rPr>
                <w:bCs w:val="0"/>
                <w:sz w:val="28"/>
                <w:szCs w:val="28"/>
              </w:rPr>
              <w:t xml:space="preserve">s </w:t>
            </w:r>
          </w:p>
        </w:tc>
      </w:tr>
      <w:tr w:rsidR="000C555E" w:rsidRPr="00EA4071" w14:paraId="29667D13" w14:textId="77777777" w:rsidTr="00B06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E08071E" w14:textId="16C5AFA8" w:rsidR="009C74EF" w:rsidRPr="00400204" w:rsidRDefault="009C74EF" w:rsidP="00655722">
            <w:pPr>
              <w:pStyle w:val="ListParagraph"/>
              <w:numPr>
                <w:ilvl w:val="0"/>
                <w:numId w:val="43"/>
              </w:numPr>
              <w:contextualSpacing w:val="0"/>
            </w:pPr>
            <w:r w:rsidRPr="008761FA">
              <w:t>The Government to include in its first emissions reduction plan, due by 31 December 2021, policies and strategies that will set Aotearoa up to deliver the second and third emissions budgets and 2050 targets.</w:t>
            </w:r>
          </w:p>
          <w:p w14:paraId="32AABC6A" w14:textId="08174B5B" w:rsidR="000C555E" w:rsidRPr="008761FA" w:rsidRDefault="000C555E" w:rsidP="00655722">
            <w:pPr>
              <w:pStyle w:val="ListParagraph"/>
              <w:numPr>
                <w:ilvl w:val="0"/>
                <w:numId w:val="43"/>
              </w:numPr>
              <w:ind w:left="714" w:hanging="357"/>
              <w:contextualSpacing w:val="0"/>
            </w:pPr>
            <w:r w:rsidRPr="008761FA">
              <w:t xml:space="preserve">The Government to include in its first </w:t>
            </w:r>
            <w:r w:rsidR="001D2C29" w:rsidRPr="008761FA">
              <w:t>e</w:t>
            </w:r>
            <w:r w:rsidRPr="008761FA">
              <w:t xml:space="preserve">missions </w:t>
            </w:r>
            <w:r w:rsidR="001D2C29" w:rsidRPr="008761FA">
              <w:t>r</w:t>
            </w:r>
            <w:r w:rsidRPr="008761FA">
              <w:t xml:space="preserve">eduction </w:t>
            </w:r>
            <w:r w:rsidR="001D2C29" w:rsidRPr="008761FA">
              <w:t>p</w:t>
            </w:r>
            <w:r w:rsidRPr="008761FA">
              <w:t xml:space="preserve">lan, due by 31 December 2021, the Government agency </w:t>
            </w:r>
            <w:r w:rsidR="00597DD3">
              <w:t>and Minister</w:t>
            </w:r>
            <w:r w:rsidRPr="008761FA">
              <w:t xml:space="preserve"> that will be responsible for delivering on each of the </w:t>
            </w:r>
            <w:r w:rsidR="00D90EFE">
              <w:t>policies adopted</w:t>
            </w:r>
            <w:r w:rsidRPr="008761FA">
              <w:t>.</w:t>
            </w:r>
          </w:p>
          <w:p w14:paraId="73053245" w14:textId="6A5ED758" w:rsidR="000C555E" w:rsidRPr="000C555E" w:rsidRDefault="009C74EF" w:rsidP="00655722">
            <w:pPr>
              <w:pStyle w:val="ListParagraph"/>
              <w:numPr>
                <w:ilvl w:val="0"/>
                <w:numId w:val="43"/>
              </w:numPr>
              <w:ind w:left="714" w:hanging="357"/>
              <w:contextualSpacing w:val="0"/>
            </w:pPr>
            <w:r w:rsidRPr="008761FA">
              <w:t xml:space="preserve">The Government to establish, by no later than </w:t>
            </w:r>
            <w:r>
              <w:t xml:space="preserve">31 </w:t>
            </w:r>
            <w:r w:rsidRPr="008761FA">
              <w:t>March 2022, Vote Climate Change.</w:t>
            </w:r>
          </w:p>
        </w:tc>
      </w:tr>
    </w:tbl>
    <w:p w14:paraId="0532991D" w14:textId="77777777" w:rsidR="00410D01" w:rsidRPr="00337210" w:rsidRDefault="00410D01" w:rsidP="00410D01">
      <w:pPr>
        <w:pStyle w:val="Content"/>
        <w:rPr>
          <w:sz w:val="2"/>
          <w:szCs w:val="2"/>
        </w:rPr>
      </w:pPr>
      <w:bookmarkStart w:id="53" w:name="_Toc58840893"/>
      <w:bookmarkStart w:id="54" w:name="_Toc58857567"/>
    </w:p>
    <w:tbl>
      <w:tblPr>
        <w:tblStyle w:val="GridTable4-Accent2"/>
        <w:tblW w:w="0" w:type="auto"/>
        <w:shd w:val="clear" w:color="auto" w:fill="C6B1D1"/>
        <w:tblCellMar>
          <w:top w:w="57" w:type="dxa"/>
          <w:bottom w:w="57" w:type="dxa"/>
        </w:tblCellMar>
        <w:tblLook w:val="04A0" w:firstRow="1" w:lastRow="0" w:firstColumn="1" w:lastColumn="0" w:noHBand="0" w:noVBand="1"/>
      </w:tblPr>
      <w:tblGrid>
        <w:gridCol w:w="9016"/>
      </w:tblGrid>
      <w:tr w:rsidR="00410D01" w:rsidRPr="00EA4071" w14:paraId="286DD2A3" w14:textId="77777777" w:rsidTr="00F35C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9E76B3"/>
          </w:tcPr>
          <w:p w14:paraId="0B57C0C4" w14:textId="77777777" w:rsidR="00410D01" w:rsidRPr="00BA7CD8" w:rsidRDefault="00410D01" w:rsidP="00F35CDD">
            <w:pPr>
              <w:pStyle w:val="Content"/>
              <w:spacing w:before="0" w:after="0"/>
              <w:jc w:val="center"/>
              <w:rPr>
                <w:bCs w:val="0"/>
                <w:color w:val="000000" w:themeColor="text1"/>
                <w:sz w:val="24"/>
                <w:szCs w:val="24"/>
                <w:lang w:val="en-US"/>
              </w:rPr>
            </w:pPr>
            <w:r>
              <w:rPr>
                <w:bCs w:val="0"/>
                <w:sz w:val="28"/>
                <w:szCs w:val="28"/>
              </w:rPr>
              <w:t>Consultation question 6</w:t>
            </w:r>
          </w:p>
          <w:p w14:paraId="408AD082" w14:textId="77777777" w:rsidR="00410D01" w:rsidRPr="00EA4071" w:rsidRDefault="00410D01" w:rsidP="00F35CDD">
            <w:pPr>
              <w:pStyle w:val="Content"/>
              <w:spacing w:before="0" w:after="0"/>
              <w:jc w:val="center"/>
              <w:rPr>
                <w:b w:val="0"/>
                <w:sz w:val="28"/>
                <w:szCs w:val="28"/>
              </w:rPr>
            </w:pPr>
            <w:r w:rsidRPr="00A7755B">
              <w:rPr>
                <w:b w:val="0"/>
                <w:sz w:val="28"/>
                <w:szCs w:val="28"/>
                <w:lang w:val="en-US"/>
              </w:rPr>
              <w:t>Coordinate efforts to address climate change across Government</w:t>
            </w:r>
          </w:p>
        </w:tc>
      </w:tr>
      <w:tr w:rsidR="00410D01" w:rsidRPr="00EA4071" w14:paraId="7B40331D" w14:textId="77777777" w:rsidTr="00F35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C6B1D1"/>
          </w:tcPr>
          <w:p w14:paraId="18366EAA" w14:textId="735C783F" w:rsidR="00410D01" w:rsidRPr="00EA4071" w:rsidRDefault="002C0A3B" w:rsidP="00400204">
            <w:pPr>
              <w:pStyle w:val="Content"/>
              <w:rPr>
                <w:b w:val="0"/>
              </w:rPr>
            </w:pPr>
            <w:r w:rsidRPr="00B2626E">
              <w:rPr>
                <w:bCs w:val="0"/>
              </w:rPr>
              <w:t xml:space="preserve">Do you </w:t>
            </w:r>
            <w:r>
              <w:rPr>
                <w:bCs w:val="0"/>
              </w:rPr>
              <w:t xml:space="preserve">support </w:t>
            </w:r>
            <w:r w:rsidRPr="00B2626E">
              <w:rPr>
                <w:bCs w:val="0"/>
              </w:rPr>
              <w:t>enabling recommendation 2</w:t>
            </w:r>
            <w:r>
              <w:rPr>
                <w:bCs w:val="0"/>
              </w:rPr>
              <w:t>? Is there anything we should change, and why</w:t>
            </w:r>
            <w:r w:rsidRPr="00E5673C">
              <w:rPr>
                <w:bCs w:val="0"/>
              </w:rPr>
              <w:t>?</w:t>
            </w:r>
          </w:p>
        </w:tc>
      </w:tr>
    </w:tbl>
    <w:p w14:paraId="5D299C4D" w14:textId="576AD5E2" w:rsidR="00E65DA0" w:rsidRDefault="0076433F" w:rsidP="00E65DA0">
      <w:pPr>
        <w:pStyle w:val="Heading3"/>
      </w:pPr>
      <w:bookmarkStart w:id="55" w:name="_Toc62649311"/>
      <w:bookmarkStart w:id="56" w:name="_Toc62650252"/>
      <w:r>
        <w:t xml:space="preserve">2.6.3 </w:t>
      </w:r>
      <w:r w:rsidR="00E65DA0">
        <w:t xml:space="preserve">Genuine, </w:t>
      </w:r>
      <w:r w:rsidR="00E65DA0" w:rsidRPr="003F1099">
        <w:t>active</w:t>
      </w:r>
      <w:r w:rsidR="00E65DA0">
        <w:t xml:space="preserve"> and enduring </w:t>
      </w:r>
      <w:r w:rsidR="00E65DA0" w:rsidRPr="003F1099">
        <w:t>partnership</w:t>
      </w:r>
      <w:r w:rsidR="00E65DA0">
        <w:t xml:space="preserve"> </w:t>
      </w:r>
      <w:r w:rsidR="00E65DA0" w:rsidRPr="003F1099">
        <w:t>with</w:t>
      </w:r>
      <w:r w:rsidR="00E65DA0">
        <w:t xml:space="preserve"> i</w:t>
      </w:r>
      <w:r w:rsidR="00E65DA0" w:rsidRPr="003F1099">
        <w:t>wi/Māori</w:t>
      </w:r>
      <w:bookmarkEnd w:id="53"/>
      <w:bookmarkEnd w:id="54"/>
      <w:bookmarkEnd w:id="55"/>
      <w:bookmarkEnd w:id="56"/>
    </w:p>
    <w:p w14:paraId="205E29F7" w14:textId="57AD5213" w:rsidR="00E65DA0" w:rsidRDefault="00E65DA0" w:rsidP="00E65DA0">
      <w:r w:rsidRPr="00537AC1">
        <w:t xml:space="preserve">We heard through engagement that many cultural and commercial Māori-collectives operate in accordance with the tikanga values that are relevant to them. Within the He Ara </w:t>
      </w:r>
      <w:proofErr w:type="spellStart"/>
      <w:r w:rsidRPr="00537AC1">
        <w:t>Waiora</w:t>
      </w:r>
      <w:proofErr w:type="spellEnd"/>
      <w:r w:rsidRPr="00537AC1">
        <w:t xml:space="preserve"> framework</w:t>
      </w:r>
      <w:r w:rsidR="002367FD">
        <w:t xml:space="preserve"> (described in more detail in Chapter 6 of the Evidence Report)</w:t>
      </w:r>
      <w:r w:rsidRPr="00537AC1">
        <w:t>, tikanga is considered as a “means” which</w:t>
      </w:r>
      <w:r w:rsidR="00F80CA8">
        <w:t>,</w:t>
      </w:r>
      <w:r w:rsidRPr="00537AC1">
        <w:t xml:space="preserve"> combined with the “ends”</w:t>
      </w:r>
      <w:r w:rsidR="00F80CA8">
        <w:t>,</w:t>
      </w:r>
      <w:r w:rsidRPr="00537AC1">
        <w:t xml:space="preserve"> can achieve </w:t>
      </w:r>
      <w:proofErr w:type="spellStart"/>
      <w:r w:rsidRPr="00537AC1">
        <w:t>waiora</w:t>
      </w:r>
      <w:proofErr w:type="spellEnd"/>
      <w:r w:rsidRPr="00537AC1">
        <w:t xml:space="preserve"> or wellbeing. This</w:t>
      </w:r>
      <w:r w:rsidDel="000A4F75">
        <w:t xml:space="preserve"> </w:t>
      </w:r>
      <w:r>
        <w:t>is</w:t>
      </w:r>
      <w:r w:rsidRPr="00537AC1">
        <w:t xml:space="preserve"> consistent with how </w:t>
      </w:r>
      <w:r w:rsidR="002A5689" w:rsidRPr="002A5689">
        <w:t>iwi/</w:t>
      </w:r>
      <w:r w:rsidRPr="00537AC1">
        <w:t>Māori described the way tikanga applies to decision-making on their whenua</w:t>
      </w:r>
      <w:r>
        <w:t xml:space="preserve">. We will continue to work with the He Ara </w:t>
      </w:r>
      <w:proofErr w:type="spellStart"/>
      <w:r>
        <w:t>Waiora</w:t>
      </w:r>
      <w:proofErr w:type="spellEnd"/>
      <w:r>
        <w:t xml:space="preserve"> framework </w:t>
      </w:r>
      <w:r w:rsidRPr="002B7841">
        <w:t>to develop our understanding of wellbeing from a m</w:t>
      </w:r>
      <w:r w:rsidRPr="002B7841">
        <w:rPr>
          <w:lang w:val="mi-NZ"/>
        </w:rPr>
        <w:t>ātauranga Māori perspective</w:t>
      </w:r>
      <w:r w:rsidRPr="002B7841">
        <w:t>.</w:t>
      </w:r>
    </w:p>
    <w:p w14:paraId="577CA319" w14:textId="755CF0A6" w:rsidR="00E65DA0" w:rsidRDefault="00CD259A" w:rsidP="00E65DA0">
      <w:r>
        <w:lastRenderedPageBreak/>
        <w:t>I</w:t>
      </w:r>
      <w:r w:rsidR="002A5689" w:rsidRPr="002A5689">
        <w:t>wi/</w:t>
      </w:r>
      <w:r w:rsidR="00E65DA0" w:rsidRPr="00537AC1">
        <w:t>Māori we engaged with talked about</w:t>
      </w:r>
      <w:r w:rsidR="00E65DA0">
        <w:t xml:space="preserve"> intergenerational</w:t>
      </w:r>
      <w:r w:rsidR="00E65DA0" w:rsidRPr="00537AC1">
        <w:t xml:space="preserve"> kaitiaki obligations to their whenua</w:t>
      </w:r>
      <w:r w:rsidR="00E65DA0">
        <w:t>, inherited through their whakapapa relationship with the whenua. T</w:t>
      </w:r>
      <w:r w:rsidR="00E65DA0" w:rsidRPr="00537AC1">
        <w:t>he</w:t>
      </w:r>
      <w:r w:rsidR="00E65DA0">
        <w:t xml:space="preserve"> </w:t>
      </w:r>
      <w:r w:rsidR="00E65DA0" w:rsidRPr="00537AC1">
        <w:t>Commission serve</w:t>
      </w:r>
      <w:r w:rsidR="00E65DA0">
        <w:t>s</w:t>
      </w:r>
      <w:r w:rsidR="00E65DA0" w:rsidRPr="00537AC1">
        <w:t xml:space="preserve"> in more of a </w:t>
      </w:r>
      <w:proofErr w:type="spellStart"/>
      <w:r w:rsidR="00E65DA0" w:rsidRPr="00537AC1">
        <w:t>tiaki</w:t>
      </w:r>
      <w:proofErr w:type="spellEnd"/>
      <w:r w:rsidR="00E65DA0" w:rsidRPr="00537AC1">
        <w:t xml:space="preserve"> </w:t>
      </w:r>
      <w:r w:rsidR="00B909BA">
        <w:t xml:space="preserve">or </w:t>
      </w:r>
      <w:r w:rsidR="00E65DA0">
        <w:t xml:space="preserve">a stewardship </w:t>
      </w:r>
      <w:r w:rsidR="00E65DA0" w:rsidRPr="00537AC1">
        <w:t>capacity</w:t>
      </w:r>
      <w:r w:rsidR="00E65DA0">
        <w:t>. Acknowledging our respective roles and maximising our ability to work collaboratively in partnership is essential for the</w:t>
      </w:r>
      <w:r w:rsidR="00E65DA0" w:rsidRPr="00537AC1">
        <w:t xml:space="preserve"> transition to a thriving</w:t>
      </w:r>
      <w:r w:rsidR="00E65DA0">
        <w:t>,</w:t>
      </w:r>
      <w:r w:rsidR="00E65DA0" w:rsidRPr="00537AC1">
        <w:t xml:space="preserve"> climate-resilient </w:t>
      </w:r>
      <w:r w:rsidR="00E65DA0">
        <w:t xml:space="preserve">and </w:t>
      </w:r>
      <w:r w:rsidR="00E65DA0" w:rsidRPr="00537AC1">
        <w:t>low</w:t>
      </w:r>
      <w:r w:rsidR="00E65DA0">
        <w:t xml:space="preserve"> </w:t>
      </w:r>
      <w:r w:rsidR="00E65DA0" w:rsidRPr="00537AC1">
        <w:t>emissions Aotearoa.</w:t>
      </w:r>
      <w:r w:rsidR="00E65DA0">
        <w:t xml:space="preserve"> </w:t>
      </w:r>
    </w:p>
    <w:p w14:paraId="73214909" w14:textId="62C7CD15" w:rsidR="00287362" w:rsidRDefault="00E65DA0" w:rsidP="00E65DA0">
      <w:r>
        <w:t xml:space="preserve">This can be achieved through </w:t>
      </w:r>
      <w:r w:rsidRPr="003031EB">
        <w:t xml:space="preserve">a genuine partnership with iwi/Māori </w:t>
      </w:r>
      <w:r>
        <w:t>that emphasises rangatiratanga and prioritises</w:t>
      </w:r>
      <w:r w:rsidRPr="003031EB">
        <w:t xml:space="preserve"> a kaitiaki approach to resource management.</w:t>
      </w:r>
      <w:r>
        <w:t xml:space="preserve"> In more recent times, engagement and advocacy within the Crown/Māori partnership have improved. However, further effort should be made to remove barriers and progress actions that give real effect to a genuine and enduring Treaty partnership. </w:t>
      </w:r>
    </w:p>
    <w:tbl>
      <w:tblPr>
        <w:tblStyle w:val="GridTable4-Accent2"/>
        <w:tblW w:w="0" w:type="auto"/>
        <w:tblCellMar>
          <w:top w:w="57" w:type="dxa"/>
          <w:bottom w:w="57" w:type="dxa"/>
        </w:tblCellMar>
        <w:tblLook w:val="04A0" w:firstRow="1" w:lastRow="0" w:firstColumn="1" w:lastColumn="0" w:noHBand="0" w:noVBand="1"/>
      </w:tblPr>
      <w:tblGrid>
        <w:gridCol w:w="9016"/>
      </w:tblGrid>
      <w:tr w:rsidR="006739D2" w:rsidRPr="00EA4071" w14:paraId="3CF59D90"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B8D12CE" w14:textId="55794737" w:rsidR="006739D2" w:rsidRPr="00BA7CD8" w:rsidRDefault="006739D2" w:rsidP="0052109F">
            <w:pPr>
              <w:pStyle w:val="Content"/>
              <w:spacing w:before="0" w:after="0"/>
              <w:jc w:val="center"/>
              <w:rPr>
                <w:bCs w:val="0"/>
                <w:color w:val="000000" w:themeColor="text1"/>
                <w:sz w:val="24"/>
                <w:szCs w:val="24"/>
                <w:lang w:val="en-US"/>
              </w:rPr>
            </w:pPr>
            <w:r>
              <w:rPr>
                <w:bCs w:val="0"/>
                <w:sz w:val="28"/>
                <w:szCs w:val="28"/>
              </w:rPr>
              <w:t>Enabling</w:t>
            </w:r>
            <w:r w:rsidRPr="00BA7CD8">
              <w:rPr>
                <w:bCs w:val="0"/>
                <w:sz w:val="28"/>
                <w:szCs w:val="28"/>
              </w:rPr>
              <w:t xml:space="preserve"> recommendation </w:t>
            </w:r>
            <w:r>
              <w:rPr>
                <w:bCs w:val="0"/>
                <w:sz w:val="28"/>
                <w:szCs w:val="28"/>
              </w:rPr>
              <w:t>3</w:t>
            </w:r>
          </w:p>
          <w:p w14:paraId="5E173FC0" w14:textId="227E89E1" w:rsidR="006739D2" w:rsidRPr="00EA4071" w:rsidRDefault="006739D2" w:rsidP="0052109F">
            <w:pPr>
              <w:pStyle w:val="Content"/>
              <w:spacing w:before="0" w:after="0"/>
              <w:jc w:val="center"/>
              <w:rPr>
                <w:b w:val="0"/>
                <w:sz w:val="28"/>
                <w:szCs w:val="28"/>
              </w:rPr>
            </w:pPr>
            <w:r w:rsidRPr="006739D2">
              <w:rPr>
                <w:b w:val="0"/>
                <w:sz w:val="28"/>
                <w:szCs w:val="28"/>
                <w:lang w:val="en-US"/>
              </w:rPr>
              <w:t>Genuine, active and enduring partnership with iwi/Māori</w:t>
            </w:r>
          </w:p>
        </w:tc>
      </w:tr>
      <w:tr w:rsidR="006739D2" w:rsidRPr="00EA4071" w14:paraId="68AF7912"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9DE3788" w14:textId="151395DD" w:rsidR="006739D2" w:rsidRPr="008761FA" w:rsidRDefault="006739D2" w:rsidP="006739D2">
            <w:pPr>
              <w:pStyle w:val="Content"/>
              <w:rPr>
                <w:bCs w:val="0"/>
              </w:rPr>
            </w:pPr>
            <w:r w:rsidRPr="008761FA">
              <w:rPr>
                <w:bCs w:val="0"/>
              </w:rPr>
              <w:t>We recommend that</w:t>
            </w:r>
            <w:r w:rsidR="00542A68">
              <w:rPr>
                <w:bCs w:val="0"/>
              </w:rPr>
              <w:t>,</w:t>
            </w:r>
            <w:r w:rsidRPr="008761FA">
              <w:rPr>
                <w:bCs w:val="0"/>
              </w:rPr>
              <w:t xml:space="preserve"> in transitioning Aotearoa to a thriving,</w:t>
            </w:r>
            <w:r w:rsidR="009742FE">
              <w:rPr>
                <w:bCs w:val="0"/>
              </w:rPr>
              <w:t xml:space="preserve"> climate-resilient and</w:t>
            </w:r>
            <w:r w:rsidRPr="008761FA">
              <w:rPr>
                <w:bCs w:val="0"/>
              </w:rPr>
              <w:t xml:space="preserve"> low emissions</w:t>
            </w:r>
            <w:r w:rsidR="009742FE">
              <w:rPr>
                <w:bCs w:val="0"/>
              </w:rPr>
              <w:t xml:space="preserve"> </w:t>
            </w:r>
            <w:r w:rsidRPr="008761FA">
              <w:rPr>
                <w:bCs w:val="0"/>
              </w:rPr>
              <w:t>future, central and local government take action to ensure genuine and enduring partnership with iwi/Māori that gives effect to:</w:t>
            </w:r>
          </w:p>
          <w:p w14:paraId="7D051B31" w14:textId="3AC9FF7C" w:rsidR="006739D2" w:rsidRPr="008761FA" w:rsidRDefault="006739D2" w:rsidP="00655722">
            <w:pPr>
              <w:pStyle w:val="Content"/>
              <w:numPr>
                <w:ilvl w:val="0"/>
                <w:numId w:val="23"/>
              </w:numPr>
              <w:rPr>
                <w:bCs w:val="0"/>
              </w:rPr>
            </w:pPr>
            <w:proofErr w:type="spellStart"/>
            <w:r w:rsidRPr="008761FA">
              <w:rPr>
                <w:bCs w:val="0"/>
              </w:rPr>
              <w:t>Tiakitanga</w:t>
            </w:r>
            <w:proofErr w:type="spellEnd"/>
            <w:r w:rsidRPr="008761FA">
              <w:rPr>
                <w:bCs w:val="0"/>
              </w:rPr>
              <w:t xml:space="preserve"> and </w:t>
            </w:r>
            <w:proofErr w:type="spellStart"/>
            <w:r w:rsidRPr="008761FA">
              <w:rPr>
                <w:bCs w:val="0"/>
              </w:rPr>
              <w:t>manaakitanga</w:t>
            </w:r>
            <w:proofErr w:type="spellEnd"/>
            <w:r w:rsidRPr="008761FA">
              <w:rPr>
                <w:bCs w:val="0"/>
              </w:rPr>
              <w:t xml:space="preserve"> by acting as good stewards and demonstrating equitable and mana enhancing behaviour within the Treaty Partnership. This requires real acknowledgement of rangatiratanga and enables iwi/Māori to exercise their role as kaitiaki. </w:t>
            </w:r>
          </w:p>
          <w:p w14:paraId="47F12F3F" w14:textId="3233F4BF" w:rsidR="006739D2" w:rsidRPr="008761FA" w:rsidRDefault="006739D2" w:rsidP="00655722">
            <w:pPr>
              <w:pStyle w:val="Content"/>
              <w:numPr>
                <w:ilvl w:val="0"/>
                <w:numId w:val="23"/>
              </w:numPr>
              <w:rPr>
                <w:bCs w:val="0"/>
              </w:rPr>
            </w:pPr>
            <w:r w:rsidRPr="008761FA">
              <w:rPr>
                <w:bCs w:val="0"/>
              </w:rPr>
              <w:t xml:space="preserve">Tikanga and </w:t>
            </w:r>
            <w:proofErr w:type="spellStart"/>
            <w:r w:rsidRPr="008761FA">
              <w:rPr>
                <w:bCs w:val="0"/>
              </w:rPr>
              <w:t>kotahitanga</w:t>
            </w:r>
            <w:proofErr w:type="spellEnd"/>
            <w:r w:rsidRPr="008761FA">
              <w:rPr>
                <w:bCs w:val="0"/>
              </w:rPr>
              <w:t xml:space="preserve"> by working in partnership with iwi/Māori, through the right decision-makers and following the right process, to ensure Māori communities can prepare for and transition to a climate-resilient, low emissions Aotearoa. This is premised on iwi/Māori aspirations for intergenerational wellbeing; aspirations that are shared by many New Zealanders.</w:t>
            </w:r>
          </w:p>
          <w:p w14:paraId="35AA7DF9" w14:textId="02352E67" w:rsidR="006739D2" w:rsidRPr="00EA4071" w:rsidRDefault="006739D2" w:rsidP="00655722">
            <w:pPr>
              <w:pStyle w:val="Content"/>
              <w:numPr>
                <w:ilvl w:val="0"/>
                <w:numId w:val="23"/>
              </w:numPr>
              <w:rPr>
                <w:b w:val="0"/>
              </w:rPr>
            </w:pPr>
            <w:r w:rsidRPr="00C72D03">
              <w:rPr>
                <w:bCs w:val="0"/>
              </w:rPr>
              <w:t>Whanaungatanga</w:t>
            </w:r>
            <w:r w:rsidRPr="008761FA">
              <w:rPr>
                <w:bCs w:val="0"/>
              </w:rPr>
              <w:t xml:space="preserve"> by enhancing relationships within </w:t>
            </w:r>
            <w:proofErr w:type="spellStart"/>
            <w:r w:rsidRPr="008761FA">
              <w:rPr>
                <w:bCs w:val="0"/>
              </w:rPr>
              <w:t>whānau</w:t>
            </w:r>
            <w:proofErr w:type="spellEnd"/>
            <w:r w:rsidRPr="008761FA">
              <w:rPr>
                <w:bCs w:val="0"/>
              </w:rPr>
              <w:t xml:space="preserve"> and communities and with the whenua (land) or </w:t>
            </w:r>
            <w:proofErr w:type="spellStart"/>
            <w:r w:rsidRPr="008761FA">
              <w:rPr>
                <w:bCs w:val="0"/>
              </w:rPr>
              <w:t>taiao</w:t>
            </w:r>
            <w:proofErr w:type="spellEnd"/>
            <w:r w:rsidRPr="008761FA">
              <w:rPr>
                <w:bCs w:val="0"/>
              </w:rPr>
              <w:t xml:space="preserve"> (environment).</w:t>
            </w:r>
          </w:p>
        </w:tc>
      </w:tr>
    </w:tbl>
    <w:p w14:paraId="15E7CDB6" w14:textId="77777777" w:rsidR="006739D2" w:rsidRPr="00337210" w:rsidRDefault="006739D2" w:rsidP="00E65DA0">
      <w:pPr>
        <w:rPr>
          <w:sz w:val="6"/>
          <w:szCs w:val="6"/>
        </w:rPr>
      </w:pPr>
    </w:p>
    <w:tbl>
      <w:tblPr>
        <w:tblStyle w:val="GridTable4-Accent2"/>
        <w:tblW w:w="0" w:type="auto"/>
        <w:tblCellMar>
          <w:top w:w="57" w:type="dxa"/>
          <w:bottom w:w="57" w:type="dxa"/>
        </w:tblCellMar>
        <w:tblLook w:val="04A0" w:firstRow="1" w:lastRow="0" w:firstColumn="1" w:lastColumn="0" w:noHBand="0" w:noVBand="1"/>
      </w:tblPr>
      <w:tblGrid>
        <w:gridCol w:w="9016"/>
      </w:tblGrid>
      <w:tr w:rsidR="008E7B22" w:rsidRPr="00EA4071" w14:paraId="1AA43345"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47A8098" w14:textId="773C1209" w:rsidR="008E7B22" w:rsidRPr="00BA7CD8" w:rsidRDefault="008E7B22" w:rsidP="0052109F">
            <w:pPr>
              <w:spacing w:before="120" w:after="120"/>
              <w:jc w:val="center"/>
              <w:rPr>
                <w:bCs w:val="0"/>
              </w:rPr>
            </w:pPr>
            <w:r w:rsidRPr="00BA7CD8">
              <w:rPr>
                <w:bCs w:val="0"/>
                <w:sz w:val="28"/>
                <w:szCs w:val="28"/>
              </w:rPr>
              <w:t>Progress indicator</w:t>
            </w:r>
          </w:p>
        </w:tc>
      </w:tr>
      <w:tr w:rsidR="008E7B22" w:rsidRPr="00EA4071" w14:paraId="4C456404"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C323130" w14:textId="644D26DA" w:rsidR="00CE3F3E" w:rsidRPr="00C72D03" w:rsidRDefault="00CA0914" w:rsidP="00C72D03">
            <w:r w:rsidRPr="00C72D03">
              <w:t xml:space="preserve">The Government to </w:t>
            </w:r>
            <w:r w:rsidR="000E51E4" w:rsidRPr="00C72D03">
              <w:t xml:space="preserve">have </w:t>
            </w:r>
            <w:r w:rsidR="00366E2B" w:rsidRPr="00C72D03">
              <w:t>publish</w:t>
            </w:r>
            <w:r w:rsidR="000E51E4" w:rsidRPr="00C72D03">
              <w:t>ed,</w:t>
            </w:r>
            <w:r w:rsidR="00324E75" w:rsidRPr="00C72D03">
              <w:t xml:space="preserve"> by </w:t>
            </w:r>
            <w:r w:rsidR="003C1911" w:rsidRPr="00C72D03">
              <w:t xml:space="preserve">31 </w:t>
            </w:r>
            <w:r w:rsidR="00C36EE2" w:rsidRPr="00C72D03">
              <w:t>December</w:t>
            </w:r>
            <w:r w:rsidR="00324E75" w:rsidRPr="00C72D03">
              <w:t xml:space="preserve"> 2022</w:t>
            </w:r>
            <w:r w:rsidR="000E51E4" w:rsidRPr="00C72D03">
              <w:t>,</w:t>
            </w:r>
            <w:r w:rsidR="00324E75" w:rsidRPr="00C72D03">
              <w:t xml:space="preserve"> a </w:t>
            </w:r>
            <w:r w:rsidR="007078A8" w:rsidRPr="00C72D03">
              <w:t>plan to</w:t>
            </w:r>
            <w:r w:rsidR="00D42ADE" w:rsidRPr="00C72D03">
              <w:t xml:space="preserve"> </w:t>
            </w:r>
            <w:r w:rsidR="008E7B22" w:rsidRPr="00C72D03">
              <w:t xml:space="preserve">partner with iwi/Māori </w:t>
            </w:r>
            <w:r w:rsidR="005B287A" w:rsidRPr="00C72D03">
              <w:t xml:space="preserve">and local government </w:t>
            </w:r>
            <w:r w:rsidR="008E7B22" w:rsidRPr="00C72D03">
              <w:t>to implement emissions reducing pathways and actions that</w:t>
            </w:r>
            <w:r w:rsidR="0067476C" w:rsidRPr="00C72D03">
              <w:t>:</w:t>
            </w:r>
            <w:r w:rsidR="008E7B22" w:rsidRPr="00C72D03">
              <w:t xml:space="preserve"> </w:t>
            </w:r>
          </w:p>
          <w:p w14:paraId="5906762D" w14:textId="2F3C6A27" w:rsidR="00BA144E" w:rsidRPr="008761FA" w:rsidRDefault="00242789" w:rsidP="00655722">
            <w:pPr>
              <w:pStyle w:val="ListParagraph"/>
              <w:numPr>
                <w:ilvl w:val="1"/>
                <w:numId w:val="51"/>
              </w:numPr>
              <w:spacing w:before="120"/>
              <w:ind w:left="1434" w:hanging="357"/>
              <w:contextualSpacing w:val="0"/>
              <w:rPr>
                <w:bCs w:val="0"/>
              </w:rPr>
            </w:pPr>
            <w:r>
              <w:rPr>
                <w:bCs w:val="0"/>
              </w:rPr>
              <w:t>G</w:t>
            </w:r>
            <w:r w:rsidR="008E7B22" w:rsidRPr="008761FA">
              <w:rPr>
                <w:bCs w:val="0"/>
              </w:rPr>
              <w:t>ive</w:t>
            </w:r>
            <w:r w:rsidR="00CE3F3E" w:rsidRPr="008761FA">
              <w:rPr>
                <w:bCs w:val="0"/>
              </w:rPr>
              <w:t>s</w:t>
            </w:r>
            <w:r w:rsidR="008E7B22" w:rsidRPr="008761FA">
              <w:rPr>
                <w:bCs w:val="0"/>
              </w:rPr>
              <w:t xml:space="preserve"> effect to the He Ara </w:t>
            </w:r>
            <w:proofErr w:type="spellStart"/>
            <w:r w:rsidR="008E7B22" w:rsidRPr="008761FA">
              <w:rPr>
                <w:bCs w:val="0"/>
              </w:rPr>
              <w:t>Waiora</w:t>
            </w:r>
            <w:proofErr w:type="spellEnd"/>
            <w:r w:rsidR="008E7B22" w:rsidRPr="008761FA">
              <w:rPr>
                <w:bCs w:val="0"/>
              </w:rPr>
              <w:t xml:space="preserve"> tikanga</w:t>
            </w:r>
            <w:r>
              <w:rPr>
                <w:bCs w:val="0"/>
              </w:rPr>
              <w:t>.</w:t>
            </w:r>
          </w:p>
          <w:p w14:paraId="1C7DA85F" w14:textId="7993F4D5" w:rsidR="00B14B82" w:rsidRPr="008761FA" w:rsidRDefault="00242789" w:rsidP="00655722">
            <w:pPr>
              <w:pStyle w:val="ListParagraph"/>
              <w:numPr>
                <w:ilvl w:val="1"/>
                <w:numId w:val="51"/>
              </w:numPr>
              <w:spacing w:before="120"/>
              <w:ind w:left="1434" w:hanging="357"/>
              <w:contextualSpacing w:val="0"/>
              <w:rPr>
                <w:bCs w:val="0"/>
              </w:rPr>
            </w:pPr>
            <w:r>
              <w:rPr>
                <w:bCs w:val="0"/>
              </w:rPr>
              <w:t>I</w:t>
            </w:r>
            <w:r w:rsidR="00D42ADE" w:rsidRPr="008761FA">
              <w:rPr>
                <w:bCs w:val="0"/>
              </w:rPr>
              <w:t>ncludes</w:t>
            </w:r>
            <w:r w:rsidR="008E7B22" w:rsidRPr="008761FA" w:rsidDel="00D42ADE">
              <w:rPr>
                <w:bCs w:val="0"/>
              </w:rPr>
              <w:t xml:space="preserve"> </w:t>
            </w:r>
            <w:r w:rsidR="00D42ADE" w:rsidRPr="008761FA">
              <w:rPr>
                <w:bCs w:val="0"/>
              </w:rPr>
              <w:t>pathways</w:t>
            </w:r>
            <w:r w:rsidR="008E7B22" w:rsidRPr="008761FA">
              <w:rPr>
                <w:bCs w:val="0"/>
              </w:rPr>
              <w:t xml:space="preserve"> and actions (which could include regional outcomes and actions frameworks) </w:t>
            </w:r>
            <w:r w:rsidR="001A6B20">
              <w:rPr>
                <w:bCs w:val="0"/>
              </w:rPr>
              <w:t>to</w:t>
            </w:r>
            <w:r w:rsidR="008E7B22" w:rsidRPr="008761FA">
              <w:rPr>
                <w:bCs w:val="0"/>
              </w:rPr>
              <w:t xml:space="preserve"> remove barriers to participation for iwi/Māori</w:t>
            </w:r>
            <w:r>
              <w:rPr>
                <w:bCs w:val="0"/>
              </w:rPr>
              <w:t>.</w:t>
            </w:r>
            <w:r w:rsidR="008E7B22" w:rsidRPr="008761FA">
              <w:rPr>
                <w:bCs w:val="0"/>
              </w:rPr>
              <w:t xml:space="preserve"> </w:t>
            </w:r>
          </w:p>
          <w:p w14:paraId="3B419CF2" w14:textId="60F8A0A2" w:rsidR="00B14B82" w:rsidRPr="008761FA" w:rsidRDefault="00242789" w:rsidP="00655722">
            <w:pPr>
              <w:pStyle w:val="ListParagraph"/>
              <w:numPr>
                <w:ilvl w:val="1"/>
                <w:numId w:val="51"/>
              </w:numPr>
              <w:spacing w:before="120"/>
              <w:ind w:left="1434" w:hanging="357"/>
              <w:contextualSpacing w:val="0"/>
              <w:rPr>
                <w:bCs w:val="0"/>
              </w:rPr>
            </w:pPr>
            <w:r>
              <w:rPr>
                <w:bCs w:val="0"/>
              </w:rPr>
              <w:t>E</w:t>
            </w:r>
            <w:r w:rsidR="008E7B22" w:rsidRPr="008761FA">
              <w:rPr>
                <w:bCs w:val="0"/>
              </w:rPr>
              <w:t>nable</w:t>
            </w:r>
            <w:r w:rsidR="00B14B82" w:rsidRPr="008761FA">
              <w:rPr>
                <w:bCs w:val="0"/>
              </w:rPr>
              <w:t>s</w:t>
            </w:r>
            <w:r w:rsidR="008E7B22" w:rsidRPr="008761FA">
              <w:rPr>
                <w:bCs w:val="0"/>
              </w:rPr>
              <w:t xml:space="preserve"> iwi/Māori to exercise rangatiratanga and </w:t>
            </w:r>
            <w:proofErr w:type="spellStart"/>
            <w:r w:rsidR="008E7B22" w:rsidRPr="008761FA">
              <w:rPr>
                <w:bCs w:val="0"/>
              </w:rPr>
              <w:t>kaitiakitanga</w:t>
            </w:r>
            <w:proofErr w:type="spellEnd"/>
            <w:r>
              <w:rPr>
                <w:bCs w:val="0"/>
              </w:rPr>
              <w:t>.</w:t>
            </w:r>
          </w:p>
          <w:p w14:paraId="068F8DF3" w14:textId="0F430F3D" w:rsidR="008E7B22" w:rsidRPr="00EA4071" w:rsidRDefault="00242789" w:rsidP="00655722">
            <w:pPr>
              <w:pStyle w:val="ListParagraph"/>
              <w:numPr>
                <w:ilvl w:val="1"/>
                <w:numId w:val="51"/>
              </w:numPr>
              <w:spacing w:before="120"/>
              <w:ind w:left="1434" w:hanging="357"/>
              <w:contextualSpacing w:val="0"/>
              <w:rPr>
                <w:b w:val="0"/>
              </w:rPr>
            </w:pPr>
            <w:r>
              <w:rPr>
                <w:bCs w:val="0"/>
              </w:rPr>
              <w:t>P</w:t>
            </w:r>
            <w:r w:rsidR="008E7B22" w:rsidRPr="008761FA">
              <w:rPr>
                <w:bCs w:val="0"/>
              </w:rPr>
              <w:t>romote</w:t>
            </w:r>
            <w:r w:rsidR="00B14B82" w:rsidRPr="008761FA">
              <w:rPr>
                <w:bCs w:val="0"/>
              </w:rPr>
              <w:t>s</w:t>
            </w:r>
            <w:r w:rsidR="008E7B22" w:rsidRPr="008761FA">
              <w:rPr>
                <w:bCs w:val="0"/>
              </w:rPr>
              <w:t xml:space="preserve"> equal access to new information, technology, employment and enterprise opportunities.</w:t>
            </w:r>
          </w:p>
        </w:tc>
      </w:tr>
    </w:tbl>
    <w:p w14:paraId="7007D5D5" w14:textId="338A1B8D" w:rsidR="00CC7615" w:rsidRDefault="00CC7615" w:rsidP="00CC7615">
      <w:pPr>
        <w:pStyle w:val="Content"/>
        <w:rPr>
          <w:sz w:val="2"/>
          <w:szCs w:val="2"/>
        </w:rPr>
      </w:pPr>
      <w:bookmarkStart w:id="57" w:name="_Toc58840894"/>
      <w:bookmarkStart w:id="58" w:name="_Toc58857568"/>
    </w:p>
    <w:p w14:paraId="544FB89A" w14:textId="77777777" w:rsidR="00404C3E" w:rsidRPr="00337210" w:rsidRDefault="00404C3E" w:rsidP="00CC7615">
      <w:pPr>
        <w:pStyle w:val="Content"/>
        <w:rPr>
          <w:sz w:val="2"/>
          <w:szCs w:val="2"/>
        </w:rPr>
      </w:pPr>
    </w:p>
    <w:tbl>
      <w:tblPr>
        <w:tblStyle w:val="GridTable4-Accent2"/>
        <w:tblW w:w="0" w:type="auto"/>
        <w:shd w:val="clear" w:color="auto" w:fill="C6B1D1"/>
        <w:tblCellMar>
          <w:top w:w="57" w:type="dxa"/>
          <w:bottom w:w="57" w:type="dxa"/>
        </w:tblCellMar>
        <w:tblLook w:val="04A0" w:firstRow="1" w:lastRow="0" w:firstColumn="1" w:lastColumn="0" w:noHBand="0" w:noVBand="1"/>
      </w:tblPr>
      <w:tblGrid>
        <w:gridCol w:w="9016"/>
      </w:tblGrid>
      <w:tr w:rsidR="00CC7615" w:rsidRPr="00EA4071" w14:paraId="3EE3ACA9" w14:textId="77777777" w:rsidTr="004833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9E76B3"/>
          </w:tcPr>
          <w:p w14:paraId="51EAC165" w14:textId="77777777" w:rsidR="00CC7615" w:rsidRPr="00BA7CD8" w:rsidRDefault="00CC7615" w:rsidP="00483358">
            <w:pPr>
              <w:pStyle w:val="Content"/>
              <w:spacing w:before="0" w:after="0"/>
              <w:jc w:val="center"/>
              <w:rPr>
                <w:bCs w:val="0"/>
                <w:color w:val="000000" w:themeColor="text1"/>
                <w:sz w:val="24"/>
                <w:szCs w:val="24"/>
                <w:lang w:val="en-US"/>
              </w:rPr>
            </w:pPr>
            <w:r>
              <w:rPr>
                <w:bCs w:val="0"/>
                <w:sz w:val="28"/>
                <w:szCs w:val="28"/>
              </w:rPr>
              <w:lastRenderedPageBreak/>
              <w:t>Consultation question 7</w:t>
            </w:r>
          </w:p>
          <w:p w14:paraId="360A296B" w14:textId="77777777" w:rsidR="00CC7615" w:rsidRPr="00EA4071" w:rsidRDefault="00CC7615" w:rsidP="00483358">
            <w:pPr>
              <w:pStyle w:val="Content"/>
              <w:spacing w:before="0" w:after="0"/>
              <w:jc w:val="center"/>
              <w:rPr>
                <w:b w:val="0"/>
                <w:sz w:val="28"/>
                <w:szCs w:val="28"/>
              </w:rPr>
            </w:pPr>
            <w:r w:rsidRPr="006739D2">
              <w:rPr>
                <w:b w:val="0"/>
                <w:sz w:val="28"/>
                <w:szCs w:val="28"/>
                <w:lang w:val="en-US"/>
              </w:rPr>
              <w:t>Genuine, active and enduring partnership with iwi/Māori</w:t>
            </w:r>
          </w:p>
        </w:tc>
      </w:tr>
      <w:tr w:rsidR="00CC7615" w:rsidRPr="00EA4071" w14:paraId="6E9C663E" w14:textId="77777777" w:rsidTr="00483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C6B1D1"/>
          </w:tcPr>
          <w:p w14:paraId="3F63B17A" w14:textId="4AC20ABF" w:rsidR="00CC7615" w:rsidRPr="00EA4071" w:rsidRDefault="00955982" w:rsidP="00400204">
            <w:pPr>
              <w:pStyle w:val="Content"/>
              <w:rPr>
                <w:b w:val="0"/>
              </w:rPr>
            </w:pPr>
            <w:r w:rsidRPr="00B2626E">
              <w:rPr>
                <w:bCs w:val="0"/>
              </w:rPr>
              <w:t xml:space="preserve">Do you </w:t>
            </w:r>
            <w:r>
              <w:rPr>
                <w:bCs w:val="0"/>
              </w:rPr>
              <w:t xml:space="preserve">support </w:t>
            </w:r>
            <w:r w:rsidRPr="00B2626E">
              <w:rPr>
                <w:bCs w:val="0"/>
              </w:rPr>
              <w:t xml:space="preserve">enabling recommendation </w:t>
            </w:r>
            <w:r>
              <w:rPr>
                <w:bCs w:val="0"/>
              </w:rPr>
              <w:t>3? Is there anything we should change, and why</w:t>
            </w:r>
            <w:r w:rsidRPr="00E5673C">
              <w:rPr>
                <w:bCs w:val="0"/>
              </w:rPr>
              <w:t>?</w:t>
            </w:r>
          </w:p>
        </w:tc>
      </w:tr>
    </w:tbl>
    <w:p w14:paraId="12054F29" w14:textId="362B4519" w:rsidR="00E65DA0" w:rsidRDefault="0076433F" w:rsidP="00E65DA0">
      <w:pPr>
        <w:pStyle w:val="Heading3"/>
      </w:pPr>
      <w:bookmarkStart w:id="59" w:name="_Toc62649312"/>
      <w:bookmarkStart w:id="60" w:name="_Toc62650253"/>
      <w:r>
        <w:t xml:space="preserve">2.6.4 </w:t>
      </w:r>
      <w:r w:rsidR="00E65DA0">
        <w:t>Central and local government working in partnership</w:t>
      </w:r>
      <w:bookmarkEnd w:id="57"/>
      <w:bookmarkEnd w:id="58"/>
      <w:bookmarkEnd w:id="59"/>
      <w:bookmarkEnd w:id="60"/>
    </w:p>
    <w:p w14:paraId="70BA8E4A" w14:textId="20AFB70A" w:rsidR="00E65DA0" w:rsidRDefault="00E65DA0" w:rsidP="00E65DA0">
      <w:pPr>
        <w:rPr>
          <w:lang w:eastAsia="en-NZ"/>
        </w:rPr>
      </w:pPr>
      <w:r>
        <w:rPr>
          <w:lang w:eastAsia="en-NZ"/>
        </w:rPr>
        <w:t xml:space="preserve">Local government plays an important role in facilitating the transition to a thriving, </w:t>
      </w:r>
      <w:r w:rsidR="00AC267B">
        <w:rPr>
          <w:lang w:eastAsia="en-NZ"/>
        </w:rPr>
        <w:t xml:space="preserve">climate-resilient and </w:t>
      </w:r>
      <w:r>
        <w:rPr>
          <w:lang w:eastAsia="en-NZ"/>
        </w:rPr>
        <w:t xml:space="preserve">low emissions </w:t>
      </w:r>
      <w:r w:rsidR="00AC267B">
        <w:rPr>
          <w:lang w:eastAsia="en-NZ"/>
        </w:rPr>
        <w:t>Aotearoa</w:t>
      </w:r>
      <w:r>
        <w:rPr>
          <w:lang w:eastAsia="en-NZ"/>
        </w:rPr>
        <w:t xml:space="preserve">. Councils make decisions on land use, urban form, road and transport services, provision of housing and the three waters (stormwater, wastewater and water supply), waste management, flood risk management and coastal management. These decisions affect how New Zealanders live, work and run businesses. </w:t>
      </w:r>
    </w:p>
    <w:p w14:paraId="3FF1A824" w14:textId="1B4AB5AD" w:rsidR="00E65DA0" w:rsidRDefault="00B909BA" w:rsidP="00E65DA0">
      <w:r w:rsidRPr="00926821">
        <w:rPr>
          <w:lang w:eastAsia="en-NZ"/>
        </w:rPr>
        <w:t xml:space="preserve">We heard consistently in our engagement </w:t>
      </w:r>
      <w:r w:rsidR="002F3358">
        <w:rPr>
          <w:lang w:eastAsia="en-NZ"/>
        </w:rPr>
        <w:t>about</w:t>
      </w:r>
      <w:r w:rsidRPr="00926821">
        <w:rPr>
          <w:lang w:eastAsia="en-NZ"/>
        </w:rPr>
        <w:t xml:space="preserve"> the importance of coordination between </w:t>
      </w:r>
      <w:r w:rsidR="00880C1A" w:rsidRPr="00926821">
        <w:rPr>
          <w:lang w:eastAsia="en-NZ"/>
        </w:rPr>
        <w:t>central</w:t>
      </w:r>
      <w:r w:rsidR="001838D7" w:rsidRPr="00926821">
        <w:rPr>
          <w:lang w:eastAsia="en-NZ"/>
        </w:rPr>
        <w:t xml:space="preserve"> and local</w:t>
      </w:r>
      <w:r w:rsidR="00880C1A" w:rsidRPr="00926821">
        <w:rPr>
          <w:lang w:eastAsia="en-NZ"/>
        </w:rPr>
        <w:t xml:space="preserve"> government</w:t>
      </w:r>
      <w:r w:rsidR="001838D7" w:rsidRPr="00926821">
        <w:rPr>
          <w:lang w:eastAsia="en-NZ"/>
        </w:rPr>
        <w:t>.</w:t>
      </w:r>
      <w:r w:rsidR="00926821" w:rsidRPr="00926821">
        <w:rPr>
          <w:lang w:eastAsia="en-NZ"/>
        </w:rPr>
        <w:t xml:space="preserve"> </w:t>
      </w:r>
      <w:r w:rsidR="00E65DA0">
        <w:rPr>
          <w:lang w:eastAsia="en-NZ"/>
        </w:rPr>
        <w:t xml:space="preserve">Delivering on emissions budgets and targets will require central and local government to work in partnership. Policy alignment and funding will be important for delivering low emissions outcomes. </w:t>
      </w:r>
      <w:r w:rsidR="00E65DA0">
        <w:t xml:space="preserve">Alignment will be needed across the Local Government Act, the Building Act and Code, the Resource Management Act (RMA), national direction under the RMA, proposed RMA reforms and the infrastructure plan. </w:t>
      </w:r>
    </w:p>
    <w:p w14:paraId="2A0A537D" w14:textId="77777777" w:rsidR="00AF02F7" w:rsidRPr="00337210" w:rsidRDefault="00AF02F7" w:rsidP="00AF02F7">
      <w:pPr>
        <w:rPr>
          <w:sz w:val="2"/>
          <w:szCs w:val="2"/>
        </w:rPr>
      </w:pPr>
    </w:p>
    <w:tbl>
      <w:tblPr>
        <w:tblStyle w:val="GridTable4-Accent2"/>
        <w:tblW w:w="0" w:type="auto"/>
        <w:tblCellMar>
          <w:top w:w="57" w:type="dxa"/>
          <w:bottom w:w="57" w:type="dxa"/>
        </w:tblCellMar>
        <w:tblLook w:val="04A0" w:firstRow="1" w:lastRow="0" w:firstColumn="1" w:lastColumn="0" w:noHBand="0" w:noVBand="1"/>
      </w:tblPr>
      <w:tblGrid>
        <w:gridCol w:w="9016"/>
      </w:tblGrid>
      <w:tr w:rsidR="00AF02F7" w:rsidRPr="00EA4071" w14:paraId="4E525FD9"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931A731" w14:textId="6AD77AF1" w:rsidR="00AF02F7" w:rsidRPr="00BA7CD8" w:rsidRDefault="00AF02F7" w:rsidP="0052109F">
            <w:pPr>
              <w:pStyle w:val="Content"/>
              <w:spacing w:before="0" w:after="0"/>
              <w:jc w:val="center"/>
              <w:rPr>
                <w:bCs w:val="0"/>
                <w:color w:val="000000" w:themeColor="text1"/>
                <w:sz w:val="24"/>
                <w:szCs w:val="24"/>
                <w:lang w:val="en-US"/>
              </w:rPr>
            </w:pPr>
            <w:r>
              <w:rPr>
                <w:bCs w:val="0"/>
                <w:sz w:val="28"/>
                <w:szCs w:val="28"/>
              </w:rPr>
              <w:t>Enabling</w:t>
            </w:r>
            <w:r w:rsidRPr="00BA7CD8">
              <w:rPr>
                <w:bCs w:val="0"/>
                <w:sz w:val="28"/>
                <w:szCs w:val="28"/>
              </w:rPr>
              <w:t xml:space="preserve"> recommendation </w:t>
            </w:r>
            <w:r>
              <w:rPr>
                <w:bCs w:val="0"/>
                <w:sz w:val="28"/>
                <w:szCs w:val="28"/>
              </w:rPr>
              <w:t>4</w:t>
            </w:r>
          </w:p>
          <w:p w14:paraId="30E7F943" w14:textId="0E83E638" w:rsidR="00AF02F7" w:rsidRPr="00EA4071" w:rsidRDefault="00AF02F7" w:rsidP="0052109F">
            <w:pPr>
              <w:pStyle w:val="Content"/>
              <w:spacing w:before="0" w:after="0"/>
              <w:jc w:val="center"/>
              <w:rPr>
                <w:b w:val="0"/>
                <w:sz w:val="28"/>
                <w:szCs w:val="28"/>
              </w:rPr>
            </w:pPr>
            <w:r w:rsidRPr="00AF02F7">
              <w:rPr>
                <w:b w:val="0"/>
                <w:sz w:val="28"/>
                <w:szCs w:val="28"/>
                <w:lang w:val="en-US"/>
              </w:rPr>
              <w:t>Central and local government working in partnership</w:t>
            </w:r>
          </w:p>
        </w:tc>
      </w:tr>
      <w:tr w:rsidR="00AF02F7" w:rsidRPr="00EA4071" w14:paraId="4FE78F44"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0426D6F" w14:textId="76A59241" w:rsidR="00AF02F7" w:rsidRPr="005C672D" w:rsidRDefault="00AF02F7" w:rsidP="00AF02F7">
            <w:pPr>
              <w:pStyle w:val="Content"/>
              <w:rPr>
                <w:bCs w:val="0"/>
              </w:rPr>
            </w:pPr>
            <w:r w:rsidRPr="005C672D">
              <w:rPr>
                <w:bCs w:val="0"/>
              </w:rPr>
              <w:t>We recommend that</w:t>
            </w:r>
            <w:r w:rsidR="0017321B">
              <w:rPr>
                <w:bCs w:val="0"/>
              </w:rPr>
              <w:t>,</w:t>
            </w:r>
            <w:r w:rsidRPr="005C672D">
              <w:rPr>
                <w:bCs w:val="0"/>
              </w:rPr>
              <w:t xml:space="preserve"> in transitioning Aotearoa to a thriving,</w:t>
            </w:r>
            <w:r w:rsidR="00AC267B">
              <w:rPr>
                <w:bCs w:val="0"/>
              </w:rPr>
              <w:t xml:space="preserve"> climate-resilient and</w:t>
            </w:r>
            <w:r w:rsidRPr="005C672D">
              <w:rPr>
                <w:bCs w:val="0"/>
              </w:rPr>
              <w:t xml:space="preserve"> low emissions</w:t>
            </w:r>
            <w:r w:rsidR="00AC267B">
              <w:rPr>
                <w:bCs w:val="0"/>
              </w:rPr>
              <w:t xml:space="preserve"> </w:t>
            </w:r>
            <w:r w:rsidRPr="005C672D">
              <w:rPr>
                <w:bCs w:val="0"/>
              </w:rPr>
              <w:t>future</w:t>
            </w:r>
            <w:r w:rsidR="0017321B">
              <w:rPr>
                <w:bCs w:val="0"/>
              </w:rPr>
              <w:t>,</w:t>
            </w:r>
            <w:r w:rsidRPr="005C672D">
              <w:rPr>
                <w:bCs w:val="0"/>
              </w:rPr>
              <w:t xml:space="preserve"> central and local government work together to:</w:t>
            </w:r>
          </w:p>
          <w:p w14:paraId="5F6CE49C" w14:textId="5160B0C9" w:rsidR="00AF02F7" w:rsidRPr="005C672D" w:rsidRDefault="00AF02F7" w:rsidP="00655722">
            <w:pPr>
              <w:pStyle w:val="Content"/>
              <w:numPr>
                <w:ilvl w:val="0"/>
                <w:numId w:val="24"/>
              </w:numPr>
              <w:rPr>
                <w:bCs w:val="0"/>
              </w:rPr>
            </w:pPr>
            <w:r w:rsidRPr="005C672D">
              <w:rPr>
                <w:bCs w:val="0"/>
              </w:rPr>
              <w:t>Align legislation and policy to enable local government to make effective decisions for climate change mitigation and adaptation, including aligning the Local Government Act, the Building Act and Code, national direction under the RMA, the proposed RMA reforms, implementation of the freshwater management framework and the 30</w:t>
            </w:r>
            <w:r w:rsidR="00DC394E">
              <w:rPr>
                <w:bCs w:val="0"/>
              </w:rPr>
              <w:t>-</w:t>
            </w:r>
            <w:r w:rsidRPr="005C672D">
              <w:rPr>
                <w:bCs w:val="0"/>
              </w:rPr>
              <w:t>year infrastructure plan.</w:t>
            </w:r>
          </w:p>
          <w:p w14:paraId="0E1B7F19" w14:textId="45442024" w:rsidR="00AF02F7" w:rsidRPr="00AF02F7" w:rsidRDefault="00AF02F7" w:rsidP="00655722">
            <w:pPr>
              <w:pStyle w:val="Content"/>
              <w:numPr>
                <w:ilvl w:val="0"/>
                <w:numId w:val="24"/>
              </w:numPr>
              <w:rPr>
                <w:b w:val="0"/>
              </w:rPr>
            </w:pPr>
            <w:r w:rsidRPr="005C672D">
              <w:rPr>
                <w:bCs w:val="0"/>
              </w:rPr>
              <w:t>Implement funding and financing mechanisms to enable the emissions</w:t>
            </w:r>
            <w:r w:rsidR="00A434AC">
              <w:rPr>
                <w:bCs w:val="0"/>
              </w:rPr>
              <w:t xml:space="preserve"> </w:t>
            </w:r>
            <w:r w:rsidR="00A434AC">
              <w:t>reduction</w:t>
            </w:r>
            <w:r w:rsidRPr="005C672D">
              <w:rPr>
                <w:bCs w:val="0"/>
              </w:rPr>
              <w:t xml:space="preserve"> plans to be implemented effectively and to address the distributional effects of policy change today and for future generations.</w:t>
            </w:r>
          </w:p>
        </w:tc>
      </w:tr>
    </w:tbl>
    <w:p w14:paraId="0170027E" w14:textId="77777777" w:rsidR="00AF02F7" w:rsidRPr="00337210" w:rsidRDefault="00AF02F7" w:rsidP="00AF02F7">
      <w:pPr>
        <w:rPr>
          <w:sz w:val="2"/>
          <w:szCs w:val="2"/>
        </w:rPr>
      </w:pPr>
    </w:p>
    <w:tbl>
      <w:tblPr>
        <w:tblStyle w:val="GridTable4-Accent2"/>
        <w:tblW w:w="0" w:type="auto"/>
        <w:tblCellMar>
          <w:top w:w="57" w:type="dxa"/>
          <w:bottom w:w="57" w:type="dxa"/>
        </w:tblCellMar>
        <w:tblLook w:val="04A0" w:firstRow="1" w:lastRow="0" w:firstColumn="1" w:lastColumn="0" w:noHBand="0" w:noVBand="1"/>
      </w:tblPr>
      <w:tblGrid>
        <w:gridCol w:w="9016"/>
      </w:tblGrid>
      <w:tr w:rsidR="00AF02F7" w:rsidRPr="00EA4071" w14:paraId="74CE8ACB"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11C46A2" w14:textId="054000FC" w:rsidR="00AF02F7" w:rsidRPr="00BA7CD8" w:rsidRDefault="00AF02F7" w:rsidP="0052109F">
            <w:pPr>
              <w:spacing w:before="120" w:after="120"/>
              <w:jc w:val="center"/>
              <w:rPr>
                <w:bCs w:val="0"/>
              </w:rPr>
            </w:pPr>
            <w:r w:rsidRPr="00BA7CD8">
              <w:rPr>
                <w:bCs w:val="0"/>
                <w:sz w:val="28"/>
                <w:szCs w:val="28"/>
              </w:rPr>
              <w:t>Progress indicator</w:t>
            </w:r>
            <w:r>
              <w:rPr>
                <w:bCs w:val="0"/>
                <w:sz w:val="28"/>
                <w:szCs w:val="28"/>
              </w:rPr>
              <w:t>s</w:t>
            </w:r>
          </w:p>
        </w:tc>
      </w:tr>
      <w:tr w:rsidR="00AF02F7" w:rsidRPr="00EA4071" w14:paraId="11D48CD3"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3138C69" w14:textId="587F139C" w:rsidR="00AF02F7" w:rsidRPr="005C672D" w:rsidRDefault="00AF02F7" w:rsidP="00655722">
            <w:pPr>
              <w:numPr>
                <w:ilvl w:val="0"/>
                <w:numId w:val="10"/>
              </w:numPr>
              <w:spacing w:before="160" w:after="0"/>
            </w:pPr>
            <w:r w:rsidRPr="005C672D">
              <w:t xml:space="preserve">Government to have, by </w:t>
            </w:r>
            <w:r w:rsidR="00C36EE2">
              <w:t xml:space="preserve">30 </w:t>
            </w:r>
            <w:r w:rsidRPr="005C672D">
              <w:t>June 2022, outlined its progress on developing the necessary partnerships between central and local government.</w:t>
            </w:r>
          </w:p>
          <w:p w14:paraId="32AF802A" w14:textId="6C72DB15" w:rsidR="00AF02F7" w:rsidRPr="00EA4071" w:rsidRDefault="00AF02F7" w:rsidP="00655722">
            <w:pPr>
              <w:numPr>
                <w:ilvl w:val="0"/>
                <w:numId w:val="10"/>
              </w:numPr>
              <w:spacing w:before="160" w:after="0"/>
              <w:rPr>
                <w:b w:val="0"/>
              </w:rPr>
            </w:pPr>
            <w:r w:rsidRPr="005C672D">
              <w:t xml:space="preserve">Government to have published a work plan by </w:t>
            </w:r>
            <w:r w:rsidR="00C36EE2">
              <w:t>31 December</w:t>
            </w:r>
            <w:r w:rsidRPr="005C672D">
              <w:t xml:space="preserve"> 2022 outlining how alignment and funding will be addressed and the milestones for achieving this plan</w:t>
            </w:r>
            <w:r w:rsidR="00880C1A" w:rsidRPr="005C672D">
              <w:t>.</w:t>
            </w:r>
          </w:p>
        </w:tc>
      </w:tr>
    </w:tbl>
    <w:p w14:paraId="638118C9" w14:textId="4BB08ED3" w:rsidR="00EA54E9" w:rsidRDefault="00EA54E9" w:rsidP="00EA54E9">
      <w:pPr>
        <w:pStyle w:val="Content"/>
      </w:pPr>
      <w:bookmarkStart w:id="61" w:name="_Toc58840895"/>
      <w:bookmarkStart w:id="62" w:name="_Toc58857569"/>
    </w:p>
    <w:p w14:paraId="4F63FF6F" w14:textId="77777777" w:rsidR="00404C3E" w:rsidRDefault="00404C3E" w:rsidP="00EA54E9">
      <w:pPr>
        <w:pStyle w:val="Content"/>
      </w:pPr>
    </w:p>
    <w:tbl>
      <w:tblPr>
        <w:tblStyle w:val="GridTable4-Accent2"/>
        <w:tblW w:w="0" w:type="auto"/>
        <w:shd w:val="clear" w:color="auto" w:fill="C6B1D1"/>
        <w:tblCellMar>
          <w:top w:w="57" w:type="dxa"/>
          <w:bottom w:w="57" w:type="dxa"/>
        </w:tblCellMar>
        <w:tblLook w:val="04A0" w:firstRow="1" w:lastRow="0" w:firstColumn="1" w:lastColumn="0" w:noHBand="0" w:noVBand="1"/>
      </w:tblPr>
      <w:tblGrid>
        <w:gridCol w:w="9016"/>
      </w:tblGrid>
      <w:tr w:rsidR="00EA54E9" w:rsidRPr="00EA4071" w14:paraId="01B39186" w14:textId="77777777" w:rsidTr="00632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9E76B3"/>
          </w:tcPr>
          <w:p w14:paraId="5055C2E0" w14:textId="77777777" w:rsidR="00EA54E9" w:rsidRPr="00BA7CD8" w:rsidRDefault="00EA54E9" w:rsidP="006323EB">
            <w:pPr>
              <w:pStyle w:val="Content"/>
              <w:spacing w:before="0" w:after="0"/>
              <w:jc w:val="center"/>
              <w:rPr>
                <w:bCs w:val="0"/>
                <w:color w:val="000000" w:themeColor="text1"/>
                <w:sz w:val="24"/>
                <w:szCs w:val="24"/>
                <w:lang w:val="en-US"/>
              </w:rPr>
            </w:pPr>
            <w:r>
              <w:rPr>
                <w:bCs w:val="0"/>
                <w:sz w:val="28"/>
                <w:szCs w:val="28"/>
              </w:rPr>
              <w:t>Consultation question 8</w:t>
            </w:r>
          </w:p>
          <w:p w14:paraId="0521EDFC" w14:textId="77777777" w:rsidR="00EA54E9" w:rsidRPr="00EA4071" w:rsidRDefault="00EA54E9" w:rsidP="006323EB">
            <w:pPr>
              <w:pStyle w:val="Content"/>
              <w:spacing w:before="0" w:after="0"/>
              <w:jc w:val="center"/>
              <w:rPr>
                <w:b w:val="0"/>
                <w:sz w:val="28"/>
                <w:szCs w:val="28"/>
              </w:rPr>
            </w:pPr>
            <w:r w:rsidRPr="00AF02F7">
              <w:rPr>
                <w:b w:val="0"/>
                <w:sz w:val="28"/>
                <w:szCs w:val="28"/>
                <w:lang w:val="en-US"/>
              </w:rPr>
              <w:t>Central and local government working in partnership</w:t>
            </w:r>
          </w:p>
        </w:tc>
      </w:tr>
      <w:tr w:rsidR="00EA54E9" w:rsidRPr="00EA4071" w14:paraId="6D1F5566" w14:textId="77777777" w:rsidTr="0063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C6B1D1"/>
          </w:tcPr>
          <w:p w14:paraId="60E28543" w14:textId="699DB2E5" w:rsidR="00EA54E9" w:rsidRPr="00EA4071" w:rsidRDefault="008130CA" w:rsidP="00400204">
            <w:pPr>
              <w:pStyle w:val="Content"/>
              <w:rPr>
                <w:b w:val="0"/>
              </w:rPr>
            </w:pPr>
            <w:r w:rsidRPr="00B2626E">
              <w:rPr>
                <w:bCs w:val="0"/>
              </w:rPr>
              <w:t xml:space="preserve">Do you </w:t>
            </w:r>
            <w:r>
              <w:rPr>
                <w:bCs w:val="0"/>
              </w:rPr>
              <w:t xml:space="preserve">support </w:t>
            </w:r>
            <w:r w:rsidRPr="00B2626E">
              <w:rPr>
                <w:bCs w:val="0"/>
              </w:rPr>
              <w:t xml:space="preserve">enabling recommendation </w:t>
            </w:r>
            <w:r>
              <w:rPr>
                <w:bCs w:val="0"/>
              </w:rPr>
              <w:t>4? Is there anything we should change, and why</w:t>
            </w:r>
            <w:r w:rsidRPr="00E5673C">
              <w:rPr>
                <w:bCs w:val="0"/>
              </w:rPr>
              <w:t>?</w:t>
            </w:r>
          </w:p>
        </w:tc>
      </w:tr>
    </w:tbl>
    <w:p w14:paraId="68D59D86" w14:textId="4184ECCF" w:rsidR="00E65DA0" w:rsidRPr="006F5718" w:rsidRDefault="0076433F" w:rsidP="00E65DA0">
      <w:pPr>
        <w:pStyle w:val="Heading3"/>
      </w:pPr>
      <w:bookmarkStart w:id="63" w:name="_Toc62649313"/>
      <w:bookmarkStart w:id="64" w:name="_Toc62650254"/>
      <w:r>
        <w:t xml:space="preserve">2.6.5 </w:t>
      </w:r>
      <w:r w:rsidR="00E65DA0">
        <w:t>Ensuring inclusive and effective consultation, engagement and public participation</w:t>
      </w:r>
      <w:bookmarkEnd w:id="61"/>
      <w:bookmarkEnd w:id="62"/>
      <w:bookmarkEnd w:id="63"/>
      <w:bookmarkEnd w:id="64"/>
    </w:p>
    <w:p w14:paraId="660916D6" w14:textId="47C25F10" w:rsidR="00E65DA0" w:rsidRDefault="00E65DA0" w:rsidP="00E65DA0">
      <w:r w:rsidRPr="00C56C38">
        <w:t xml:space="preserve">Taking action on climate change inevitably involves making </w:t>
      </w:r>
      <w:r>
        <w:t xml:space="preserve">choices, </w:t>
      </w:r>
      <w:r w:rsidRPr="00C56C38">
        <w:t xml:space="preserve">judgements and trade-offs that touch on the lives of all New Zealanders. These include, for example, how we want our future landscapes to look and how much we want to pay to reduce emissions here or overseas. </w:t>
      </w:r>
    </w:p>
    <w:p w14:paraId="05BE04EF" w14:textId="0BFC2AAF" w:rsidR="00E65DA0" w:rsidRPr="00DF1D4D" w:rsidRDefault="00E65DA0" w:rsidP="00E65DA0">
      <w:r w:rsidRPr="00DF1D4D">
        <w:t xml:space="preserve">In making these decisions, it is helpful to understand </w:t>
      </w:r>
      <w:r w:rsidR="00246ED5">
        <w:t>a wide range of</w:t>
      </w:r>
      <w:r w:rsidR="00246ED5" w:rsidRPr="00DF1D4D">
        <w:t xml:space="preserve"> </w:t>
      </w:r>
      <w:r w:rsidRPr="00DF1D4D">
        <w:t>perspectives</w:t>
      </w:r>
      <w:r w:rsidR="00246ED5">
        <w:t>,</w:t>
      </w:r>
      <w:r w:rsidRPr="00DF1D4D">
        <w:t xml:space="preserve"> not just of the highly engaged. </w:t>
      </w:r>
      <w:r w:rsidR="5B8017EC">
        <w:t xml:space="preserve">Many representative </w:t>
      </w:r>
      <w:r w:rsidRPr="00DF1D4D">
        <w:t>groups have knowledge and capacity to engage with and influence government. They have the ability to access leaders and shape conversations. Their perspectives in the transition</w:t>
      </w:r>
      <w:r w:rsidR="00725D28">
        <w:t>,</w:t>
      </w:r>
      <w:r w:rsidRPr="00DF1D4D">
        <w:t xml:space="preserve"> and the actions they take to reduce emissions, will be crucial.</w:t>
      </w:r>
    </w:p>
    <w:p w14:paraId="65CFFB98" w14:textId="3A223000" w:rsidR="00E65DA0" w:rsidRPr="00C56C38" w:rsidRDefault="00E65DA0" w:rsidP="00E65DA0">
      <w:r w:rsidRPr="00DF1D4D">
        <w:t>However, a collective and coordinated response will require the views and perspectives</w:t>
      </w:r>
      <w:r>
        <w:t xml:space="preserve"> of </w:t>
      </w:r>
      <w:r w:rsidRPr="00C56C38">
        <w:t xml:space="preserve">people from all parts of society. It is important that </w:t>
      </w:r>
      <w:r w:rsidR="003C74BF">
        <w:t xml:space="preserve">the </w:t>
      </w:r>
      <w:r w:rsidRPr="00C56C38">
        <w:t xml:space="preserve">voices </w:t>
      </w:r>
      <w:r w:rsidR="003C74BF">
        <w:t xml:space="preserve">of all New Zealanders </w:t>
      </w:r>
      <w:r w:rsidRPr="00C56C38">
        <w:t xml:space="preserve">have </w:t>
      </w:r>
      <w:r w:rsidR="003C74BF">
        <w:t>the opportunities and resources</w:t>
      </w:r>
      <w:r w:rsidR="003C74BF" w:rsidRPr="00C56C38">
        <w:t xml:space="preserve"> </w:t>
      </w:r>
      <w:r w:rsidRPr="00C56C38">
        <w:t xml:space="preserve">to input into judgements and decisions on </w:t>
      </w:r>
      <w:r w:rsidR="00527D05">
        <w:t xml:space="preserve">how </w:t>
      </w:r>
      <w:r w:rsidRPr="00C56C38">
        <w:t>Aotearoa address</w:t>
      </w:r>
      <w:r w:rsidR="00527D05">
        <w:t>es</w:t>
      </w:r>
      <w:r w:rsidRPr="00C56C38">
        <w:t xml:space="preserve"> climate change. Government needs to engage with audiences in ways that suit them, are culturally appropriate and ensure they can contribute. </w:t>
      </w:r>
    </w:p>
    <w:p w14:paraId="76F3EDF3" w14:textId="1575B00B" w:rsidR="00E65DA0" w:rsidRPr="006F5718" w:rsidRDefault="00E65DA0" w:rsidP="00E65DA0">
      <w:r>
        <w:t xml:space="preserve">At the same time, there is a need to avoid over-consultation. This is already becoming an issue </w:t>
      </w:r>
      <w:r w:rsidR="00C665F0">
        <w:t>with</w:t>
      </w:r>
      <w:r>
        <w:t xml:space="preserve"> the response to climate change as it increases in prominence. It is also a particular issue for iwi/Māori. The risk is that back-to-back consultation will lead to engagement and consultation fatigue. Aotearoa needs to ensure consultation is genuine collaboration or co-design between government and citizens rather than a tick box exercise. </w:t>
      </w:r>
    </w:p>
    <w:p w14:paraId="06FC8D86" w14:textId="24EFE4D5" w:rsidR="00E65DA0" w:rsidRPr="006F5718" w:rsidRDefault="00E65DA0" w:rsidP="00E65DA0">
      <w:r>
        <w:t xml:space="preserve">There are a number of tools that could be used to address these issues. In the past, the </w:t>
      </w:r>
      <w:r w:rsidR="00C665F0">
        <w:t>G</w:t>
      </w:r>
      <w:r>
        <w:t xml:space="preserve">overnment operated an online consultation hub for all policies relating to climate change to give stakeholders a clear view of upcoming and closed consultations. This provided a source of information for stakeholders, allowing them to plan, allocate time and develop a high-level view of a collaborative government. </w:t>
      </w:r>
    </w:p>
    <w:p w14:paraId="127A0A93" w14:textId="593487EA" w:rsidR="00953A59" w:rsidRDefault="00E65DA0" w:rsidP="00953A59">
      <w:r>
        <w:t xml:space="preserve">In our engagement, some stakeholders suggested that an ongoing public forum or citizens’ assembly for climate change should be established. A citizens’ assembly would allow the Government or Parliament to work with a randomly selected group of citizens, to inform them on climate change issues and to get their views on the direction Aotearoa should take to reduce emissions and address climate change. Public participation in </w:t>
      </w:r>
      <w:r w:rsidR="00C665F0">
        <w:t>discussion of</w:t>
      </w:r>
      <w:r>
        <w:t xml:space="preserve"> how Aotearoa addresses climate change provides a different perspective from the evidence-based analysis that we put forward. Taking action on climate change inevitably involves making judgements and trade-offs. </w:t>
      </w:r>
      <w:r w:rsidR="00527D05">
        <w:t>C</w:t>
      </w:r>
      <w:r>
        <w:t>itizens</w:t>
      </w:r>
      <w:r w:rsidR="00527D05">
        <w:t xml:space="preserve"> of Aotearoa</w:t>
      </w:r>
      <w:r>
        <w:t xml:space="preserve"> should be intimately involved in making such judgements.</w:t>
      </w:r>
    </w:p>
    <w:p w14:paraId="3398BD4A" w14:textId="77777777" w:rsidR="00953A59" w:rsidRDefault="00953A59" w:rsidP="00953A59"/>
    <w:tbl>
      <w:tblPr>
        <w:tblStyle w:val="GridTable4-Accent2"/>
        <w:tblW w:w="0" w:type="auto"/>
        <w:tblCellMar>
          <w:top w:w="57" w:type="dxa"/>
          <w:bottom w:w="57" w:type="dxa"/>
        </w:tblCellMar>
        <w:tblLook w:val="04A0" w:firstRow="1" w:lastRow="0" w:firstColumn="1" w:lastColumn="0" w:noHBand="0" w:noVBand="1"/>
      </w:tblPr>
      <w:tblGrid>
        <w:gridCol w:w="9016"/>
      </w:tblGrid>
      <w:tr w:rsidR="00953A59" w:rsidRPr="00EA4071" w14:paraId="79821C6F"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EF45A41" w14:textId="5952B156" w:rsidR="00953A59" w:rsidRPr="00BA7CD8" w:rsidRDefault="00953A59" w:rsidP="00B977E6">
            <w:pPr>
              <w:pStyle w:val="Content"/>
              <w:keepNext/>
              <w:spacing w:before="0" w:after="0"/>
              <w:jc w:val="center"/>
              <w:rPr>
                <w:bCs w:val="0"/>
                <w:color w:val="000000" w:themeColor="text1"/>
                <w:sz w:val="24"/>
                <w:szCs w:val="24"/>
                <w:lang w:val="en-US"/>
              </w:rPr>
            </w:pPr>
            <w:r>
              <w:rPr>
                <w:bCs w:val="0"/>
                <w:sz w:val="28"/>
                <w:szCs w:val="28"/>
              </w:rPr>
              <w:lastRenderedPageBreak/>
              <w:t>Enabling</w:t>
            </w:r>
            <w:r w:rsidRPr="00BA7CD8">
              <w:rPr>
                <w:bCs w:val="0"/>
                <w:sz w:val="28"/>
                <w:szCs w:val="28"/>
              </w:rPr>
              <w:t xml:space="preserve"> recommendation </w:t>
            </w:r>
            <w:r>
              <w:rPr>
                <w:bCs w:val="0"/>
                <w:sz w:val="28"/>
                <w:szCs w:val="28"/>
              </w:rPr>
              <w:t>5</w:t>
            </w:r>
          </w:p>
          <w:p w14:paraId="2F3759F0" w14:textId="105F4C26" w:rsidR="00953A59" w:rsidRPr="00EA4071" w:rsidRDefault="00953A59" w:rsidP="00B977E6">
            <w:pPr>
              <w:pStyle w:val="Content"/>
              <w:keepNext/>
              <w:spacing w:before="0" w:after="0"/>
              <w:jc w:val="center"/>
              <w:rPr>
                <w:b w:val="0"/>
                <w:sz w:val="28"/>
                <w:szCs w:val="28"/>
              </w:rPr>
            </w:pPr>
            <w:r w:rsidRPr="00953A59">
              <w:rPr>
                <w:b w:val="0"/>
                <w:sz w:val="28"/>
                <w:szCs w:val="28"/>
                <w:lang w:val="en-US"/>
              </w:rPr>
              <w:t xml:space="preserve">Establish processes for incorporating the views of </w:t>
            </w:r>
            <w:r w:rsidR="003C74BF">
              <w:rPr>
                <w:b w:val="0"/>
                <w:sz w:val="28"/>
                <w:szCs w:val="28"/>
                <w:lang w:val="en-US"/>
              </w:rPr>
              <w:t>all New Zealanders</w:t>
            </w:r>
          </w:p>
        </w:tc>
      </w:tr>
      <w:tr w:rsidR="00953A59" w:rsidRPr="00EA4071" w14:paraId="29634FF7"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9101786" w14:textId="0CCC03EC" w:rsidR="00953A59" w:rsidRPr="005C672D" w:rsidRDefault="00953A59" w:rsidP="00953A59">
            <w:pPr>
              <w:pStyle w:val="Content"/>
              <w:rPr>
                <w:bCs w:val="0"/>
              </w:rPr>
            </w:pPr>
            <w:r w:rsidRPr="005C672D">
              <w:rPr>
                <w:bCs w:val="0"/>
              </w:rPr>
              <w:t xml:space="preserve">We recommend that central and local government develop new and more effective mechanisms to incorporate the views of </w:t>
            </w:r>
            <w:r w:rsidR="003C74BF">
              <w:rPr>
                <w:bCs w:val="0"/>
              </w:rPr>
              <w:t>all New Zealanders</w:t>
            </w:r>
            <w:r w:rsidRPr="005C672D">
              <w:rPr>
                <w:bCs w:val="0"/>
              </w:rPr>
              <w:t xml:space="preserve"> when determining how to prioritise climate actions and policies to meet emissions budgets over the next 30 years, to </w:t>
            </w:r>
            <w:r w:rsidR="00D90EFE">
              <w:rPr>
                <w:bCs w:val="0"/>
              </w:rPr>
              <w:t>create</w:t>
            </w:r>
            <w:r w:rsidRPr="005C672D">
              <w:rPr>
                <w:bCs w:val="0"/>
              </w:rPr>
              <w:t xml:space="preserve"> more </w:t>
            </w:r>
            <w:r w:rsidR="00D90EFE">
              <w:rPr>
                <w:bCs w:val="0"/>
              </w:rPr>
              <w:t>inclusive policy development</w:t>
            </w:r>
            <w:r w:rsidRPr="005C672D">
              <w:rPr>
                <w:bCs w:val="0"/>
              </w:rPr>
              <w:t xml:space="preserve">. One possible mechanism is funding and establishing an ongoing public forum for climate change to bring forward the views and perspectives of </w:t>
            </w:r>
            <w:r w:rsidR="003C74BF">
              <w:rPr>
                <w:bCs w:val="0"/>
              </w:rPr>
              <w:t xml:space="preserve">all </w:t>
            </w:r>
            <w:r w:rsidRPr="005C672D">
              <w:rPr>
                <w:bCs w:val="0"/>
              </w:rPr>
              <w:t>New Zealanders.</w:t>
            </w:r>
          </w:p>
        </w:tc>
      </w:tr>
    </w:tbl>
    <w:p w14:paraId="61FF79DD" w14:textId="77777777" w:rsidR="00953A59" w:rsidRDefault="00953A59" w:rsidP="00953A59"/>
    <w:tbl>
      <w:tblPr>
        <w:tblStyle w:val="GridTable4-Accent2"/>
        <w:tblW w:w="0" w:type="auto"/>
        <w:tblCellMar>
          <w:top w:w="57" w:type="dxa"/>
          <w:bottom w:w="57" w:type="dxa"/>
        </w:tblCellMar>
        <w:tblLook w:val="04A0" w:firstRow="1" w:lastRow="0" w:firstColumn="1" w:lastColumn="0" w:noHBand="0" w:noVBand="1"/>
      </w:tblPr>
      <w:tblGrid>
        <w:gridCol w:w="9016"/>
      </w:tblGrid>
      <w:tr w:rsidR="00953A59" w:rsidRPr="00EA4071" w14:paraId="26CF84A3"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0F309E6" w14:textId="1B67A486" w:rsidR="00953A59" w:rsidRPr="00BA7CD8" w:rsidRDefault="00953A59" w:rsidP="0052109F">
            <w:pPr>
              <w:spacing w:before="120" w:after="120"/>
              <w:jc w:val="center"/>
              <w:rPr>
                <w:bCs w:val="0"/>
              </w:rPr>
            </w:pPr>
            <w:r w:rsidRPr="00BA7CD8">
              <w:rPr>
                <w:bCs w:val="0"/>
                <w:sz w:val="28"/>
                <w:szCs w:val="28"/>
              </w:rPr>
              <w:t>Progress indicator</w:t>
            </w:r>
          </w:p>
        </w:tc>
      </w:tr>
      <w:tr w:rsidR="00953A59" w:rsidRPr="00EA4071" w14:paraId="6952D384"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8052B17" w14:textId="475895B2" w:rsidR="00953A59" w:rsidRPr="005C672D" w:rsidRDefault="00953A59" w:rsidP="00953A59">
            <w:pPr>
              <w:spacing w:before="160" w:after="0"/>
            </w:pPr>
            <w:r w:rsidRPr="00E312C3">
              <w:t xml:space="preserve">Government publishes a proposal, no later than </w:t>
            </w:r>
            <w:r w:rsidR="00C36EE2" w:rsidRPr="00E312C3">
              <w:t>31 December</w:t>
            </w:r>
            <w:r w:rsidRPr="00E312C3">
              <w:t xml:space="preserve"> 2022, on the mechanisms it will use to incorporate the views of </w:t>
            </w:r>
            <w:r w:rsidR="000B597E" w:rsidRPr="00E312C3">
              <w:t>all New Zealander</w:t>
            </w:r>
            <w:r w:rsidR="00BE6714" w:rsidRPr="00E312C3">
              <w:t>s</w:t>
            </w:r>
            <w:r w:rsidRPr="00E312C3">
              <w:t xml:space="preserve"> when determining how to prioritise climate actions and policies to meet emissions budgets over the next 30 years.</w:t>
            </w:r>
          </w:p>
        </w:tc>
      </w:tr>
      <w:bookmarkEnd w:id="28"/>
    </w:tbl>
    <w:p w14:paraId="03ADB87B" w14:textId="77777777" w:rsidR="00E715FE" w:rsidRDefault="00E715FE" w:rsidP="00E715FE">
      <w:pPr>
        <w:pStyle w:val="Content"/>
      </w:pPr>
    </w:p>
    <w:tbl>
      <w:tblPr>
        <w:tblStyle w:val="GridTable4-Accent2"/>
        <w:tblW w:w="0" w:type="auto"/>
        <w:shd w:val="clear" w:color="auto" w:fill="C6B1D1"/>
        <w:tblCellMar>
          <w:top w:w="57" w:type="dxa"/>
          <w:bottom w:w="57" w:type="dxa"/>
        </w:tblCellMar>
        <w:tblLook w:val="04A0" w:firstRow="1" w:lastRow="0" w:firstColumn="1" w:lastColumn="0" w:noHBand="0" w:noVBand="1"/>
      </w:tblPr>
      <w:tblGrid>
        <w:gridCol w:w="9016"/>
      </w:tblGrid>
      <w:tr w:rsidR="00190CFC" w:rsidRPr="00EA4071" w14:paraId="4EB5F228" w14:textId="77777777" w:rsidTr="00632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9E76B3"/>
          </w:tcPr>
          <w:p w14:paraId="5AEEFDD8" w14:textId="77777777" w:rsidR="00190CFC" w:rsidRPr="00BA7CD8" w:rsidRDefault="00190CFC" w:rsidP="006323EB">
            <w:pPr>
              <w:pStyle w:val="Content"/>
              <w:spacing w:before="0" w:after="0"/>
              <w:jc w:val="center"/>
              <w:rPr>
                <w:bCs w:val="0"/>
                <w:color w:val="000000" w:themeColor="text1"/>
                <w:sz w:val="24"/>
                <w:szCs w:val="24"/>
                <w:lang w:val="en-US"/>
              </w:rPr>
            </w:pPr>
            <w:r>
              <w:rPr>
                <w:bCs w:val="0"/>
                <w:sz w:val="28"/>
                <w:szCs w:val="28"/>
              </w:rPr>
              <w:t>Consultation question 9</w:t>
            </w:r>
          </w:p>
          <w:p w14:paraId="1D8D3EFB" w14:textId="77777777" w:rsidR="00190CFC" w:rsidRPr="00EA4071" w:rsidRDefault="00190CFC" w:rsidP="006323EB">
            <w:pPr>
              <w:pStyle w:val="Content"/>
              <w:spacing w:before="0" w:after="0"/>
              <w:jc w:val="center"/>
              <w:rPr>
                <w:b w:val="0"/>
                <w:sz w:val="28"/>
                <w:szCs w:val="28"/>
              </w:rPr>
            </w:pPr>
            <w:r w:rsidRPr="00953A59">
              <w:rPr>
                <w:b w:val="0"/>
                <w:sz w:val="28"/>
                <w:szCs w:val="28"/>
                <w:lang w:val="en-US"/>
              </w:rPr>
              <w:t xml:space="preserve">Establish processes for incorporating the views of </w:t>
            </w:r>
            <w:r>
              <w:rPr>
                <w:b w:val="0"/>
                <w:sz w:val="28"/>
                <w:szCs w:val="28"/>
                <w:lang w:val="en-US"/>
              </w:rPr>
              <w:t>all New Zealanders</w:t>
            </w:r>
          </w:p>
        </w:tc>
      </w:tr>
      <w:tr w:rsidR="00AD5AE0" w:rsidRPr="00EA4071" w14:paraId="6E1DAA70" w14:textId="77777777" w:rsidTr="0063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C6B1D1"/>
          </w:tcPr>
          <w:p w14:paraId="3517D39B" w14:textId="281F5D78" w:rsidR="00AD5AE0" w:rsidRPr="00EA4071" w:rsidRDefault="00AD5AE0" w:rsidP="00AD5AE0">
            <w:pPr>
              <w:pStyle w:val="Content"/>
              <w:rPr>
                <w:b w:val="0"/>
              </w:rPr>
            </w:pPr>
            <w:r w:rsidRPr="00B2626E">
              <w:rPr>
                <w:bCs w:val="0"/>
              </w:rPr>
              <w:t xml:space="preserve">Do you </w:t>
            </w:r>
            <w:r>
              <w:rPr>
                <w:bCs w:val="0"/>
              </w:rPr>
              <w:t xml:space="preserve">support </w:t>
            </w:r>
            <w:r w:rsidRPr="00B2626E">
              <w:rPr>
                <w:bCs w:val="0"/>
              </w:rPr>
              <w:t xml:space="preserve">enabling recommendation </w:t>
            </w:r>
            <w:r>
              <w:rPr>
                <w:bCs w:val="0"/>
              </w:rPr>
              <w:t>5? Is there anything we should change, and why</w:t>
            </w:r>
            <w:r w:rsidRPr="00E5673C">
              <w:rPr>
                <w:bCs w:val="0"/>
              </w:rPr>
              <w:t>?</w:t>
            </w:r>
          </w:p>
        </w:tc>
      </w:tr>
    </w:tbl>
    <w:p w14:paraId="6BCAB783" w14:textId="77777777" w:rsidR="00190CFC" w:rsidRDefault="00190CFC" w:rsidP="00E715FE">
      <w:pPr>
        <w:pStyle w:val="Content"/>
      </w:pPr>
    </w:p>
    <w:p w14:paraId="7EBE1D7E" w14:textId="77777777" w:rsidR="006967CE" w:rsidRDefault="006967CE">
      <w:pPr>
        <w:spacing w:before="0" w:after="160"/>
        <w:rPr>
          <w:rFonts w:asciiTheme="majorHAnsi" w:eastAsiaTheme="majorEastAsia" w:hAnsiTheme="majorHAnsi" w:cstheme="majorBidi"/>
          <w:color w:val="2F5496" w:themeColor="accent1" w:themeShade="BF"/>
          <w:sz w:val="32"/>
          <w:szCs w:val="32"/>
        </w:rPr>
      </w:pPr>
      <w:bookmarkStart w:id="65" w:name="_Toc56103063"/>
      <w:bookmarkStart w:id="66" w:name="_Toc56103125"/>
      <w:bookmarkStart w:id="67" w:name="_Toc56103193"/>
      <w:bookmarkStart w:id="68" w:name="_Toc56111266"/>
      <w:bookmarkStart w:id="69" w:name="_Toc56111418"/>
      <w:bookmarkStart w:id="70" w:name="_Toc56111513"/>
      <w:r>
        <w:br w:type="page"/>
      </w:r>
    </w:p>
    <w:p w14:paraId="17599835" w14:textId="5DE1F511" w:rsidR="008D376E" w:rsidRDefault="008D376E" w:rsidP="008D376E">
      <w:pPr>
        <w:pStyle w:val="Heading1"/>
      </w:pPr>
      <w:bookmarkStart w:id="71" w:name="_Toc57818181"/>
      <w:bookmarkStart w:id="72" w:name="_Toc62650255"/>
      <w:bookmarkStart w:id="73" w:name="_Toc57818191"/>
      <w:bookmarkEnd w:id="65"/>
      <w:bookmarkEnd w:id="66"/>
      <w:bookmarkEnd w:id="67"/>
      <w:bookmarkEnd w:id="68"/>
      <w:bookmarkEnd w:id="69"/>
      <w:bookmarkEnd w:id="70"/>
      <w:r>
        <w:lastRenderedPageBreak/>
        <w:t>Chapter 3: T</w:t>
      </w:r>
      <w:r w:rsidRPr="007F039E">
        <w:t>he</w:t>
      </w:r>
      <w:r>
        <w:t xml:space="preserve"> path </w:t>
      </w:r>
      <w:r w:rsidRPr="007F039E">
        <w:t>to</w:t>
      </w:r>
      <w:r>
        <w:t xml:space="preserve"> </w:t>
      </w:r>
      <w:r w:rsidRPr="007F039E">
        <w:t>2035</w:t>
      </w:r>
      <w:bookmarkEnd w:id="71"/>
      <w:bookmarkEnd w:id="72"/>
    </w:p>
    <w:p w14:paraId="7AC7CDF9" w14:textId="630DE20E" w:rsidR="008D376E" w:rsidRDefault="008D376E" w:rsidP="008D376E">
      <w:r>
        <w:t xml:space="preserve">In this chapter, we </w:t>
      </w:r>
      <w:r w:rsidR="21F1D742">
        <w:t>describe</w:t>
      </w:r>
      <w:r>
        <w:t xml:space="preserve"> how Aotearoa could meet our proposed emissions budgets. We have </w:t>
      </w:r>
      <w:r w:rsidDel="0068309C">
        <w:t>developed</w:t>
      </w:r>
      <w:r w:rsidRPr="00961640" w:rsidDel="0068309C">
        <w:t xml:space="preserve"> </w:t>
      </w:r>
      <w:r>
        <w:t xml:space="preserve">this by looking closely at </w:t>
      </w:r>
      <w:r w:rsidRPr="00961640">
        <w:t>the emissions reductions that are technically and economically achievable over each of the first three emissions budget periods</w:t>
      </w:r>
      <w:r>
        <w:t xml:space="preserve">. We have looked at both existing and emerging opportunities, technologies and behaviour or practice change. </w:t>
      </w:r>
      <w:r w:rsidR="008A170F">
        <w:t xml:space="preserve">We </w:t>
      </w:r>
      <w:r w:rsidR="00C96F8B">
        <w:t xml:space="preserve">bring these changes together </w:t>
      </w:r>
      <w:r w:rsidR="00A93C1F">
        <w:t>in a bottom-up modelling framework that c</w:t>
      </w:r>
      <w:r w:rsidR="000D684D">
        <w:t>aptures</w:t>
      </w:r>
      <w:r w:rsidR="00A93C1F">
        <w:t xml:space="preserve"> the key interactions across </w:t>
      </w:r>
      <w:r w:rsidR="000D684D">
        <w:t>sectors</w:t>
      </w:r>
      <w:r w:rsidR="002D3C0A">
        <w:t xml:space="preserve"> and</w:t>
      </w:r>
      <w:r w:rsidR="00431164">
        <w:t xml:space="preserve"> allows us to investigate different scenarios for the future</w:t>
      </w:r>
      <w:r w:rsidR="000D684D">
        <w:t>.</w:t>
      </w:r>
    </w:p>
    <w:p w14:paraId="001E7D42" w14:textId="0BBB222E" w:rsidR="00513548" w:rsidRDefault="00513548" w:rsidP="008D376E">
      <w:r w:rsidRPr="00513548">
        <w:t>Emissions can be reduced through either adopting lower emissions technologies and practices, or through reducing production. Our approach has prioritised adopting lower-emission technologies and practices. We have only considered reducing production if there are no alternative ways to reduce emissions.</w:t>
      </w:r>
    </w:p>
    <w:p w14:paraId="3B51B35C" w14:textId="36CFF25F" w:rsidR="00C274F2" w:rsidRDefault="00C274F2" w:rsidP="008D376E">
      <w:r>
        <w:t xml:space="preserve">We have also considered the impact of </w:t>
      </w:r>
      <w:r w:rsidR="00445BA0">
        <w:t>COVID</w:t>
      </w:r>
      <w:r>
        <w:t xml:space="preserve">-19 in producing our path. </w:t>
      </w:r>
    </w:p>
    <w:p w14:paraId="0948A657" w14:textId="13852DDE" w:rsidR="008D376E" w:rsidRDefault="008D376E" w:rsidP="008D376E">
      <w:r>
        <w:t xml:space="preserve">The assumptions we used </w:t>
      </w:r>
      <w:r w:rsidR="00383A45">
        <w:t xml:space="preserve">in these scenarios </w:t>
      </w:r>
      <w:r>
        <w:t xml:space="preserve">are outlined in detail </w:t>
      </w:r>
      <w:r w:rsidRPr="00B71560">
        <w:t xml:space="preserve">in </w:t>
      </w:r>
      <w:r w:rsidR="005C672D" w:rsidRPr="00B71560">
        <w:t xml:space="preserve">chapter </w:t>
      </w:r>
      <w:r w:rsidR="009D386A" w:rsidRPr="00B71560">
        <w:t>8</w:t>
      </w:r>
      <w:r w:rsidR="005C672D" w:rsidRPr="00B71560">
        <w:t xml:space="preserve"> of </w:t>
      </w:r>
      <w:r w:rsidRPr="00B71560">
        <w:t>the Evidence Report</w:t>
      </w:r>
      <w:r>
        <w:t>. For each potential emissions reduction opportunity, we have researched:</w:t>
      </w:r>
    </w:p>
    <w:p w14:paraId="43220B02" w14:textId="77777777" w:rsidR="008D376E" w:rsidRDefault="008D376E" w:rsidP="00F52090">
      <w:pPr>
        <w:pStyle w:val="ListParagraph"/>
        <w:numPr>
          <w:ilvl w:val="0"/>
          <w:numId w:val="5"/>
        </w:numPr>
      </w:pPr>
      <w:r>
        <w:t>the potential scale of the emissions reductions it could deliver</w:t>
      </w:r>
    </w:p>
    <w:p w14:paraId="0C0D166F" w14:textId="77777777" w:rsidR="008D376E" w:rsidRDefault="008D376E" w:rsidP="00F52090">
      <w:pPr>
        <w:pStyle w:val="ListParagraph"/>
        <w:numPr>
          <w:ilvl w:val="0"/>
          <w:numId w:val="5"/>
        </w:numPr>
      </w:pPr>
      <w:r>
        <w:t>how it is applicable for Aotearoa</w:t>
      </w:r>
    </w:p>
    <w:p w14:paraId="6D225778" w14:textId="77777777" w:rsidR="008D376E" w:rsidRDefault="008D376E" w:rsidP="00F52090">
      <w:pPr>
        <w:pStyle w:val="ListParagraph"/>
        <w:numPr>
          <w:ilvl w:val="0"/>
          <w:numId w:val="5"/>
        </w:numPr>
      </w:pPr>
      <w:r>
        <w:t xml:space="preserve">the costs, key risks and uncertainties over time that could affect its uptake. </w:t>
      </w:r>
    </w:p>
    <w:p w14:paraId="4C67204C" w14:textId="20C533A5" w:rsidR="008D376E" w:rsidRDefault="008D376E" w:rsidP="008D376E">
      <w:r w:rsidRPr="00EB374A">
        <w:t xml:space="preserve">We explored different paths for meeting </w:t>
      </w:r>
      <w:r>
        <w:t xml:space="preserve">our proposed </w:t>
      </w:r>
      <w:r w:rsidRPr="00EB374A">
        <w:t xml:space="preserve">emissions budgets to ensure they are </w:t>
      </w:r>
      <w:r w:rsidRPr="006D6C5A">
        <w:t>achievable</w:t>
      </w:r>
      <w:r>
        <w:t xml:space="preserve"> and to ensure they would put Aotearoa on track to meet the 2030 and 2050 emissions reduction targets</w:t>
      </w:r>
      <w:r w:rsidRPr="006D6C5A">
        <w:t xml:space="preserve">. At the same time, we considered the constraints that </w:t>
      </w:r>
      <w:r>
        <w:t>c</w:t>
      </w:r>
      <w:r w:rsidRPr="006D6C5A">
        <w:t>ould prevent Aotearoa from a faster transition to ensure our proposed emissions budgets are as ambitious as possible.</w:t>
      </w:r>
    </w:p>
    <w:p w14:paraId="30FD68BA" w14:textId="60BA9850" w:rsidR="008D376E" w:rsidRDefault="008D376E" w:rsidP="008D376E">
      <w:r>
        <w:t>There is inherent uncertainty when assessing the potential for future emissions reductions. Some technologies could end up reducing in cost faster than we expect, while other technologies could be slower. To meet the emissions budgets we have proposed, Aotearoa needs to make decisions now that open up options in the future. This will provide some contingency in the case that options do not play out as expected.</w:t>
      </w:r>
      <w:r w:rsidDel="004A6A47">
        <w:t xml:space="preserve"> </w:t>
      </w:r>
    </w:p>
    <w:p w14:paraId="5887B466" w14:textId="77777777" w:rsidR="00336A20" w:rsidRDefault="0076433F" w:rsidP="00336A20">
      <w:pPr>
        <w:pStyle w:val="Heading2"/>
      </w:pPr>
      <w:bookmarkStart w:id="74" w:name="_Toc62650256"/>
      <w:r>
        <w:t xml:space="preserve">3.1 </w:t>
      </w:r>
      <w:r w:rsidR="00336A20">
        <w:t>Current policies do not put Aotearoa on the right track</w:t>
      </w:r>
      <w:bookmarkEnd w:id="74"/>
    </w:p>
    <w:p w14:paraId="64DB88FB" w14:textId="5DE941A1" w:rsidR="00336A20" w:rsidRDefault="00336A20" w:rsidP="00336A20">
      <w:r>
        <w:t xml:space="preserve">As a starting point for our analysis, we have looked at </w:t>
      </w:r>
      <w:r w:rsidRPr="00F723C5">
        <w:t>how emissions and activities could </w:t>
      </w:r>
      <w:r>
        <w:t>evolve</w:t>
      </w:r>
      <w:r w:rsidRPr="00F723C5">
        <w:t xml:space="preserve"> assuming no changes to current </w:t>
      </w:r>
      <w:r w:rsidR="00D9404E">
        <w:t>g</w:t>
      </w:r>
      <w:r w:rsidRPr="00F723C5">
        <w:t xml:space="preserve">overnment </w:t>
      </w:r>
      <w:r>
        <w:t xml:space="preserve">policy </w:t>
      </w:r>
      <w:r w:rsidRPr="00F723C5">
        <w:t xml:space="preserve">between now and </w:t>
      </w:r>
      <w:r>
        <w:t>2050.</w:t>
      </w:r>
    </w:p>
    <w:p w14:paraId="35E6D9F2" w14:textId="6AB9ABE0" w:rsidR="00336A20" w:rsidRPr="00A96172" w:rsidRDefault="00336A20" w:rsidP="00336A20">
      <w:r>
        <w:t xml:space="preserve">We formalise this through our </w:t>
      </w:r>
      <w:r w:rsidR="00054289">
        <w:t>c</w:t>
      </w:r>
      <w:r>
        <w:t xml:space="preserve">urrent </w:t>
      </w:r>
      <w:r w:rsidR="00054289">
        <w:t>p</w:t>
      </w:r>
      <w:r>
        <w:t xml:space="preserve">olicy </w:t>
      </w:r>
      <w:r w:rsidR="00054289">
        <w:t>r</w:t>
      </w:r>
      <w:r>
        <w:t xml:space="preserve">eference case, which </w:t>
      </w:r>
      <w:r w:rsidR="00B25E5D">
        <w:t>is a scenario</w:t>
      </w:r>
      <w:r w:rsidR="00871221">
        <w:t xml:space="preserve"> that</w:t>
      </w:r>
      <w:r w:rsidR="00B25E5D">
        <w:t xml:space="preserve"> </w:t>
      </w:r>
      <w:r>
        <w:t xml:space="preserve">aligns with </w:t>
      </w:r>
      <w:r w:rsidR="006C00ED">
        <w:t>g</w:t>
      </w:r>
      <w:r>
        <w:t>overnment agencies’ latest emissions projections as far as possible. Under current policies, long-lived gas emissions (</w:t>
      </w:r>
      <w:r w:rsidR="00382D49">
        <w:t>Figure 3.1</w:t>
      </w:r>
      <w:r>
        <w:t>) and biogenic methane emissions (</w:t>
      </w:r>
      <w:r w:rsidR="00382D49">
        <w:t>Figure 3.2</w:t>
      </w:r>
      <w:r>
        <w:t>) are both projected to fall. However, the level of emissions reductions would not be sufficient to meet the 2030 and 2050 emissions targets.</w:t>
      </w:r>
    </w:p>
    <w:p w14:paraId="7443FBD1" w14:textId="2DF7E316" w:rsidR="00336A20" w:rsidRDefault="00336A20" w:rsidP="00336A20">
      <w:r>
        <w:t>Net long-lived gas emissions are projected to fall from 36.3 Mt CO</w:t>
      </w:r>
      <w:r w:rsidRPr="00F979A2">
        <w:rPr>
          <w:vertAlign w:val="subscript"/>
        </w:rPr>
        <w:t>2</w:t>
      </w:r>
      <w:r>
        <w:t>e in 2018 to 6.3 Mt CO</w:t>
      </w:r>
      <w:r w:rsidRPr="00743E85">
        <w:rPr>
          <w:vertAlign w:val="subscript"/>
        </w:rPr>
        <w:t>2</w:t>
      </w:r>
      <w:r>
        <w:t>e by 2050</w:t>
      </w:r>
      <w:r w:rsidR="0084771E">
        <w:t xml:space="preserve"> under current policy settings</w:t>
      </w:r>
      <w:r>
        <w:t xml:space="preserve">. These net emissions reductions come mostly from increased carbon removals, with 1.1 million hectares of new forest, mostly exotic, planted by 2050. This level of forest </w:t>
      </w:r>
      <w:r>
        <w:lastRenderedPageBreak/>
        <w:t xml:space="preserve">planting is projected </w:t>
      </w:r>
      <w:r w:rsidR="00286C8F">
        <w:t xml:space="preserve">to occur </w:t>
      </w:r>
      <w:r>
        <w:t xml:space="preserve">in response to the price of units in the Emissions Trading Scheme </w:t>
      </w:r>
      <w:r w:rsidR="00B92B40">
        <w:t>(NZ ETS)</w:t>
      </w:r>
      <w:r>
        <w:t xml:space="preserve"> staying constant at $35. </w:t>
      </w:r>
    </w:p>
    <w:p w14:paraId="6F207822" w14:textId="77777777" w:rsidR="00336A20" w:rsidRDefault="00336A20" w:rsidP="00336A20">
      <w:r>
        <w:t>Gross long-lived gas emissions also reduce, primarily through widespread adoption of electric vehicles expected after 2035 and the assumed closure of aluminium and methanol production during the 2020s. Other sources of long-lived gas emissions are largely unchanged.</w:t>
      </w:r>
    </w:p>
    <w:p w14:paraId="4BADB041" w14:textId="2E64B40C" w:rsidR="00336A20" w:rsidRDefault="00336A20" w:rsidP="00336A20">
      <w:r>
        <w:t xml:space="preserve">Biogenic methane emissions are projected to fall 7% below 2017 levels by 2030 compared with the target of 10%. By 2050, they are projected to fall 12% below 2017 levels compared with the target range of 24–47%. Emissions reductions occur through a combination of land use change from agriculture to forestry and other uses, reductions in dairy cow numbers </w:t>
      </w:r>
      <w:r w:rsidR="005001F8">
        <w:t xml:space="preserve">partly </w:t>
      </w:r>
      <w:r>
        <w:t>due to freshwater policy and ongoing improvements in the emissions efficiency of agricultur</w:t>
      </w:r>
      <w:r w:rsidR="003F10BE">
        <w:t>al</w:t>
      </w:r>
      <w:r>
        <w:t xml:space="preserve"> production.</w:t>
      </w:r>
      <w:r w:rsidRPr="00EF0207">
        <w:t xml:space="preserve"> </w:t>
      </w:r>
    </w:p>
    <w:p w14:paraId="614F89D9" w14:textId="1ED5E071" w:rsidR="00336A20" w:rsidRDefault="00336A20" w:rsidP="00336A20">
      <w:r>
        <w:t xml:space="preserve">We have tested a variation to the </w:t>
      </w:r>
      <w:r w:rsidR="00885D79">
        <w:t>c</w:t>
      </w:r>
      <w:r>
        <w:t xml:space="preserve">urrent </w:t>
      </w:r>
      <w:r w:rsidR="00885D79">
        <w:t>p</w:t>
      </w:r>
      <w:r>
        <w:t xml:space="preserve">olicy </w:t>
      </w:r>
      <w:r w:rsidR="00885D79">
        <w:t>r</w:t>
      </w:r>
      <w:r>
        <w:t xml:space="preserve">eference case assuming a slightly higher </w:t>
      </w:r>
      <w:r w:rsidR="00A80410">
        <w:t xml:space="preserve">NZ ETS </w:t>
      </w:r>
      <w:r>
        <w:t xml:space="preserve">unit price of $50. In this </w:t>
      </w:r>
      <w:r w:rsidR="006E4DB5">
        <w:t>variation,</w:t>
      </w:r>
      <w:r>
        <w:t xml:space="preserve"> new forest planting increases to around 1.3 million hectares by 2050, allowing net zero emissions to be reached with minimal further reductions in gross emissions. </w:t>
      </w:r>
      <w:r w:rsidR="004D5E3F">
        <w:t>The results suggest that</w:t>
      </w:r>
      <w:r w:rsidR="00240E02">
        <w:t xml:space="preserve"> </w:t>
      </w:r>
      <w:r w:rsidR="004D5E3F">
        <w:t xml:space="preserve">Aotearoa could meet the net zero target for long-lived gases with relatively little additional </w:t>
      </w:r>
      <w:r w:rsidR="005D10DF">
        <w:t>change</w:t>
      </w:r>
      <w:r w:rsidR="004D5E3F">
        <w:t>.</w:t>
      </w:r>
    </w:p>
    <w:p w14:paraId="43683AAD" w14:textId="19826C98" w:rsidR="00336A20" w:rsidRDefault="00336A20" w:rsidP="00336A20">
      <w:r>
        <w:t xml:space="preserve">This </w:t>
      </w:r>
      <w:r w:rsidR="00DF32BA" w:rsidRPr="00DF32BA">
        <w:t>variation to the current policy reference case</w:t>
      </w:r>
      <w:r>
        <w:t xml:space="preserve"> demonstrates a likely path that focuses purely on net emissions reductions. This approach would fail to drive meaningful decarbonisation and instead use up land resources for the purpose of offsetting avoidable emissions. This is not sustainable and would leave the next generation with the task of reducing gross emissions at the same time as they will need to be adapting to escalating climate change impacts.</w:t>
      </w:r>
    </w:p>
    <w:p w14:paraId="109FC775" w14:textId="12EE466B" w:rsidR="00336A20" w:rsidRDefault="00336A20" w:rsidP="00336A20">
      <w:r>
        <w:t xml:space="preserve">As described </w:t>
      </w:r>
      <w:r w:rsidR="000C2AF9">
        <w:t>below</w:t>
      </w:r>
      <w:r>
        <w:t>, our scenarios for meeting the 2050 target represent a profound shift away from this approach.</w:t>
      </w:r>
    </w:p>
    <w:p w14:paraId="3C639844" w14:textId="77777777" w:rsidR="00A374E0" w:rsidRDefault="00A374E0" w:rsidP="00AE3F89">
      <w:pPr>
        <w:keepNext/>
        <w:jc w:val="center"/>
      </w:pPr>
      <w:r>
        <w:rPr>
          <w:noProof/>
        </w:rPr>
        <w:lastRenderedPageBreak/>
        <w:drawing>
          <wp:inline distT="0" distB="0" distL="0" distR="0" wp14:anchorId="24D50D3B" wp14:editId="42492B48">
            <wp:extent cx="5749290" cy="3422650"/>
            <wp:effectExtent l="0" t="0" r="381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rotWithShape="1">
                    <a:blip r:embed="rId28">
                      <a:extLst>
                        <a:ext uri="{28A0092B-C50C-407E-A947-70E740481C1C}">
                          <a14:useLocalDpi xmlns:a14="http://schemas.microsoft.com/office/drawing/2010/main" val="0"/>
                        </a:ext>
                      </a:extLst>
                    </a:blip>
                    <a:srcRect t="4518"/>
                    <a:stretch/>
                  </pic:blipFill>
                  <pic:spPr bwMode="auto">
                    <a:xfrm>
                      <a:off x="0" y="0"/>
                      <a:ext cx="5749290" cy="3422650"/>
                    </a:xfrm>
                    <a:prstGeom prst="rect">
                      <a:avLst/>
                    </a:prstGeom>
                    <a:ln>
                      <a:noFill/>
                    </a:ln>
                    <a:extLst>
                      <a:ext uri="{53640926-AAD7-44D8-BBD7-CCE9431645EC}">
                        <a14:shadowObscured xmlns:a14="http://schemas.microsoft.com/office/drawing/2010/main"/>
                      </a:ext>
                    </a:extLst>
                  </pic:spPr>
                </pic:pic>
              </a:graphicData>
            </a:graphic>
          </wp:inline>
        </w:drawing>
      </w:r>
    </w:p>
    <w:p w14:paraId="6E5C7C35" w14:textId="22B9B6FE" w:rsidR="00336A20" w:rsidRDefault="00A374E0" w:rsidP="00AE3F89">
      <w:pPr>
        <w:pStyle w:val="Caption"/>
      </w:pPr>
      <w:bookmarkStart w:id="75" w:name="_Ref58622986"/>
      <w:r>
        <w:t xml:space="preserve">Figure </w:t>
      </w:r>
      <w:r w:rsidR="00FA4DEE">
        <w:t>3</w:t>
      </w:r>
      <w:bookmarkEnd w:id="75"/>
      <w:r w:rsidR="00DA6458">
        <w:rPr>
          <w:noProof/>
        </w:rPr>
        <w:t>.1</w:t>
      </w:r>
      <w:r>
        <w:t>: Long-lived gas emissions to 2050 projected under current policies</w:t>
      </w:r>
      <w:r w:rsidR="002D5DEA">
        <w:t>.</w:t>
      </w:r>
    </w:p>
    <w:p w14:paraId="031327F9" w14:textId="77777777" w:rsidR="002D5DEA" w:rsidRPr="00295A62" w:rsidRDefault="002D5DEA" w:rsidP="002D5DEA">
      <w:pPr>
        <w:spacing w:before="0"/>
        <w:jc w:val="right"/>
      </w:pPr>
      <w:r w:rsidRPr="00295A62">
        <w:t>Source: Commission analysis</w:t>
      </w:r>
      <w:r>
        <w:t>.</w:t>
      </w:r>
    </w:p>
    <w:p w14:paraId="30F022AD" w14:textId="77777777" w:rsidR="001E7291" w:rsidRDefault="00F165AD" w:rsidP="006852D7">
      <w:pPr>
        <w:keepNext/>
        <w:jc w:val="center"/>
      </w:pPr>
      <w:r>
        <w:rPr>
          <w:noProof/>
        </w:rPr>
        <w:drawing>
          <wp:inline distT="0" distB="0" distL="0" distR="0" wp14:anchorId="4B5235D4" wp14:editId="18193A3D">
            <wp:extent cx="5767070" cy="343789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rotWithShape="1">
                    <a:blip r:embed="rId29">
                      <a:extLst>
                        <a:ext uri="{28A0092B-C50C-407E-A947-70E740481C1C}">
                          <a14:useLocalDpi xmlns:a14="http://schemas.microsoft.com/office/drawing/2010/main" val="0"/>
                        </a:ext>
                      </a:extLst>
                    </a:blip>
                    <a:srcRect t="4751"/>
                    <a:stretch/>
                  </pic:blipFill>
                  <pic:spPr bwMode="auto">
                    <a:xfrm>
                      <a:off x="0" y="0"/>
                      <a:ext cx="5767070" cy="3437890"/>
                    </a:xfrm>
                    <a:prstGeom prst="rect">
                      <a:avLst/>
                    </a:prstGeom>
                    <a:ln>
                      <a:noFill/>
                    </a:ln>
                    <a:extLst>
                      <a:ext uri="{53640926-AAD7-44D8-BBD7-CCE9431645EC}">
                        <a14:shadowObscured xmlns:a14="http://schemas.microsoft.com/office/drawing/2010/main"/>
                      </a:ext>
                    </a:extLst>
                  </pic:spPr>
                </pic:pic>
              </a:graphicData>
            </a:graphic>
          </wp:inline>
        </w:drawing>
      </w:r>
    </w:p>
    <w:p w14:paraId="11739196" w14:textId="6DD95F8A" w:rsidR="00336A20" w:rsidRDefault="001E7291" w:rsidP="006852D7">
      <w:pPr>
        <w:pStyle w:val="Caption"/>
      </w:pPr>
      <w:bookmarkStart w:id="76" w:name="_Ref58622992"/>
      <w:r>
        <w:t xml:space="preserve">Figure </w:t>
      </w:r>
      <w:bookmarkEnd w:id="76"/>
      <w:r w:rsidR="00DA6458">
        <w:t>3.2</w:t>
      </w:r>
      <w:r>
        <w:t xml:space="preserve">: </w:t>
      </w:r>
      <w:r w:rsidRPr="00171B5C">
        <w:t>Biogenic methane emissions to 20</w:t>
      </w:r>
      <w:r>
        <w:t>50 projected under current policies</w:t>
      </w:r>
      <w:r w:rsidR="002D5DEA">
        <w:t>.</w:t>
      </w:r>
    </w:p>
    <w:p w14:paraId="34245EFC" w14:textId="7D8BDA9E" w:rsidR="000C2AF9" w:rsidRPr="000C2AF9" w:rsidRDefault="002D5DEA" w:rsidP="006852D7">
      <w:pPr>
        <w:spacing w:before="0"/>
        <w:jc w:val="right"/>
      </w:pPr>
      <w:r w:rsidRPr="00295A62">
        <w:t>Source: Commission analysis</w:t>
      </w:r>
      <w:r>
        <w:t>.</w:t>
      </w:r>
    </w:p>
    <w:p w14:paraId="57698708" w14:textId="18940461" w:rsidR="00146DDB" w:rsidRDefault="00FE5223" w:rsidP="00146DDB">
      <w:pPr>
        <w:pStyle w:val="Heading2"/>
      </w:pPr>
      <w:bookmarkStart w:id="77" w:name="_Toc62650257"/>
      <w:bookmarkStart w:id="78" w:name="_Toc56111268"/>
      <w:bookmarkStart w:id="79" w:name="_Toc56111420"/>
      <w:bookmarkStart w:id="80" w:name="_Toc56111515"/>
      <w:r>
        <w:lastRenderedPageBreak/>
        <w:t xml:space="preserve">3.2 </w:t>
      </w:r>
      <w:r w:rsidR="00146DDB">
        <w:t>Our approach suggests a different, but important role for forestry</w:t>
      </w:r>
      <w:bookmarkEnd w:id="77"/>
      <w:r w:rsidR="00146DDB">
        <w:t xml:space="preserve"> </w:t>
      </w:r>
    </w:p>
    <w:p w14:paraId="7393DC60" w14:textId="51A55C56" w:rsidR="008D376E" w:rsidRDefault="008D376E" w:rsidP="008D376E">
      <w:r>
        <w:t xml:space="preserve">Core to our advice is the need to reduce gross emissions to prevent the atmosphere warming </w:t>
      </w:r>
      <w:r w:rsidR="00122901">
        <w:t xml:space="preserve">further </w:t>
      </w:r>
      <w:r>
        <w:t xml:space="preserve">and meet the 2050 targets. </w:t>
      </w:r>
      <w:r w:rsidR="009611E7">
        <w:t>T</w:t>
      </w:r>
      <w:r>
        <w:t>here are</w:t>
      </w:r>
      <w:r w:rsidDel="00337588">
        <w:t xml:space="preserve"> </w:t>
      </w:r>
      <w:r>
        <w:t xml:space="preserve">risks associated with </w:t>
      </w:r>
      <w:r w:rsidR="00337588">
        <w:t xml:space="preserve">the permanence of </w:t>
      </w:r>
      <w:r w:rsidR="00377A9F">
        <w:t xml:space="preserve">carbon </w:t>
      </w:r>
      <w:r w:rsidR="00D641D0">
        <w:t xml:space="preserve">emissions removals </w:t>
      </w:r>
      <w:r w:rsidR="00ED5D62">
        <w:t xml:space="preserve">using </w:t>
      </w:r>
      <w:r>
        <w:t>forestr</w:t>
      </w:r>
      <w:r w:rsidR="00ED5D62">
        <w:t>y</w:t>
      </w:r>
      <w:r>
        <w:t xml:space="preserve">, especially as climate change exacerbates </w:t>
      </w:r>
      <w:r w:rsidRPr="00AB78D2">
        <w:t>forest fires, heavy winds, storms, droughts</w:t>
      </w:r>
      <w:r w:rsidR="00232ED1">
        <w:t>, pests</w:t>
      </w:r>
      <w:r w:rsidRPr="00AB78D2">
        <w:t xml:space="preserve"> and pathogens</w:t>
      </w:r>
      <w:r>
        <w:t xml:space="preserve">. </w:t>
      </w:r>
      <w:r w:rsidR="009611E7">
        <w:t>W</w:t>
      </w:r>
      <w:r>
        <w:t>e take the approach of reducing gross emissions where it is feasible</w:t>
      </w:r>
      <w:r w:rsidR="3306FC0B">
        <w:t xml:space="preserve"> </w:t>
      </w:r>
      <w:r>
        <w:t>and leave carbon removals to offset the hard-to-abate sectors.</w:t>
      </w:r>
    </w:p>
    <w:p w14:paraId="70C0464D" w14:textId="71722501" w:rsidR="008D376E" w:rsidRDefault="008D376E" w:rsidP="008D376E">
      <w:r>
        <w:t xml:space="preserve">Our approach suggests a different, but important role for forestry in meeting the 2050 target than has been outlined in previous analyses by the Productivity Commission and Ministry for the Environment. </w:t>
      </w:r>
    </w:p>
    <w:p w14:paraId="3B1194CD" w14:textId="1F95D344" w:rsidR="008D376E" w:rsidRDefault="008D376E" w:rsidP="008D376E">
      <w:r w:rsidRPr="00353E9F">
        <w:rPr>
          <w:b/>
        </w:rPr>
        <w:t xml:space="preserve">New exotic plantation forests </w:t>
      </w:r>
      <w:r>
        <w:t xml:space="preserve">absorb carbon quickly, but much of this is released when these are harvested. To keep adding to the amount of carbon stored in forestry, new land will need to be converted to forestry. We consider that the role of exotic plantation forestry should be to support net emissions reductions prior to 2050. However, these should not be at the expense of progress to reduce gross emissions of long-lived gases in those sectors where there are already clear decarbonisation pathways. </w:t>
      </w:r>
      <w:r w:rsidR="00695316">
        <w:t>Exotic forestry will also play an important role in providing biomass feedstock for the bioeconomy</w:t>
      </w:r>
      <w:r w:rsidR="00574EBA">
        <w:t>, allowing biomass to be used as a replacement for fossil fuels</w:t>
      </w:r>
      <w:r w:rsidR="00695316">
        <w:t>.</w:t>
      </w:r>
    </w:p>
    <w:p w14:paraId="5FEEE8C6" w14:textId="08FBE525" w:rsidR="008D376E" w:rsidRDefault="008D376E" w:rsidP="008D376E">
      <w:r w:rsidRPr="00353E9F">
        <w:rPr>
          <w:b/>
        </w:rPr>
        <w:t xml:space="preserve">New </w:t>
      </w:r>
      <w:r w:rsidR="005525E9">
        <w:rPr>
          <w:b/>
        </w:rPr>
        <w:t>permanent</w:t>
      </w:r>
      <w:r w:rsidRPr="00353E9F">
        <w:rPr>
          <w:b/>
        </w:rPr>
        <w:t xml:space="preserve"> native forests </w:t>
      </w:r>
      <w:r>
        <w:t xml:space="preserve">absorb carbon more slowly but will continue to do so for centuries until they reach maturity. Because of this, we consider that carbon removals from new </w:t>
      </w:r>
      <w:r w:rsidR="00232ED1">
        <w:t xml:space="preserve">permanent </w:t>
      </w:r>
      <w:r>
        <w:t xml:space="preserve">native forests have a role to offset the remaining long-lived gas emissions in sectors </w:t>
      </w:r>
      <w:r w:rsidR="00E7320C">
        <w:t>with limited op</w:t>
      </w:r>
      <w:r w:rsidR="00D53759">
        <w:t>portunities to reduce emissions</w:t>
      </w:r>
      <w:r w:rsidR="00E7320C">
        <w:t xml:space="preserve"> </w:t>
      </w:r>
      <w:r>
        <w:t xml:space="preserve">from 2050. For instance, this could include </w:t>
      </w:r>
      <w:r w:rsidR="00157CEB">
        <w:t xml:space="preserve">offsetting </w:t>
      </w:r>
      <w:r>
        <w:t>nitrous oxide emissions from agriculture and residual industrial process emissions.</w:t>
      </w:r>
    </w:p>
    <w:p w14:paraId="2E4DE6A5" w14:textId="74857F44" w:rsidR="008D376E" w:rsidRDefault="007F1FAF" w:rsidP="007F1FAF">
      <w:pPr>
        <w:pStyle w:val="Heading2"/>
      </w:pPr>
      <w:bookmarkStart w:id="81" w:name="_Toc58840899"/>
      <w:bookmarkStart w:id="82" w:name="_Toc58857573"/>
      <w:bookmarkStart w:id="83" w:name="_Toc61448631"/>
      <w:bookmarkStart w:id="84" w:name="_Toc62650258"/>
      <w:r>
        <w:t xml:space="preserve">3.3 </w:t>
      </w:r>
      <w:r w:rsidR="001F13E2">
        <w:t>We need to avoid pushing the burden to future generations</w:t>
      </w:r>
      <w:bookmarkEnd w:id="81"/>
      <w:bookmarkEnd w:id="82"/>
      <w:bookmarkEnd w:id="83"/>
      <w:bookmarkEnd w:id="84"/>
      <w:r w:rsidR="001F13E2">
        <w:t xml:space="preserve"> </w:t>
      </w:r>
    </w:p>
    <w:p w14:paraId="172AF9BD" w14:textId="3D91D4EA" w:rsidR="008D376E" w:rsidRDefault="008D376E" w:rsidP="008D376E">
      <w:r>
        <w:t>In analysing how we can meet the 2050 targets, we have designed pathways that avoid pushing the burden to future generations. We call this ‘locking in net zero’. This aligns with the requirement in the Climate Change Response Act to consider the impacts on future generations, and the need for Aotearoa to contribute to the global goal to limit warming to within 1.5</w:t>
      </w:r>
      <w:r>
        <w:rPr>
          <w:rFonts w:cstheme="minorHAnsi"/>
        </w:rPr>
        <w:t>°</w:t>
      </w:r>
      <w:r>
        <w:t>C of pre-industrial levels and reduce the cumulative emissions of long-lived gases as far as possible.</w:t>
      </w:r>
    </w:p>
    <w:p w14:paraId="4200BEC3" w14:textId="7359A0DF" w:rsidR="008D376E" w:rsidRDefault="008D376E" w:rsidP="008D376E">
      <w:r>
        <w:t>Focusing on reducing gross long-lived gas emissions and seeking to ‘lock in net zero’ by 2050 requires two key transformations</w:t>
      </w:r>
      <w:r w:rsidR="002E7F26">
        <w:t>.</w:t>
      </w:r>
    </w:p>
    <w:p w14:paraId="31A311A3" w14:textId="65B6060E" w:rsidR="008D376E" w:rsidRDefault="008D376E" w:rsidP="00655722">
      <w:pPr>
        <w:pStyle w:val="ListParagraph"/>
        <w:numPr>
          <w:ilvl w:val="0"/>
          <w:numId w:val="17"/>
        </w:numPr>
        <w:ind w:left="714" w:hanging="357"/>
        <w:contextualSpacing w:val="0"/>
      </w:pPr>
      <w:r w:rsidRPr="0073322E">
        <w:rPr>
          <w:b/>
          <w:bCs/>
        </w:rPr>
        <w:t>Decarbonise</w:t>
      </w:r>
      <w:r w:rsidRPr="0073322E">
        <w:rPr>
          <w:b/>
        </w:rPr>
        <w:t xml:space="preserve"> the sources of long-lived gas emissions wherever this is feasible. </w:t>
      </w:r>
      <w:r>
        <w:t xml:space="preserve">This means setting a path that would achieve near-complete decarbonisation </w:t>
      </w:r>
      <w:r w:rsidR="00A81E44">
        <w:t>in</w:t>
      </w:r>
      <w:r>
        <w:t xml:space="preserve"> </w:t>
      </w:r>
      <w:r w:rsidR="006C00ED">
        <w:t>a number of areas. This includes</w:t>
      </w:r>
      <w:r>
        <w:t xml:space="preserve"> low and medium temperature heat used in industry, electricity generation, energy use in buildings and land transport. For each of these sectors there are already available technologies that can be widely used to reduce or completely avoid gross emissions. </w:t>
      </w:r>
    </w:p>
    <w:p w14:paraId="57E8690A" w14:textId="1157E77E" w:rsidR="008D376E" w:rsidRDefault="008D376E" w:rsidP="00655722">
      <w:pPr>
        <w:pStyle w:val="ListParagraph"/>
        <w:numPr>
          <w:ilvl w:val="0"/>
          <w:numId w:val="17"/>
        </w:numPr>
        <w:ind w:left="714" w:hanging="357"/>
        <w:contextualSpacing w:val="0"/>
      </w:pPr>
      <w:r w:rsidRPr="0073322E">
        <w:rPr>
          <w:b/>
          <w:bCs/>
        </w:rPr>
        <w:t>Build</w:t>
      </w:r>
      <w:r w:rsidRPr="0073322E">
        <w:rPr>
          <w:b/>
        </w:rPr>
        <w:t xml:space="preserve"> a long-term carbon sink large enough to offset residual long-lived gas emissions without ongoing land use conversion. </w:t>
      </w:r>
      <w:r>
        <w:t xml:space="preserve">This means starting now to grow new native forests on </w:t>
      </w:r>
      <w:r w:rsidR="000D7E10">
        <w:t xml:space="preserve">relatively </w:t>
      </w:r>
      <w:r w:rsidR="00A6436F">
        <w:t xml:space="preserve">less </w:t>
      </w:r>
      <w:r>
        <w:t xml:space="preserve">productive land so that carbon removals can be used to offset the remaining long-lived gas emissions from 2050 </w:t>
      </w:r>
      <w:r w:rsidR="007E4BF5">
        <w:t>onwards</w:t>
      </w:r>
      <w:r>
        <w:t xml:space="preserve">. Establishing new native forests on </w:t>
      </w:r>
      <w:r w:rsidR="008E69E1">
        <w:t>less productive</w:t>
      </w:r>
      <w:r>
        <w:t xml:space="preserve"> land offers a way for Aotearoa to build up an enduring carbon sink while delivering wider benefits </w:t>
      </w:r>
      <w:r w:rsidR="003D4091">
        <w:t>for</w:t>
      </w:r>
      <w:r>
        <w:t xml:space="preserve"> erosion, soil health, water quality and biodiversity.</w:t>
      </w:r>
    </w:p>
    <w:p w14:paraId="67329A1A" w14:textId="7A3B6C1A" w:rsidR="008D376E" w:rsidRDefault="008D376E" w:rsidP="008D376E">
      <w:r>
        <w:lastRenderedPageBreak/>
        <w:t xml:space="preserve">Achieving both </w:t>
      </w:r>
      <w:r w:rsidR="003D4091">
        <w:t>of these</w:t>
      </w:r>
      <w:r>
        <w:t xml:space="preserve"> key transformations will require strong, accelerated and sustained action to 2050. Strong action on decarbonisation allows time to build market capacity and to transition to low emissions technologies</w:t>
      </w:r>
      <w:r w:rsidR="008872BD">
        <w:t>,</w:t>
      </w:r>
      <w:r>
        <w:t xml:space="preserve"> as long-lived capital assets such as boilers and vehicles are naturally replaced. This helps to minimise costs and the impacts on businesses and New Zealanders. Strong action to scale up native forest planting</w:t>
      </w:r>
      <w:r w:rsidR="004E1102">
        <w:t xml:space="preserve"> or reversion</w:t>
      </w:r>
      <w:r>
        <w:t xml:space="preserve"> is needed in order to plant a sufficient area by mid-century.</w:t>
      </w:r>
    </w:p>
    <w:tbl>
      <w:tblPr>
        <w:tblStyle w:val="GridTable4-Accent2"/>
        <w:tblW w:w="0" w:type="auto"/>
        <w:shd w:val="clear" w:color="auto" w:fill="C6B1D1"/>
        <w:tblCellMar>
          <w:top w:w="57" w:type="dxa"/>
          <w:bottom w:w="57" w:type="dxa"/>
        </w:tblCellMar>
        <w:tblLook w:val="04A0" w:firstRow="1" w:lastRow="0" w:firstColumn="1" w:lastColumn="0" w:noHBand="0" w:noVBand="1"/>
      </w:tblPr>
      <w:tblGrid>
        <w:gridCol w:w="9016"/>
      </w:tblGrid>
      <w:tr w:rsidR="000629F4" w:rsidRPr="00EA4071" w14:paraId="6A68F7E2" w14:textId="77777777" w:rsidTr="008E7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9E76B3"/>
          </w:tcPr>
          <w:p w14:paraId="1F7FB32E" w14:textId="77777777" w:rsidR="000629F4" w:rsidRPr="00BA7CD8" w:rsidRDefault="000629F4" w:rsidP="008E788F">
            <w:pPr>
              <w:pStyle w:val="Content"/>
              <w:spacing w:before="0" w:after="0"/>
              <w:jc w:val="center"/>
              <w:rPr>
                <w:bCs w:val="0"/>
                <w:color w:val="000000" w:themeColor="text1"/>
                <w:sz w:val="24"/>
                <w:szCs w:val="24"/>
                <w:lang w:val="en-US"/>
              </w:rPr>
            </w:pPr>
            <w:r>
              <w:rPr>
                <w:bCs w:val="0"/>
                <w:sz w:val="28"/>
                <w:szCs w:val="28"/>
              </w:rPr>
              <w:t>Consultation questions 10 &amp; 11</w:t>
            </w:r>
          </w:p>
          <w:p w14:paraId="0109A76F" w14:textId="77777777" w:rsidR="000629F4" w:rsidRPr="00EA4071" w:rsidRDefault="000629F4" w:rsidP="008E788F">
            <w:pPr>
              <w:pStyle w:val="Content"/>
              <w:spacing w:before="0" w:after="0"/>
              <w:jc w:val="center"/>
              <w:rPr>
                <w:b w:val="0"/>
                <w:sz w:val="28"/>
                <w:szCs w:val="28"/>
              </w:rPr>
            </w:pPr>
            <w:r>
              <w:rPr>
                <w:b w:val="0"/>
                <w:sz w:val="28"/>
                <w:szCs w:val="28"/>
                <w:lang w:val="en-US"/>
              </w:rPr>
              <w:t>Locking in net zero</w:t>
            </w:r>
          </w:p>
        </w:tc>
      </w:tr>
      <w:tr w:rsidR="000629F4" w:rsidRPr="00EA4071" w14:paraId="310FEBB0" w14:textId="77777777" w:rsidTr="008E7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C6B1D1"/>
          </w:tcPr>
          <w:p w14:paraId="4D9E00C6" w14:textId="15B28B47" w:rsidR="005C2497" w:rsidRPr="005C2497" w:rsidRDefault="005C2497" w:rsidP="005C2497">
            <w:r w:rsidRPr="00DB5EF5">
              <w:t xml:space="preserve">Do you </w:t>
            </w:r>
            <w:r>
              <w:t xml:space="preserve">support </w:t>
            </w:r>
            <w:r w:rsidRPr="00DB5EF5">
              <w:t>our approach to focus on decarbonising sources of long-lived gas emissions</w:t>
            </w:r>
            <w:r>
              <w:t xml:space="preserve"> where possible</w:t>
            </w:r>
            <w:r>
              <w:rPr>
                <w:bCs w:val="0"/>
              </w:rPr>
              <w:t>? Is there anything we should change</w:t>
            </w:r>
            <w:r w:rsidRPr="00E5673C">
              <w:rPr>
                <w:bCs w:val="0"/>
              </w:rPr>
              <w:t>?</w:t>
            </w:r>
          </w:p>
          <w:p w14:paraId="3F15594E" w14:textId="15B28B47" w:rsidR="000629F4" w:rsidRPr="00400204" w:rsidRDefault="005C2497" w:rsidP="005C2497">
            <w:r w:rsidRPr="00DB5EF5">
              <w:t xml:space="preserve">Do you </w:t>
            </w:r>
            <w:r>
              <w:t xml:space="preserve">support </w:t>
            </w:r>
            <w:r w:rsidRPr="00DB5EF5">
              <w:t xml:space="preserve">our approach to focus on growing new native forests </w:t>
            </w:r>
            <w:r>
              <w:t xml:space="preserve">to create a </w:t>
            </w:r>
            <w:r w:rsidRPr="00DB5EF5">
              <w:t>long-</w:t>
            </w:r>
            <w:r>
              <w:t>lived source of carbon removals</w:t>
            </w:r>
            <w:r>
              <w:rPr>
                <w:bCs w:val="0"/>
              </w:rPr>
              <w:t>? Is there anything we should change, and why</w:t>
            </w:r>
            <w:r w:rsidRPr="00E5673C">
              <w:rPr>
                <w:bCs w:val="0"/>
              </w:rPr>
              <w:t>?</w:t>
            </w:r>
          </w:p>
        </w:tc>
      </w:tr>
    </w:tbl>
    <w:p w14:paraId="3824CEEA" w14:textId="6F100414" w:rsidR="008D376E" w:rsidRDefault="007F1FAF" w:rsidP="007F1FAF">
      <w:pPr>
        <w:pStyle w:val="Heading2"/>
      </w:pPr>
      <w:bookmarkStart w:id="85" w:name="_Toc58840900"/>
      <w:bookmarkStart w:id="86" w:name="_Toc58857574"/>
      <w:bookmarkStart w:id="87" w:name="_Toc61448632"/>
      <w:bookmarkStart w:id="88" w:name="_Toc62650259"/>
      <w:r>
        <w:t xml:space="preserve">3.4 </w:t>
      </w:r>
      <w:r w:rsidR="008D376E">
        <w:t>International aviation and shipping</w:t>
      </w:r>
      <w:bookmarkEnd w:id="85"/>
      <w:bookmarkEnd w:id="86"/>
      <w:bookmarkEnd w:id="87"/>
      <w:bookmarkEnd w:id="88"/>
    </w:p>
    <w:p w14:paraId="176158B8" w14:textId="6B00CEE5" w:rsidR="008D376E" w:rsidRDefault="00527D05" w:rsidP="008D376E">
      <w:r>
        <w:t>E</w:t>
      </w:r>
      <w:r w:rsidR="008D376E">
        <w:t xml:space="preserve">missions from international aviation and shipping are not currently part of the 2050 </w:t>
      </w:r>
      <w:r>
        <w:t xml:space="preserve">emissions reduction </w:t>
      </w:r>
      <w:r w:rsidR="008D376E">
        <w:t>target</w:t>
      </w:r>
      <w:r>
        <w:t xml:space="preserve"> in Aotearoa</w:t>
      </w:r>
      <w:r w:rsidR="008D376E">
        <w:t xml:space="preserve">. </w:t>
      </w:r>
      <w:r w:rsidR="00F90ECC">
        <w:t xml:space="preserve">We have heard from stakeholders that this is an important issue. </w:t>
      </w:r>
      <w:r w:rsidR="00376058">
        <w:t xml:space="preserve">As required by the legislation, we will review whether these should be included in the 2050 target in </w:t>
      </w:r>
      <w:r w:rsidR="008D376E">
        <w:t xml:space="preserve">2024. We have tested to make sure that our path could allow Aotearoa to meet the 2050 net zero long-lived gas emissions target including international aviation and shipping emissions </w:t>
      </w:r>
      <w:r w:rsidR="008D376E" w:rsidRPr="001E187C">
        <w:t>in case</w:t>
      </w:r>
      <w:r w:rsidR="008D376E">
        <w:t xml:space="preserve"> a decision </w:t>
      </w:r>
      <w:r w:rsidR="008D376E" w:rsidRPr="001E187C">
        <w:t>is</w:t>
      </w:r>
      <w:r w:rsidR="008D376E">
        <w:t xml:space="preserve"> made </w:t>
      </w:r>
      <w:r w:rsidR="008D376E" w:rsidRPr="001E187C">
        <w:t xml:space="preserve">in future </w:t>
      </w:r>
      <w:r w:rsidR="008D376E">
        <w:t>to include these in the 2050 target.</w:t>
      </w:r>
    </w:p>
    <w:p w14:paraId="7F55AC3B" w14:textId="334EBDBD" w:rsidR="008D376E" w:rsidRDefault="007F1FAF" w:rsidP="008D376E">
      <w:pPr>
        <w:pStyle w:val="Heading2"/>
      </w:pPr>
      <w:bookmarkStart w:id="89" w:name="_Toc62650260"/>
      <w:r>
        <w:t xml:space="preserve">3.5 </w:t>
      </w:r>
      <w:r w:rsidR="00B85A0A">
        <w:t>Scenarios</w:t>
      </w:r>
      <w:r w:rsidR="008C315E">
        <w:t xml:space="preserve"> to </w:t>
      </w:r>
      <w:r w:rsidR="00B85A0A">
        <w:t>reach</w:t>
      </w:r>
      <w:r w:rsidR="0007526D">
        <w:t xml:space="preserve"> 2050</w:t>
      </w:r>
      <w:r w:rsidR="00B85A0A">
        <w:t xml:space="preserve"> targets – understanding</w:t>
      </w:r>
      <w:r w:rsidR="0007526D">
        <w:t xml:space="preserve"> the changes required</w:t>
      </w:r>
      <w:bookmarkEnd w:id="89"/>
    </w:p>
    <w:p w14:paraId="643E0C4B" w14:textId="014CFF4D" w:rsidR="008D376E" w:rsidRDefault="008D376E" w:rsidP="008D376E">
      <w:r>
        <w:t xml:space="preserve">We have developed a range of scenarios to look at possible futures to 2050 and beyond to understand the changes that are possible and required. Our scenarios have been designed to look at how Aotearoa could meet the 2050 target if future conditions were more, or less, favourable. We present </w:t>
      </w:r>
      <w:r w:rsidR="00A7411B">
        <w:t>the main</w:t>
      </w:r>
      <w:r>
        <w:t xml:space="preserve"> scenarios here</w:t>
      </w:r>
      <w:r w:rsidR="78D2947B">
        <w:t>:</w:t>
      </w:r>
    </w:p>
    <w:p w14:paraId="4086FD1B" w14:textId="1480E338" w:rsidR="008D376E" w:rsidRDefault="008D376E" w:rsidP="00655722">
      <w:pPr>
        <w:pStyle w:val="ListParagraph"/>
        <w:numPr>
          <w:ilvl w:val="0"/>
          <w:numId w:val="42"/>
        </w:numPr>
        <w:rPr>
          <w:rFonts w:eastAsiaTheme="minorEastAsia"/>
        </w:rPr>
      </w:pPr>
      <w:r>
        <w:t>Headwinds is our least optimistic scenario</w:t>
      </w:r>
      <w:r w:rsidR="4B8E357A">
        <w:t>. It</w:t>
      </w:r>
      <w:r>
        <w:t xml:space="preserve"> </w:t>
      </w:r>
      <w:r>
        <w:rPr>
          <w:rStyle w:val="normaltextrun"/>
          <w:rFonts w:ascii="Calibri" w:hAnsi="Calibri" w:cs="Calibri"/>
          <w:color w:val="000000"/>
          <w:shd w:val="clear" w:color="auto" w:fill="FFFFFF"/>
        </w:rPr>
        <w:t xml:space="preserve">examines a future where there are </w:t>
      </w:r>
      <w:r w:rsidR="00A11121">
        <w:rPr>
          <w:rStyle w:val="normaltextrun"/>
          <w:rFonts w:ascii="Calibri" w:hAnsi="Calibri" w:cs="Calibri"/>
          <w:color w:val="000000"/>
          <w:shd w:val="clear" w:color="auto" w:fill="FFFFFF"/>
        </w:rPr>
        <w:t>more</w:t>
      </w:r>
      <w:r>
        <w:rPr>
          <w:rStyle w:val="normaltextrun"/>
          <w:rFonts w:ascii="Calibri" w:hAnsi="Calibri" w:cs="Calibri"/>
          <w:color w:val="000000"/>
          <w:shd w:val="clear" w:color="auto" w:fill="FFFFFF"/>
        </w:rPr>
        <w:t xml:space="preserve"> barriers to adopting </w:t>
      </w:r>
      <w:r w:rsidR="21A611D0">
        <w:rPr>
          <w:rStyle w:val="normaltextrun"/>
          <w:rFonts w:ascii="Calibri" w:hAnsi="Calibri" w:cs="Calibri"/>
          <w:color w:val="000000"/>
          <w:shd w:val="clear" w:color="auto" w:fill="FFFFFF"/>
        </w:rPr>
        <w:t>both technology</w:t>
      </w:r>
      <w:r>
        <w:rPr>
          <w:rStyle w:val="normaltextrun"/>
          <w:rFonts w:ascii="Calibri" w:hAnsi="Calibri" w:cs="Calibri"/>
          <w:color w:val="000000"/>
          <w:shd w:val="clear" w:color="auto" w:fill="FFFFFF"/>
        </w:rPr>
        <w:t xml:space="preserve"> and behaviour </w:t>
      </w:r>
      <w:r w:rsidR="21A611D0">
        <w:rPr>
          <w:rStyle w:val="normaltextrun"/>
          <w:rFonts w:ascii="Calibri" w:hAnsi="Calibri" w:cs="Calibri"/>
          <w:color w:val="000000"/>
          <w:shd w:val="clear" w:color="auto" w:fill="FFFFFF"/>
        </w:rPr>
        <w:t>changes in</w:t>
      </w:r>
      <w:r>
        <w:rPr>
          <w:rStyle w:val="normaltextrun"/>
          <w:rFonts w:ascii="Calibri" w:hAnsi="Calibri" w:cs="Calibri"/>
          <w:color w:val="000000"/>
          <w:shd w:val="clear" w:color="auto" w:fill="FFFFFF"/>
        </w:rPr>
        <w:t xml:space="preserve"> the future. </w:t>
      </w:r>
    </w:p>
    <w:p w14:paraId="2921350E" w14:textId="34646766" w:rsidR="009A0891" w:rsidRPr="009A0891" w:rsidRDefault="008D376E" w:rsidP="00655722">
      <w:pPr>
        <w:pStyle w:val="ListParagraph"/>
        <w:numPr>
          <w:ilvl w:val="0"/>
          <w:numId w:val="42"/>
        </w:numPr>
      </w:pPr>
      <w:r>
        <w:t>Tailwinds is our most optimistic scenario</w:t>
      </w:r>
      <w:r w:rsidR="002D07C9">
        <w:t>.</w:t>
      </w:r>
      <w:r>
        <w:t xml:space="preserve"> </w:t>
      </w:r>
      <w:r w:rsidR="002D07C9">
        <w:t>I</w:t>
      </w:r>
      <w:r>
        <w:t xml:space="preserve">t examines a future where there are </w:t>
      </w:r>
      <w:r w:rsidR="00A11121">
        <w:t>fewer</w:t>
      </w:r>
      <w:r>
        <w:t xml:space="preserve"> barriers to technology </w:t>
      </w:r>
      <w:r w:rsidRPr="00A91C2F">
        <w:t>and behaviour changes.</w:t>
      </w:r>
    </w:p>
    <w:p w14:paraId="2347E6DF" w14:textId="22FB2B97" w:rsidR="008D376E" w:rsidRDefault="008D376E" w:rsidP="009A0891">
      <w:r w:rsidRPr="00B71560">
        <w:t xml:space="preserve">More information on these scenarios can be found in </w:t>
      </w:r>
      <w:r w:rsidR="00B71560" w:rsidRPr="00B71560">
        <w:t xml:space="preserve">chapter 8 of the </w:t>
      </w:r>
      <w:r w:rsidRPr="00B71560">
        <w:t>Evidence Report.</w:t>
      </w:r>
    </w:p>
    <w:p w14:paraId="1870C870" w14:textId="59A2239D" w:rsidR="008D376E" w:rsidRPr="001D262F" w:rsidRDefault="009D71DD" w:rsidP="008D376E">
      <w:pPr>
        <w:pStyle w:val="Heading3"/>
      </w:pPr>
      <w:bookmarkStart w:id="90" w:name="_Toc58840902"/>
      <w:bookmarkStart w:id="91" w:name="_Toc58857576"/>
      <w:bookmarkStart w:id="92" w:name="_Toc61448634"/>
      <w:bookmarkStart w:id="93" w:name="_Toc62649320"/>
      <w:bookmarkStart w:id="94" w:name="_Toc62650261"/>
      <w:r>
        <w:t xml:space="preserve">3.5.1 </w:t>
      </w:r>
      <w:r w:rsidR="001E2B48">
        <w:t>Key insights from our scenarios</w:t>
      </w:r>
      <w:r w:rsidR="007A1D8A">
        <w:t xml:space="preserve"> for long-lived gases</w:t>
      </w:r>
      <w:bookmarkEnd w:id="90"/>
      <w:bookmarkEnd w:id="91"/>
      <w:bookmarkEnd w:id="92"/>
      <w:bookmarkEnd w:id="93"/>
      <w:bookmarkEnd w:id="94"/>
    </w:p>
    <w:p w14:paraId="5A817A35" w14:textId="190E04B4" w:rsidR="008D376E" w:rsidRDefault="008D376E" w:rsidP="005F5EB5">
      <w:r>
        <w:t xml:space="preserve">Aotearoa </w:t>
      </w:r>
      <w:r w:rsidR="00257D67">
        <w:t>could</w:t>
      </w:r>
      <w:r>
        <w:t xml:space="preserve"> achieve net zero long-lived gases sometime in the 2040s</w:t>
      </w:r>
      <w:r w:rsidR="00E168D8">
        <w:t xml:space="preserve"> through</w:t>
      </w:r>
      <w:r w:rsidR="6C45BE95">
        <w:t xml:space="preserve"> </w:t>
      </w:r>
      <w:r w:rsidR="001339DC">
        <w:t xml:space="preserve">changes in </w:t>
      </w:r>
      <w:r w:rsidR="6C45BE95">
        <w:t>technology and behaviour</w:t>
      </w:r>
      <w:r w:rsidR="00657A87">
        <w:t xml:space="preserve"> (</w:t>
      </w:r>
      <w:r w:rsidR="00382D49">
        <w:t>Figure 3.3</w:t>
      </w:r>
      <w:r w:rsidR="00657A87">
        <w:t>)</w:t>
      </w:r>
      <w:r w:rsidR="6C45BE95">
        <w:t>.</w:t>
      </w:r>
      <w:r>
        <w:t xml:space="preserve"> </w:t>
      </w:r>
      <w:r w:rsidR="00BB736F">
        <w:t>O</w:t>
      </w:r>
      <w:r>
        <w:t>ur Tailwinds scenario</w:t>
      </w:r>
      <w:r w:rsidR="0067748D">
        <w:t xml:space="preserve"> </w:t>
      </w:r>
      <w:r w:rsidR="00AD3669">
        <w:t>achieves this by</w:t>
      </w:r>
      <w:r>
        <w:t xml:space="preserve"> 2040. Even in </w:t>
      </w:r>
      <w:r w:rsidR="005652BF">
        <w:t xml:space="preserve">our </w:t>
      </w:r>
      <w:r>
        <w:t>Headwinds</w:t>
      </w:r>
      <w:r w:rsidR="4A879A47">
        <w:t xml:space="preserve"> scenario</w:t>
      </w:r>
      <w:r>
        <w:t xml:space="preserve"> net zero long-lived gases could still be achieved by 2048</w:t>
      </w:r>
      <w:r w:rsidR="00AD3669">
        <w:t xml:space="preserve">, </w:t>
      </w:r>
      <w:r w:rsidR="004B3B9C">
        <w:t xml:space="preserve">with a greater </w:t>
      </w:r>
      <w:r w:rsidR="00357AED">
        <w:t xml:space="preserve">reliance on </w:t>
      </w:r>
      <w:r w:rsidR="00095056">
        <w:t xml:space="preserve">carbon removals </w:t>
      </w:r>
      <w:r w:rsidR="00C73FA3">
        <w:t xml:space="preserve">by </w:t>
      </w:r>
      <w:r w:rsidR="00095056">
        <w:t>forestry</w:t>
      </w:r>
      <w:r>
        <w:t xml:space="preserve"> (</w:t>
      </w:r>
      <w:r w:rsidR="00382D49">
        <w:rPr>
          <w:noProof/>
        </w:rPr>
        <w:t>Figure 3.4</w:t>
      </w:r>
      <w:r>
        <w:t>).</w:t>
      </w:r>
    </w:p>
    <w:p w14:paraId="2C377DAC" w14:textId="7E64CA02" w:rsidR="00377E47" w:rsidRPr="002F1AF6" w:rsidRDefault="00A9020F" w:rsidP="00145C61">
      <w:r w:rsidRPr="002F1AF6">
        <w:t>Key</w:t>
      </w:r>
      <w:r w:rsidR="00BC7953" w:rsidRPr="002F1AF6">
        <w:t xml:space="preserve"> i</w:t>
      </w:r>
      <w:r w:rsidR="00A144C7" w:rsidRPr="002F1AF6">
        <w:t xml:space="preserve">nsights </w:t>
      </w:r>
      <w:r w:rsidR="00F90ECC" w:rsidRPr="002F1AF6">
        <w:t xml:space="preserve">into emissions reductions </w:t>
      </w:r>
      <w:r w:rsidR="00A144C7" w:rsidRPr="002F1AF6">
        <w:t xml:space="preserve">from our </w:t>
      </w:r>
      <w:r w:rsidR="00E4564A" w:rsidRPr="002F1AF6">
        <w:t>scenario</w:t>
      </w:r>
      <w:r w:rsidR="00D1116A" w:rsidRPr="002F1AF6">
        <w:t xml:space="preserve"> analysi</w:t>
      </w:r>
      <w:r w:rsidR="00E4564A" w:rsidRPr="002F1AF6">
        <w:t xml:space="preserve">s </w:t>
      </w:r>
      <w:r>
        <w:t>include</w:t>
      </w:r>
      <w:r w:rsidR="008D376E">
        <w:t xml:space="preserve">: </w:t>
      </w:r>
    </w:p>
    <w:p w14:paraId="611E7782" w14:textId="0F6EE673" w:rsidR="00A91C2F" w:rsidRDefault="00A91C2F" w:rsidP="00655722">
      <w:pPr>
        <w:pStyle w:val="ListParagraph"/>
        <w:numPr>
          <w:ilvl w:val="0"/>
          <w:numId w:val="14"/>
        </w:numPr>
      </w:pPr>
      <w:r>
        <w:t xml:space="preserve">Wider </w:t>
      </w:r>
      <w:r w:rsidRPr="00A91C2F">
        <w:t xml:space="preserve">electrification of energy use is an essential part of the transition and will require a major expansion of the electricity system. Wind, geothermal and solar power can meet the </w:t>
      </w:r>
      <w:r w:rsidRPr="00A91C2F">
        <w:lastRenderedPageBreak/>
        <w:t>expected growth in demand from electrifying transport and heat to 2050 while keeping electricity affordable. Despite this growth, the emissions from the generation of electricity can reduce considerably relative to today.</w:t>
      </w:r>
    </w:p>
    <w:p w14:paraId="1BF60D7A" w14:textId="0A308A14" w:rsidR="008D376E" w:rsidRPr="00CA4D17" w:rsidRDefault="7E99116A" w:rsidP="00655722">
      <w:pPr>
        <w:pStyle w:val="ListParagraph"/>
        <w:numPr>
          <w:ilvl w:val="0"/>
          <w:numId w:val="14"/>
        </w:numPr>
        <w:spacing w:before="120" w:after="120"/>
        <w:ind w:left="714" w:hanging="357"/>
        <w:contextualSpacing w:val="0"/>
      </w:pPr>
      <w:r>
        <w:t xml:space="preserve">Through switching to electric vehicles, </w:t>
      </w:r>
      <w:r w:rsidR="008D376E" w:rsidRPr="278CC4B7" w:rsidDel="008401BC">
        <w:t>r</w:t>
      </w:r>
      <w:r w:rsidR="008D376E" w:rsidRPr="00A82210" w:rsidDel="008401BC">
        <w:rPr>
          <w:bCs/>
        </w:rPr>
        <w:t>oad transport, including heavy vehicles,</w:t>
      </w:r>
      <w:r w:rsidR="008D376E" w:rsidDel="008401BC">
        <w:rPr>
          <w:bCs/>
        </w:rPr>
        <w:t xml:space="preserve"> </w:t>
      </w:r>
      <w:r w:rsidR="008401BC">
        <w:rPr>
          <w:bCs/>
        </w:rPr>
        <w:t xml:space="preserve">can </w:t>
      </w:r>
      <w:r w:rsidR="007C068D">
        <w:rPr>
          <w:bCs/>
        </w:rPr>
        <w:t xml:space="preserve">be </w:t>
      </w:r>
      <w:r w:rsidR="4C0EB517">
        <w:t xml:space="preserve">almost </w:t>
      </w:r>
      <w:r w:rsidR="008401BC">
        <w:rPr>
          <w:bCs/>
        </w:rPr>
        <w:t xml:space="preserve">decarbonised by </w:t>
      </w:r>
      <w:r w:rsidR="008D376E" w:rsidDel="008401BC">
        <w:rPr>
          <w:bCs/>
        </w:rPr>
        <w:t>2050</w:t>
      </w:r>
      <w:r w:rsidR="008401BC">
        <w:rPr>
          <w:bCs/>
        </w:rPr>
        <w:t>.</w:t>
      </w:r>
      <w:r w:rsidR="008401BC" w:rsidRPr="00A82210">
        <w:rPr>
          <w:bCs/>
        </w:rPr>
        <w:t xml:space="preserve"> </w:t>
      </w:r>
      <w:r w:rsidR="0077671C">
        <w:t>T</w:t>
      </w:r>
      <w:r w:rsidR="004B1424">
        <w:t>his</w:t>
      </w:r>
      <w:r w:rsidR="008D376E">
        <w:t xml:space="preserve"> </w:t>
      </w:r>
      <w:r w:rsidR="008D376E" w:rsidRPr="278CC4B7">
        <w:t>require</w:t>
      </w:r>
      <w:r w:rsidR="00256C64">
        <w:t>s</w:t>
      </w:r>
      <w:r w:rsidR="008D376E">
        <w:t xml:space="preserve"> </w:t>
      </w:r>
      <w:r w:rsidR="008D376E" w:rsidRPr="278CC4B7">
        <w:t xml:space="preserve">a rapid increase in electric vehicle sales </w:t>
      </w:r>
      <w:r w:rsidR="00711BD5">
        <w:t>so that</w:t>
      </w:r>
      <w:r w:rsidR="00D64367">
        <w:t xml:space="preserve"> </w:t>
      </w:r>
      <w:r w:rsidR="00274C9E">
        <w:t>near</w:t>
      </w:r>
      <w:r w:rsidR="006D5C66">
        <w:t>ly al</w:t>
      </w:r>
      <w:r w:rsidR="00B57EDE">
        <w:t>l vehicles entering</w:t>
      </w:r>
      <w:r w:rsidR="00AC2D9C">
        <w:t xml:space="preserve"> </w:t>
      </w:r>
      <w:r w:rsidR="00527D05">
        <w:t xml:space="preserve">the country’s </w:t>
      </w:r>
      <w:r w:rsidR="0023545E">
        <w:t xml:space="preserve">fleet </w:t>
      </w:r>
      <w:r w:rsidR="00514F63">
        <w:t>are electric by 2035</w:t>
      </w:r>
      <w:r w:rsidR="00C46D07" w:rsidRPr="278CC4B7">
        <w:t>.</w:t>
      </w:r>
      <w:r w:rsidR="00E8020C">
        <w:t xml:space="preserve"> </w:t>
      </w:r>
      <w:r w:rsidR="00A57931">
        <w:t xml:space="preserve">The switch to </w:t>
      </w:r>
      <w:r w:rsidR="007225C8">
        <w:t>electric vehicles</w:t>
      </w:r>
      <w:r w:rsidR="00A57931">
        <w:t xml:space="preserve"> is expected to deliver significant cost savings while also reducing air and noise pollution</w:t>
      </w:r>
      <w:r w:rsidR="007225C8">
        <w:t xml:space="preserve"> and replacing imported </w:t>
      </w:r>
      <w:r w:rsidR="004A1707">
        <w:t>fuels</w:t>
      </w:r>
      <w:r w:rsidR="007225C8">
        <w:t xml:space="preserve"> with </w:t>
      </w:r>
      <w:r w:rsidR="004A1707">
        <w:t>local</w:t>
      </w:r>
      <w:r w:rsidR="007225C8">
        <w:t xml:space="preserve"> renewable electricity. </w:t>
      </w:r>
    </w:p>
    <w:p w14:paraId="73E3E4BC" w14:textId="60F6974F" w:rsidR="008D376E" w:rsidRDefault="00C96A1D" w:rsidP="00655722">
      <w:pPr>
        <w:pStyle w:val="ListParagraph"/>
        <w:numPr>
          <w:ilvl w:val="0"/>
          <w:numId w:val="14"/>
        </w:numPr>
        <w:spacing w:before="120" w:after="120"/>
        <w:ind w:left="714" w:hanging="357"/>
        <w:contextualSpacing w:val="0"/>
      </w:pPr>
      <w:r>
        <w:t>Low and medium temperature heat in industry and buildings c</w:t>
      </w:r>
      <w:r w:rsidR="00B74F86">
        <w:t>ould</w:t>
      </w:r>
      <w:r>
        <w:t xml:space="preserve"> be decarbonised </w:t>
      </w:r>
      <w:r w:rsidR="00B2116B">
        <w:t xml:space="preserve">by 2050 through a </w:t>
      </w:r>
      <w:r w:rsidR="008D376E" w:rsidRPr="278CC4B7">
        <w:t>switch</w:t>
      </w:r>
      <w:r w:rsidR="008D376E">
        <w:t xml:space="preserve"> </w:t>
      </w:r>
      <w:r w:rsidR="008D376E" w:rsidRPr="278CC4B7">
        <w:t>away from coal</w:t>
      </w:r>
      <w:r w:rsidR="00344424">
        <w:t>, diesel</w:t>
      </w:r>
      <w:r w:rsidR="008D376E" w:rsidRPr="278CC4B7">
        <w:t xml:space="preserve"> and gas to electricity and biomass.</w:t>
      </w:r>
      <w:r w:rsidR="00380674">
        <w:t xml:space="preserve"> </w:t>
      </w:r>
      <w:r w:rsidR="00266CF7">
        <w:t>Ou</w:t>
      </w:r>
      <w:r w:rsidR="00571D85">
        <w:t>r</w:t>
      </w:r>
      <w:r w:rsidR="00266CF7">
        <w:t xml:space="preserve"> analysis indicates that</w:t>
      </w:r>
      <w:r w:rsidR="00571D85">
        <w:t xml:space="preserve"> these</w:t>
      </w:r>
      <w:r w:rsidR="00380674">
        <w:t xml:space="preserve"> </w:t>
      </w:r>
      <w:r w:rsidR="00571D85">
        <w:t>c</w:t>
      </w:r>
      <w:r w:rsidR="0037395B">
        <w:t>osts</w:t>
      </w:r>
      <w:r w:rsidR="008C0460">
        <w:t xml:space="preserve"> </w:t>
      </w:r>
      <w:r w:rsidR="0037395B">
        <w:t>could range up</w:t>
      </w:r>
      <w:r w:rsidR="00A83C4C">
        <w:t xml:space="preserve"> to $250 per tonne</w:t>
      </w:r>
      <w:r w:rsidR="0037395B">
        <w:t xml:space="preserve"> CO</w:t>
      </w:r>
      <w:r w:rsidR="0037395B" w:rsidRPr="007225C8">
        <w:rPr>
          <w:vertAlign w:val="subscript"/>
        </w:rPr>
        <w:t>2</w:t>
      </w:r>
      <w:r w:rsidR="0037395B">
        <w:t>e</w:t>
      </w:r>
      <w:r w:rsidR="00B83C26">
        <w:t xml:space="preserve"> </w:t>
      </w:r>
      <w:r w:rsidR="0064768A">
        <w:t>reduced</w:t>
      </w:r>
      <w:r w:rsidR="00A83C4C">
        <w:t xml:space="preserve"> </w:t>
      </w:r>
      <w:r w:rsidR="002D3C6A">
        <w:t>bu</w:t>
      </w:r>
      <w:r w:rsidR="00965561">
        <w:t xml:space="preserve">t </w:t>
      </w:r>
      <w:r w:rsidR="00216BBE">
        <w:t>would be less</w:t>
      </w:r>
      <w:r w:rsidR="0037395B">
        <w:t xml:space="preserve"> than this where heat pumps or biomass can be used.</w:t>
      </w:r>
    </w:p>
    <w:p w14:paraId="3CFC6727" w14:textId="2505AE12" w:rsidR="009F1753" w:rsidRDefault="00643346" w:rsidP="00655722">
      <w:pPr>
        <w:pStyle w:val="ListParagraph"/>
        <w:numPr>
          <w:ilvl w:val="0"/>
          <w:numId w:val="14"/>
        </w:numPr>
        <w:spacing w:before="120" w:after="120"/>
        <w:ind w:left="714" w:hanging="357"/>
        <w:contextualSpacing w:val="0"/>
      </w:pPr>
      <w:r>
        <w:t>Energy efficiency and behaviour change</w:t>
      </w:r>
      <w:r w:rsidR="00A11121">
        <w:t>s</w:t>
      </w:r>
      <w:r w:rsidR="008B1A1C">
        <w:t xml:space="preserve"> that reduce energy demand</w:t>
      </w:r>
      <w:r w:rsidR="00290A45" w:rsidDel="0032344A">
        <w:t xml:space="preserve"> </w:t>
      </w:r>
      <w:r w:rsidR="00636F1E">
        <w:t xml:space="preserve">will play an important role </w:t>
      </w:r>
      <w:r w:rsidR="000F25D0">
        <w:t>in many areas</w:t>
      </w:r>
      <w:r w:rsidR="00006E05">
        <w:t xml:space="preserve">. These can help to </w:t>
      </w:r>
      <w:r w:rsidR="0087418F">
        <w:t>cut emissions sooner</w:t>
      </w:r>
      <w:r w:rsidR="00582D34">
        <w:t xml:space="preserve"> and in hard-to-abate</w:t>
      </w:r>
      <w:r w:rsidR="0087418F">
        <w:t xml:space="preserve"> sectors</w:t>
      </w:r>
      <w:r w:rsidR="00B4064D">
        <w:t>.</w:t>
      </w:r>
      <w:r w:rsidR="00EF2599">
        <w:t xml:space="preserve"> </w:t>
      </w:r>
      <w:r w:rsidR="00B4064D">
        <w:t>They</w:t>
      </w:r>
      <w:r w:rsidR="00FE1FC2">
        <w:t xml:space="preserve"> c</w:t>
      </w:r>
      <w:r w:rsidR="00C50039">
        <w:t xml:space="preserve">an </w:t>
      </w:r>
      <w:r w:rsidR="00B4064D">
        <w:t xml:space="preserve">also </w:t>
      </w:r>
      <w:r w:rsidR="006F0B79">
        <w:t>contribute cost reductions and co-benefits</w:t>
      </w:r>
      <w:r w:rsidR="00EF2599">
        <w:t>.</w:t>
      </w:r>
      <w:r w:rsidR="005A7179">
        <w:t xml:space="preserve"> </w:t>
      </w:r>
    </w:p>
    <w:p w14:paraId="51EDA3A5" w14:textId="7E4DE65D" w:rsidR="00647C14" w:rsidRPr="00EA24DA" w:rsidRDefault="00647C14" w:rsidP="00655722">
      <w:pPr>
        <w:pStyle w:val="ListParagraph"/>
        <w:numPr>
          <w:ilvl w:val="0"/>
          <w:numId w:val="14"/>
        </w:numPr>
        <w:spacing w:before="120" w:after="120"/>
        <w:ind w:left="714" w:hanging="357"/>
        <w:contextualSpacing w:val="0"/>
      </w:pPr>
      <w:r>
        <w:t xml:space="preserve">Nitrous oxide emissions are difficult to reduce but will be addressed somewhat </w:t>
      </w:r>
      <w:r w:rsidR="0018264C">
        <w:t>through supporting farmers</w:t>
      </w:r>
      <w:r>
        <w:t xml:space="preserve"> to </w:t>
      </w:r>
      <w:r w:rsidR="0018264C">
        <w:t>implement</w:t>
      </w:r>
      <w:r>
        <w:t xml:space="preserve"> </w:t>
      </w:r>
      <w:r w:rsidR="00E12129">
        <w:t xml:space="preserve">emissions </w:t>
      </w:r>
      <w:r w:rsidR="0018264C">
        <w:t xml:space="preserve">reducing practices and by the development </w:t>
      </w:r>
      <w:r w:rsidR="00E12129">
        <w:t xml:space="preserve">of </w:t>
      </w:r>
      <w:r w:rsidR="0018264C">
        <w:t>technology such as inhibitors</w:t>
      </w:r>
      <w:r>
        <w:t>.</w:t>
      </w:r>
    </w:p>
    <w:p w14:paraId="1315BF18" w14:textId="5F2A2DC3" w:rsidR="008D376E" w:rsidRPr="00EA24DA" w:rsidRDefault="008D376E" w:rsidP="00655722">
      <w:pPr>
        <w:pStyle w:val="ListParagraph"/>
        <w:numPr>
          <w:ilvl w:val="0"/>
          <w:numId w:val="14"/>
        </w:numPr>
        <w:spacing w:before="120" w:after="120"/>
        <w:ind w:left="714" w:hanging="357"/>
        <w:contextualSpacing w:val="0"/>
      </w:pPr>
      <w:r w:rsidRPr="500B4AC6">
        <w:t xml:space="preserve">New native forests </w:t>
      </w:r>
      <w:r>
        <w:t xml:space="preserve">can be established </w:t>
      </w:r>
      <w:r w:rsidRPr="500B4AC6">
        <w:t xml:space="preserve">on </w:t>
      </w:r>
      <w:r w:rsidR="006F7B1C">
        <w:t>steeper</w:t>
      </w:r>
      <w:r w:rsidR="006F7B1C" w:rsidRPr="006F7B1C">
        <w:t xml:space="preserve">, </w:t>
      </w:r>
      <w:r w:rsidR="007662E3" w:rsidRPr="005028D3">
        <w:t>less productive land</w:t>
      </w:r>
      <w:r w:rsidR="007662E3">
        <w:t xml:space="preserve"> </w:t>
      </w:r>
      <w:r w:rsidR="008D1021">
        <w:t>to provide an enduring source of carbon removals</w:t>
      </w:r>
      <w:r>
        <w:t xml:space="preserve">. </w:t>
      </w:r>
      <w:r w:rsidR="008D7824">
        <w:t xml:space="preserve">With </w:t>
      </w:r>
      <w:r w:rsidR="002E4590">
        <w:t xml:space="preserve">a sustained high rate of planting through to 2050, </w:t>
      </w:r>
      <w:r w:rsidR="003217B5">
        <w:t xml:space="preserve">new </w:t>
      </w:r>
      <w:r w:rsidR="00F05E1B">
        <w:t>native fores</w:t>
      </w:r>
      <w:r w:rsidR="004D3866">
        <w:t>t</w:t>
      </w:r>
      <w:r w:rsidR="003217B5">
        <w:t>s</w:t>
      </w:r>
      <w:r w:rsidR="004D3866">
        <w:t xml:space="preserve"> </w:t>
      </w:r>
      <w:r w:rsidRPr="500B4AC6">
        <w:t xml:space="preserve">could </w:t>
      </w:r>
      <w:r w:rsidR="00BC3823">
        <w:t xml:space="preserve">provide a long-term </w:t>
      </w:r>
      <w:r w:rsidR="00770AE0">
        <w:t>carbon sink</w:t>
      </w:r>
      <w:r w:rsidR="005028D3">
        <w:t xml:space="preserve"> </w:t>
      </w:r>
      <w:r w:rsidR="003B6F46">
        <w:t xml:space="preserve">of </w:t>
      </w:r>
      <w:r w:rsidR="00733315">
        <w:t>more than 4 MtCO</w:t>
      </w:r>
      <w:r w:rsidR="00733315" w:rsidRPr="00400204">
        <w:rPr>
          <w:vertAlign w:val="subscript"/>
        </w:rPr>
        <w:t>2</w:t>
      </w:r>
      <w:r w:rsidR="00733315">
        <w:t xml:space="preserve"> per year, helping</w:t>
      </w:r>
      <w:r w:rsidR="005028D3">
        <w:t xml:space="preserve"> to</w:t>
      </w:r>
      <w:r w:rsidR="004D3866">
        <w:t xml:space="preserve"> </w:t>
      </w:r>
      <w:r w:rsidRPr="500B4AC6">
        <w:t xml:space="preserve">offset residual </w:t>
      </w:r>
      <w:r w:rsidDel="00E26CF0">
        <w:t>long-lived greenhouse gas emissions</w:t>
      </w:r>
      <w:r w:rsidR="003B6F46">
        <w:t xml:space="preserve"> </w:t>
      </w:r>
      <w:r>
        <w:t xml:space="preserve">from </w:t>
      </w:r>
      <w:r w:rsidR="001B6F56">
        <w:t xml:space="preserve">hard-to-abate </w:t>
      </w:r>
      <w:r w:rsidR="003B6F46">
        <w:t>sources</w:t>
      </w:r>
      <w:r w:rsidRPr="500B4AC6">
        <w:t>.</w:t>
      </w:r>
    </w:p>
    <w:p w14:paraId="175728C5" w14:textId="296065CB" w:rsidR="008D376E" w:rsidRDefault="008D376E" w:rsidP="00655722">
      <w:pPr>
        <w:pStyle w:val="ListParagraph"/>
        <w:numPr>
          <w:ilvl w:val="0"/>
          <w:numId w:val="14"/>
        </w:numPr>
        <w:spacing w:before="120" w:after="120"/>
        <w:ind w:left="714" w:hanging="357"/>
        <w:contextualSpacing w:val="0"/>
      </w:pPr>
      <w:r w:rsidRPr="2961FF3B">
        <w:t xml:space="preserve">Exotic plantation forestry </w:t>
      </w:r>
      <w:r>
        <w:t>continues to have</w:t>
      </w:r>
      <w:r w:rsidRPr="2961FF3B">
        <w:t xml:space="preserve"> a role to play in removing</w:t>
      </w:r>
      <w:r w:rsidRPr="00150728">
        <w:rPr>
          <w:vertAlign w:val="subscript"/>
        </w:rPr>
        <w:t xml:space="preserve"> </w:t>
      </w:r>
      <w:r w:rsidRPr="2961FF3B">
        <w:t>carbon dioxide</w:t>
      </w:r>
      <w:r>
        <w:t xml:space="preserve">, particularly </w:t>
      </w:r>
      <w:r w:rsidRPr="2961FF3B">
        <w:t>until other more enduring sources of carbon removals, such as native forestry</w:t>
      </w:r>
      <w:r w:rsidR="001B6F56">
        <w:t>,</w:t>
      </w:r>
      <w:r w:rsidRPr="2961FF3B">
        <w:t xml:space="preserve"> can scale up</w:t>
      </w:r>
      <w:r>
        <w:t xml:space="preserve">. </w:t>
      </w:r>
      <w:r w:rsidR="00EE4313">
        <w:t xml:space="preserve">The deep reductions in </w:t>
      </w:r>
      <w:r>
        <w:t xml:space="preserve">gross emissions </w:t>
      </w:r>
      <w:r w:rsidR="00EE4313">
        <w:t xml:space="preserve">in our scenarios </w:t>
      </w:r>
      <w:r>
        <w:t xml:space="preserve">means the 2050 target could be met </w:t>
      </w:r>
      <w:r w:rsidR="005821A1">
        <w:t xml:space="preserve">with </w:t>
      </w:r>
      <w:r w:rsidR="000825A6">
        <w:t xml:space="preserve">a </w:t>
      </w:r>
      <w:r w:rsidR="005821A1">
        <w:t xml:space="preserve">significantly </w:t>
      </w:r>
      <w:r w:rsidR="000825A6">
        <w:t xml:space="preserve">smaller area of </w:t>
      </w:r>
      <w:r w:rsidDel="00E23A02">
        <w:t>new</w:t>
      </w:r>
      <w:r>
        <w:t xml:space="preserve"> exotic forestry than would occur under current policy settings.</w:t>
      </w:r>
    </w:p>
    <w:p w14:paraId="7DA1C601" w14:textId="77777777" w:rsidR="00B402A3" w:rsidRDefault="288490C0" w:rsidP="000D1CDB">
      <w:pPr>
        <w:keepNext/>
        <w:spacing w:before="0" w:after="160"/>
        <w:jc w:val="center"/>
      </w:pPr>
      <w:r>
        <w:rPr>
          <w:noProof/>
        </w:rPr>
        <w:lastRenderedPageBreak/>
        <w:drawing>
          <wp:inline distT="0" distB="0" distL="0" distR="0" wp14:anchorId="597AAFB8" wp14:editId="7C5FA429">
            <wp:extent cx="5761355" cy="34156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rotWithShape="1">
                    <a:blip r:embed="rId30">
                      <a:extLst>
                        <a:ext uri="{28A0092B-C50C-407E-A947-70E740481C1C}">
                          <a14:useLocalDpi xmlns:a14="http://schemas.microsoft.com/office/drawing/2010/main" val="0"/>
                        </a:ext>
                      </a:extLst>
                    </a:blip>
                    <a:srcRect t="5031"/>
                    <a:stretch/>
                  </pic:blipFill>
                  <pic:spPr bwMode="auto">
                    <a:xfrm>
                      <a:off x="0" y="0"/>
                      <a:ext cx="5761356" cy="3415665"/>
                    </a:xfrm>
                    <a:prstGeom prst="rect">
                      <a:avLst/>
                    </a:prstGeom>
                    <a:ln>
                      <a:noFill/>
                    </a:ln>
                    <a:extLst>
                      <a:ext uri="{53640926-AAD7-44D8-BBD7-CCE9431645EC}">
                        <a14:shadowObscured xmlns:a14="http://schemas.microsoft.com/office/drawing/2010/main"/>
                      </a:ext>
                    </a:extLst>
                  </pic:spPr>
                </pic:pic>
              </a:graphicData>
            </a:graphic>
          </wp:inline>
        </w:drawing>
      </w:r>
    </w:p>
    <w:p w14:paraId="40258FD9" w14:textId="5E3BD7FF" w:rsidR="008D376E" w:rsidRDefault="00B402A3" w:rsidP="00A8050A">
      <w:pPr>
        <w:pStyle w:val="Caption"/>
      </w:pPr>
      <w:bookmarkStart w:id="95" w:name="_Ref58623181"/>
      <w:r>
        <w:t xml:space="preserve">Figure </w:t>
      </w:r>
      <w:bookmarkEnd w:id="95"/>
      <w:r w:rsidR="00DA6458">
        <w:t>3.3</w:t>
      </w:r>
      <w:r>
        <w:t xml:space="preserve">: </w:t>
      </w:r>
      <w:r w:rsidRPr="00881DB1">
        <w:t>The pathway for net long-lived greenhouse gas emissions in the Headwinds and Tailwinds scenarios, compared with under current policies</w:t>
      </w:r>
      <w:r w:rsidR="00382D49">
        <w:t>.</w:t>
      </w:r>
    </w:p>
    <w:p w14:paraId="73A633AD" w14:textId="77777777" w:rsidR="002D5DEA" w:rsidRPr="00295A62" w:rsidRDefault="002D5DEA" w:rsidP="002D5DEA">
      <w:pPr>
        <w:spacing w:before="0"/>
        <w:jc w:val="right"/>
      </w:pPr>
      <w:r w:rsidRPr="00295A62">
        <w:t>Source: Commission analysis</w:t>
      </w:r>
      <w:r>
        <w:t>.</w:t>
      </w:r>
    </w:p>
    <w:p w14:paraId="1A571A22" w14:textId="77777777" w:rsidR="002D5DEA" w:rsidRPr="002D5DEA" w:rsidRDefault="002D5DEA" w:rsidP="00400204"/>
    <w:p w14:paraId="102DB167" w14:textId="702A87C6" w:rsidR="00727623" w:rsidRDefault="006C793B" w:rsidP="00BF6552">
      <w:pPr>
        <w:keepNext/>
        <w:jc w:val="center"/>
      </w:pPr>
      <w:r>
        <w:rPr>
          <w:noProof/>
        </w:rPr>
        <w:lastRenderedPageBreak/>
        <w:drawing>
          <wp:inline distT="0" distB="0" distL="0" distR="0" wp14:anchorId="3FEB7E8B" wp14:editId="0708A1EB">
            <wp:extent cx="5774690" cy="3607984"/>
            <wp:effectExtent l="0" t="0" r="0" b="0"/>
            <wp:docPr id="1510751559" name="Picture 151075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751559"/>
                    <pic:cNvPicPr/>
                  </pic:nvPicPr>
                  <pic:blipFill rotWithShape="1">
                    <a:blip r:embed="rId31">
                      <a:extLst>
                        <a:ext uri="{28A0092B-C50C-407E-A947-70E740481C1C}">
                          <a14:useLocalDpi xmlns:a14="http://schemas.microsoft.com/office/drawing/2010/main" val="0"/>
                        </a:ext>
                      </a:extLst>
                    </a:blip>
                    <a:srcRect t="5539"/>
                    <a:stretch/>
                  </pic:blipFill>
                  <pic:spPr bwMode="auto">
                    <a:xfrm>
                      <a:off x="0" y="0"/>
                      <a:ext cx="5774692" cy="3607985"/>
                    </a:xfrm>
                    <a:prstGeom prst="rect">
                      <a:avLst/>
                    </a:prstGeom>
                    <a:ln>
                      <a:noFill/>
                    </a:ln>
                    <a:extLst>
                      <a:ext uri="{53640926-AAD7-44D8-BBD7-CCE9431645EC}">
                        <a14:shadowObscured xmlns:a14="http://schemas.microsoft.com/office/drawing/2010/main"/>
                      </a:ext>
                    </a:extLst>
                  </pic:spPr>
                </pic:pic>
              </a:graphicData>
            </a:graphic>
          </wp:inline>
        </w:drawing>
      </w:r>
    </w:p>
    <w:p w14:paraId="24E86718" w14:textId="137BF094" w:rsidR="003B1F85" w:rsidRDefault="00727623" w:rsidP="00111791">
      <w:pPr>
        <w:pStyle w:val="Caption"/>
      </w:pPr>
      <w:bookmarkStart w:id="96" w:name="_Ref58623276"/>
      <w:r>
        <w:t xml:space="preserve">Figure </w:t>
      </w:r>
      <w:r w:rsidR="00DA6458">
        <w:t>3.4</w:t>
      </w:r>
      <w:r>
        <w:t>:</w:t>
      </w:r>
      <w:bookmarkEnd w:id="96"/>
      <w:r>
        <w:t xml:space="preserve"> </w:t>
      </w:r>
      <w:r w:rsidRPr="00BB25CA">
        <w:t>Long-lived gas emissions by sector in 2050 in the Headwinds and Tailwinds scenarios, compared with under current policies and with 2018 emissions</w:t>
      </w:r>
      <w:r w:rsidR="002D5DEA">
        <w:t>.</w:t>
      </w:r>
    </w:p>
    <w:p w14:paraId="6399A209" w14:textId="77777777" w:rsidR="002D5DEA" w:rsidRPr="00295A62" w:rsidRDefault="002D5DEA" w:rsidP="002D5DEA">
      <w:pPr>
        <w:spacing w:before="0"/>
        <w:jc w:val="right"/>
      </w:pPr>
      <w:r w:rsidRPr="00295A62">
        <w:t>Source: Commission analysis</w:t>
      </w:r>
      <w:r>
        <w:t>.</w:t>
      </w:r>
    </w:p>
    <w:p w14:paraId="61F0B929" w14:textId="15C6F535" w:rsidR="008D376E" w:rsidRPr="00A61181" w:rsidRDefault="009D71DD" w:rsidP="008D376E">
      <w:pPr>
        <w:pStyle w:val="Heading3"/>
      </w:pPr>
      <w:bookmarkStart w:id="97" w:name="_Toc58840903"/>
      <w:bookmarkStart w:id="98" w:name="_Toc58857577"/>
      <w:bookmarkStart w:id="99" w:name="_Toc61448635"/>
      <w:bookmarkStart w:id="100" w:name="_Toc62649321"/>
      <w:bookmarkStart w:id="101" w:name="_Toc62650262"/>
      <w:r>
        <w:t xml:space="preserve">3.5.2 </w:t>
      </w:r>
      <w:r w:rsidR="00FE0F69">
        <w:t>Key insights from our s</w:t>
      </w:r>
      <w:r w:rsidR="00F90ECC">
        <w:t>cenario</w:t>
      </w:r>
      <w:r w:rsidR="00FE0F69">
        <w:t>s</w:t>
      </w:r>
      <w:r w:rsidR="00F90ECC">
        <w:t xml:space="preserve"> for b</w:t>
      </w:r>
      <w:r w:rsidR="008D376E">
        <w:t xml:space="preserve">iogenic </w:t>
      </w:r>
      <w:r w:rsidR="00F90ECC">
        <w:t>m</w:t>
      </w:r>
      <w:r w:rsidR="008D376E">
        <w:t>ethane</w:t>
      </w:r>
      <w:bookmarkEnd w:id="97"/>
      <w:bookmarkEnd w:id="98"/>
      <w:bookmarkEnd w:id="99"/>
      <w:bookmarkEnd w:id="100"/>
      <w:bookmarkEnd w:id="101"/>
    </w:p>
    <w:p w14:paraId="35258019" w14:textId="7DCC41FC" w:rsidR="008D376E" w:rsidRDefault="008D376E" w:rsidP="008D376E">
      <w:r>
        <w:t>Our scenarios show that, depending on technology and behaviour change in the next 30 years, it is possible to meet both the l</w:t>
      </w:r>
      <w:r w:rsidR="00F43171">
        <w:t>ess ambitious</w:t>
      </w:r>
      <w:r>
        <w:t xml:space="preserve"> (24% reduction) and </w:t>
      </w:r>
      <w:r w:rsidR="00F43171">
        <w:t xml:space="preserve">more ambitious </w:t>
      </w:r>
      <w:r>
        <w:t xml:space="preserve">(47% reduction) ends of the 2050 target range for biogenic methane. </w:t>
      </w:r>
    </w:p>
    <w:p w14:paraId="027DA570" w14:textId="0F1E5FFF" w:rsidR="00211724" w:rsidRPr="00211724" w:rsidRDefault="00211724" w:rsidP="008D376E">
      <w:r>
        <w:t>Under the Tailwinds scenario, major technology and behaviour changes mean biogenic methane could reduce 59% below 2017 levels by 2050. This scenario assumes that methane inhibitors</w:t>
      </w:r>
      <w:r w:rsidR="00F33594">
        <w:t>, methane</w:t>
      </w:r>
      <w:r>
        <w:t xml:space="preserve"> vaccines and low emissions breeding are developed and widely adopted. Under the Headwinds scenario, slower changes in technology and behaviour still allow biogenic methane to reduce to 25% below 2017 levels by 2050 (</w:t>
      </w:r>
      <w:r w:rsidR="000943A1">
        <w:rPr>
          <w:noProof/>
        </w:rPr>
        <w:t>Figure 3.5</w:t>
      </w:r>
      <w:r>
        <w:t>).</w:t>
      </w:r>
    </w:p>
    <w:p w14:paraId="76452717" w14:textId="7C7E0195" w:rsidR="007662E3" w:rsidRPr="00981869" w:rsidRDefault="007662E3" w:rsidP="007662E3">
      <w:r w:rsidRPr="008A6B85">
        <w:t>Insights from our scenario analysis for biogenic methane</w:t>
      </w:r>
      <w:r w:rsidR="008A6B85" w:rsidRPr="008A6B85">
        <w:rPr>
          <w:bCs/>
        </w:rPr>
        <w:t xml:space="preserve"> include:</w:t>
      </w:r>
    </w:p>
    <w:p w14:paraId="01FF8905" w14:textId="4E558369" w:rsidR="00F313D1" w:rsidRDefault="007662E3" w:rsidP="00F313D1">
      <w:pPr>
        <w:pStyle w:val="ListParagraph"/>
        <w:numPr>
          <w:ilvl w:val="0"/>
          <w:numId w:val="2"/>
        </w:numPr>
        <w:spacing w:before="0" w:after="160" w:line="252" w:lineRule="auto"/>
      </w:pPr>
      <w:r w:rsidRPr="00981869">
        <w:t xml:space="preserve">It is </w:t>
      </w:r>
      <w:r w:rsidR="00CB1D1C" w:rsidRPr="00981869">
        <w:t>poss</w:t>
      </w:r>
      <w:r w:rsidRPr="00981869">
        <w:t xml:space="preserve">ible to meet the 2030 target and the less ambitious end of the 2050 target range through </w:t>
      </w:r>
      <w:r w:rsidR="00E45BE5">
        <w:t xml:space="preserve">widespread adoption of </w:t>
      </w:r>
      <w:r w:rsidRPr="00981869">
        <w:t>existing farm management practices</w:t>
      </w:r>
      <w:r w:rsidR="00365360">
        <w:t xml:space="preserve"> and a combination of waste reduction and diversion from landfills</w:t>
      </w:r>
      <w:r w:rsidRPr="00981869">
        <w:t xml:space="preserve">. </w:t>
      </w:r>
    </w:p>
    <w:p w14:paraId="1E87B21C" w14:textId="02E13D88" w:rsidR="00BF0B8A" w:rsidRDefault="00BE6873" w:rsidP="00F313D1">
      <w:pPr>
        <w:pStyle w:val="ListParagraph"/>
        <w:numPr>
          <w:ilvl w:val="0"/>
          <w:numId w:val="2"/>
        </w:numPr>
        <w:spacing w:before="0" w:after="160" w:line="252" w:lineRule="auto"/>
      </w:pPr>
      <w:r>
        <w:t xml:space="preserve">Developing </w:t>
      </w:r>
      <w:r w:rsidR="00ED2F74">
        <w:t xml:space="preserve">and widely adopting </w:t>
      </w:r>
      <w:r>
        <w:t xml:space="preserve">new </w:t>
      </w:r>
      <w:r w:rsidR="00B7099B">
        <w:t>t</w:t>
      </w:r>
      <w:r w:rsidR="007F13A6">
        <w:t>echnologies</w:t>
      </w:r>
      <w:r w:rsidR="00D973C0">
        <w:t xml:space="preserve"> to reduce </w:t>
      </w:r>
      <w:r w:rsidR="00F348C7">
        <w:t>livestock</w:t>
      </w:r>
      <w:r w:rsidR="00D973C0">
        <w:t xml:space="preserve"> methane emissions</w:t>
      </w:r>
      <w:r w:rsidR="007F13A6">
        <w:t xml:space="preserve"> </w:t>
      </w:r>
      <w:r w:rsidR="00EB4C31">
        <w:t xml:space="preserve">would </w:t>
      </w:r>
      <w:r w:rsidR="00F71C78">
        <w:t xml:space="preserve">enable Aotearoa </w:t>
      </w:r>
      <w:r w:rsidR="00257DCC">
        <w:t xml:space="preserve">to reach </w:t>
      </w:r>
      <w:r w:rsidR="00C0092A">
        <w:t>the</w:t>
      </w:r>
      <w:r w:rsidR="00257DCC">
        <w:t xml:space="preserve"> more ambitious </w:t>
      </w:r>
      <w:r w:rsidR="0003099D">
        <w:t>end</w:t>
      </w:r>
      <w:r w:rsidR="00C0092A">
        <w:t xml:space="preserve"> of the of the 2050 methane</w:t>
      </w:r>
      <w:r w:rsidR="00257DCC">
        <w:t xml:space="preserve"> target</w:t>
      </w:r>
      <w:r w:rsidR="0003099D" w:rsidRPr="0003099D">
        <w:t xml:space="preserve"> range</w:t>
      </w:r>
      <w:r w:rsidR="00C0092A">
        <w:t>.</w:t>
      </w:r>
      <w:r w:rsidR="00257DCC">
        <w:t xml:space="preserve"> </w:t>
      </w:r>
      <w:r w:rsidR="00BF0B8A">
        <w:t>I</w:t>
      </w:r>
      <w:r w:rsidR="00BF0B8A" w:rsidRPr="00981869">
        <w:t>ncreas</w:t>
      </w:r>
      <w:r w:rsidR="00BF0B8A">
        <w:t>ing</w:t>
      </w:r>
      <w:r w:rsidR="00BF0B8A" w:rsidRPr="00981869">
        <w:t xml:space="preserve"> landfill gas capture</w:t>
      </w:r>
      <w:r w:rsidR="00BF0B8A">
        <w:t xml:space="preserve"> </w:t>
      </w:r>
      <w:r w:rsidR="002473E9">
        <w:t>w</w:t>
      </w:r>
      <w:r w:rsidR="00BF0B8A">
        <w:t>ould also contribute</w:t>
      </w:r>
      <w:r w:rsidR="00BF0B8A" w:rsidRPr="00981869">
        <w:t>.</w:t>
      </w:r>
    </w:p>
    <w:p w14:paraId="69803A64" w14:textId="2E8E110B" w:rsidR="00C060B5" w:rsidRDefault="00C060B5" w:rsidP="00F313D1">
      <w:pPr>
        <w:pStyle w:val="ListParagraph"/>
        <w:numPr>
          <w:ilvl w:val="0"/>
          <w:numId w:val="2"/>
        </w:numPr>
        <w:spacing w:before="0" w:after="160" w:line="252" w:lineRule="auto"/>
      </w:pPr>
      <w:r>
        <w:t xml:space="preserve">Without </w:t>
      </w:r>
      <w:r w:rsidR="00D973C0">
        <w:t>new</w:t>
      </w:r>
      <w:r>
        <w:t xml:space="preserve"> technologies, meeting the more ambitious end of the target range would</w:t>
      </w:r>
      <w:r w:rsidR="00E54377">
        <w:t xml:space="preserve"> likely</w:t>
      </w:r>
      <w:r>
        <w:t xml:space="preserve"> require </w:t>
      </w:r>
      <w:r w:rsidR="001C40CB">
        <w:t>significantly</w:t>
      </w:r>
      <w:r w:rsidR="00774F92">
        <w:t xml:space="preserve"> </w:t>
      </w:r>
      <w:r w:rsidR="000B1277">
        <w:t>lower</w:t>
      </w:r>
      <w:r w:rsidR="001C40CB">
        <w:t xml:space="preserve"> </w:t>
      </w:r>
      <w:r w:rsidR="00CF49BA">
        <w:t xml:space="preserve">agricultural </w:t>
      </w:r>
      <w:r w:rsidR="001C40CB">
        <w:t>production</w:t>
      </w:r>
      <w:r w:rsidR="00E54377">
        <w:t xml:space="preserve"> from livestock</w:t>
      </w:r>
      <w:r w:rsidR="00211724">
        <w:t xml:space="preserve"> and more land use change</w:t>
      </w:r>
      <w:r w:rsidR="00774F92">
        <w:t>.</w:t>
      </w:r>
    </w:p>
    <w:p w14:paraId="3570C410" w14:textId="71387050" w:rsidR="008D376E" w:rsidRDefault="7655F104" w:rsidP="00BF6552">
      <w:pPr>
        <w:keepNext/>
        <w:spacing w:before="0" w:after="0" w:line="240" w:lineRule="auto"/>
        <w:jc w:val="center"/>
        <w:textAlignment w:val="baseline"/>
      </w:pPr>
      <w:r>
        <w:rPr>
          <w:noProof/>
        </w:rPr>
        <w:lastRenderedPageBreak/>
        <w:drawing>
          <wp:inline distT="0" distB="0" distL="0" distR="0" wp14:anchorId="5766BBB7" wp14:editId="55F6119F">
            <wp:extent cx="5773420" cy="34192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rotWithShape="1">
                    <a:blip r:embed="rId32">
                      <a:extLst>
                        <a:ext uri="{28A0092B-C50C-407E-A947-70E740481C1C}">
                          <a14:useLocalDpi xmlns:a14="http://schemas.microsoft.com/office/drawing/2010/main" val="0"/>
                        </a:ext>
                      </a:extLst>
                    </a:blip>
                    <a:srcRect t="4933"/>
                    <a:stretch/>
                  </pic:blipFill>
                  <pic:spPr bwMode="auto">
                    <a:xfrm>
                      <a:off x="0" y="0"/>
                      <a:ext cx="5773421" cy="3419219"/>
                    </a:xfrm>
                    <a:prstGeom prst="rect">
                      <a:avLst/>
                    </a:prstGeom>
                    <a:ln>
                      <a:noFill/>
                    </a:ln>
                    <a:extLst>
                      <a:ext uri="{53640926-AAD7-44D8-BBD7-CCE9431645EC}">
                        <a14:shadowObscured xmlns:a14="http://schemas.microsoft.com/office/drawing/2010/main"/>
                      </a:ext>
                    </a:extLst>
                  </pic:spPr>
                </pic:pic>
              </a:graphicData>
            </a:graphic>
          </wp:inline>
        </w:drawing>
      </w:r>
    </w:p>
    <w:p w14:paraId="421E6E55" w14:textId="29A340F1" w:rsidR="008D376E" w:rsidRDefault="008D376E" w:rsidP="00BF6552">
      <w:pPr>
        <w:pStyle w:val="Caption"/>
      </w:pPr>
      <w:bookmarkStart w:id="102" w:name="_Ref58337565"/>
      <w:r>
        <w:t xml:space="preserve">Figure </w:t>
      </w:r>
      <w:r w:rsidR="00DA6458">
        <w:t>3.5</w:t>
      </w:r>
      <w:r>
        <w:t>:</w:t>
      </w:r>
      <w:bookmarkEnd w:id="102"/>
      <w:r>
        <w:t xml:space="preserve"> </w:t>
      </w:r>
      <w:r w:rsidRPr="00404EAB">
        <w:t xml:space="preserve">The pathway for </w:t>
      </w:r>
      <w:r>
        <w:t xml:space="preserve">biogenic methane </w:t>
      </w:r>
      <w:r w:rsidRPr="00404EAB">
        <w:t>emissions in the Headwinds and Tailwinds scenarios</w:t>
      </w:r>
      <w:r w:rsidR="002D5DEA">
        <w:t>.</w:t>
      </w:r>
    </w:p>
    <w:p w14:paraId="04113C2C" w14:textId="56F16116" w:rsidR="002D5DEA" w:rsidRPr="002D5DEA" w:rsidRDefault="002D5DEA" w:rsidP="00400204">
      <w:pPr>
        <w:spacing w:before="0"/>
        <w:jc w:val="right"/>
      </w:pPr>
      <w:r w:rsidRPr="00295A62">
        <w:t>Source: Commission analysis</w:t>
      </w:r>
      <w:r>
        <w:t>.</w:t>
      </w:r>
    </w:p>
    <w:p w14:paraId="797A83C4" w14:textId="12931960" w:rsidR="00C95EB7" w:rsidRDefault="00632FFD" w:rsidP="00BF6552">
      <w:pPr>
        <w:keepNext/>
        <w:jc w:val="center"/>
      </w:pPr>
      <w:r>
        <w:rPr>
          <w:noProof/>
        </w:rPr>
        <w:drawing>
          <wp:inline distT="0" distB="0" distL="0" distR="0" wp14:anchorId="6F9DF23E" wp14:editId="493C2542">
            <wp:extent cx="5770563" cy="3607994"/>
            <wp:effectExtent l="0" t="0" r="1905" b="0"/>
            <wp:docPr id="1510751560" name="Picture 151075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751560"/>
                    <pic:cNvPicPr/>
                  </pic:nvPicPr>
                  <pic:blipFill rotWithShape="1">
                    <a:blip r:embed="rId33">
                      <a:extLst>
                        <a:ext uri="{28A0092B-C50C-407E-A947-70E740481C1C}">
                          <a14:useLocalDpi xmlns:a14="http://schemas.microsoft.com/office/drawing/2010/main" val="0"/>
                        </a:ext>
                      </a:extLst>
                    </a:blip>
                    <a:srcRect t="6209"/>
                    <a:stretch/>
                  </pic:blipFill>
                  <pic:spPr bwMode="auto">
                    <a:xfrm>
                      <a:off x="0" y="0"/>
                      <a:ext cx="5771514" cy="3608589"/>
                    </a:xfrm>
                    <a:prstGeom prst="rect">
                      <a:avLst/>
                    </a:prstGeom>
                    <a:ln>
                      <a:noFill/>
                    </a:ln>
                    <a:extLst>
                      <a:ext uri="{53640926-AAD7-44D8-BBD7-CCE9431645EC}">
                        <a14:shadowObscured xmlns:a14="http://schemas.microsoft.com/office/drawing/2010/main"/>
                      </a:ext>
                    </a:extLst>
                  </pic:spPr>
                </pic:pic>
              </a:graphicData>
            </a:graphic>
          </wp:inline>
        </w:drawing>
      </w:r>
    </w:p>
    <w:p w14:paraId="4BC3691E" w14:textId="22668372" w:rsidR="008E28B9" w:rsidRDefault="00C95EB7" w:rsidP="00111791">
      <w:pPr>
        <w:pStyle w:val="Caption"/>
      </w:pPr>
      <w:r>
        <w:t xml:space="preserve">Figure </w:t>
      </w:r>
      <w:r w:rsidR="002B0CFC">
        <w:t>3.6</w:t>
      </w:r>
      <w:r>
        <w:t xml:space="preserve">: </w:t>
      </w:r>
      <w:r w:rsidRPr="00623A11">
        <w:t>Biogenic methane emissions by sector in 2050 in the Headwinds and Tailwinds scenarios, compared with under current policies and with 2018 emissions</w:t>
      </w:r>
      <w:r w:rsidR="002D5DEA">
        <w:t>.</w:t>
      </w:r>
    </w:p>
    <w:p w14:paraId="639C3032" w14:textId="05915304" w:rsidR="002D5DEA" w:rsidRPr="002D5DEA" w:rsidRDefault="002D5DEA" w:rsidP="00400204">
      <w:pPr>
        <w:spacing w:before="0"/>
        <w:jc w:val="right"/>
      </w:pPr>
      <w:r w:rsidRPr="00295A62">
        <w:t>Source: Commission analysis</w:t>
      </w:r>
      <w:r>
        <w:t>.</w:t>
      </w:r>
    </w:p>
    <w:p w14:paraId="26678D3E" w14:textId="77777777" w:rsidR="00C95EB7" w:rsidRPr="00C95EB7" w:rsidRDefault="00C95EB7" w:rsidP="00C95EB7"/>
    <w:p w14:paraId="7D1C4932" w14:textId="4BFC555C" w:rsidR="008D376E" w:rsidRDefault="00DD395B" w:rsidP="008D376E">
      <w:pPr>
        <w:pStyle w:val="Heading2"/>
      </w:pPr>
      <w:bookmarkStart w:id="103" w:name="_Toc62650263"/>
      <w:bookmarkEnd w:id="78"/>
      <w:bookmarkEnd w:id="79"/>
      <w:bookmarkEnd w:id="80"/>
      <w:r>
        <w:lastRenderedPageBreak/>
        <w:t xml:space="preserve">3.6 </w:t>
      </w:r>
      <w:r w:rsidR="00E86F1A">
        <w:t>Creating a path to 2035</w:t>
      </w:r>
      <w:bookmarkEnd w:id="103"/>
    </w:p>
    <w:p w14:paraId="4E82048F" w14:textId="1F238298" w:rsidR="2351F919" w:rsidRDefault="2351F919">
      <w:r>
        <w:t>To arrive at our proposed emissions budgets</w:t>
      </w:r>
      <w:r w:rsidR="002059F4">
        <w:t>,</w:t>
      </w:r>
      <w:r>
        <w:t xml:space="preserve"> we have created a path to 2035</w:t>
      </w:r>
      <w:r w:rsidR="4C8881C1">
        <w:t>. This was developed</w:t>
      </w:r>
      <w:r>
        <w:t xml:space="preserve"> by looking at all the available options for reducing emissions, their </w:t>
      </w:r>
      <w:r w:rsidR="009E7641">
        <w:t>poss</w:t>
      </w:r>
      <w:r>
        <w:t xml:space="preserve">ible deployment in the next 15 years and whether this would put Aotearoa on a path to meet the </w:t>
      </w:r>
      <w:r w:rsidR="00D046C8">
        <w:t>domestic</w:t>
      </w:r>
      <w:r>
        <w:t xml:space="preserve"> 2030 and 2050 targets.</w:t>
      </w:r>
    </w:p>
    <w:p w14:paraId="22CC4A6A" w14:textId="217FE5B5" w:rsidR="008D376E" w:rsidRDefault="008D376E" w:rsidP="008D376E">
      <w:r>
        <w:t xml:space="preserve">There is uncertainty around how fast technology </w:t>
      </w:r>
      <w:r w:rsidR="726953DE">
        <w:t>will</w:t>
      </w:r>
      <w:r>
        <w:t xml:space="preserve"> develop and how behaviours could change in the next 15 years. We would like to see Aotearoa being ambitious in reducing emissions. However, it is not prudent to propose emissions budgets that could only be met if new technologies were developed and deployed. Doing so would undermine the purpose of emissions budgets to set a credible path for medium-term emissions reductions. </w:t>
      </w:r>
    </w:p>
    <w:p w14:paraId="65C5B8A9" w14:textId="38C7DD7C" w:rsidR="008D376E" w:rsidRDefault="008D376E" w:rsidP="008D376E">
      <w:r>
        <w:t xml:space="preserve">The path that we illustrate </w:t>
      </w:r>
      <w:r w:rsidR="00853D42">
        <w:t>below</w:t>
      </w:r>
      <w:r>
        <w:t xml:space="preserve"> shows one way in which our proposed emissions budgets could be met. There are alternative paths that would also deliver our proposed emissions budgets. </w:t>
      </w:r>
      <w:r w:rsidR="00FD16A0">
        <w:t>However, t</w:t>
      </w:r>
      <w:r w:rsidR="009F1661">
        <w:t xml:space="preserve">his path provides a balanced portfolio of actions across </w:t>
      </w:r>
      <w:r w:rsidR="00FD16A0">
        <w:t>the economy</w:t>
      </w:r>
      <w:r w:rsidR="000A507E">
        <w:t xml:space="preserve"> </w:t>
      </w:r>
      <w:r w:rsidR="00B07ADC">
        <w:t xml:space="preserve">that would set Aotearoa up to achieve and sustain its </w:t>
      </w:r>
      <w:r w:rsidR="00BF4000">
        <w:t xml:space="preserve">2050 </w:t>
      </w:r>
      <w:r w:rsidR="00B07ADC">
        <w:t>emissions targets</w:t>
      </w:r>
      <w:r w:rsidR="00FD16A0">
        <w:t xml:space="preserve">. </w:t>
      </w:r>
      <w:r>
        <w:t xml:space="preserve">This is in line with our principle to create options and keep </w:t>
      </w:r>
      <w:r w:rsidR="00902064">
        <w:t>them</w:t>
      </w:r>
      <w:r>
        <w:t xml:space="preserve"> open for as long as possible. Doing this allows actions in some areas to be increased if actions in other areas were slower than expected.</w:t>
      </w:r>
    </w:p>
    <w:p w14:paraId="0895387B" w14:textId="5EE73632" w:rsidR="00671CD6" w:rsidRPr="005D68C8" w:rsidRDefault="00ED2B50" w:rsidP="00ED2B50">
      <w:pPr>
        <w:pStyle w:val="Heading2"/>
      </w:pPr>
      <w:bookmarkStart w:id="104" w:name="_Toc58840905"/>
      <w:bookmarkStart w:id="105" w:name="_Toc58857579"/>
      <w:bookmarkStart w:id="106" w:name="_Toc61448637"/>
      <w:bookmarkStart w:id="107" w:name="_Toc62650264"/>
      <w:r>
        <w:t xml:space="preserve">3.7 </w:t>
      </w:r>
      <w:r w:rsidR="00671CD6">
        <w:t>Summary of our path</w:t>
      </w:r>
      <w:bookmarkEnd w:id="104"/>
      <w:bookmarkEnd w:id="105"/>
      <w:bookmarkEnd w:id="106"/>
      <w:bookmarkEnd w:id="107"/>
    </w:p>
    <w:p w14:paraId="403E14E4" w14:textId="19313E51" w:rsidR="00E80F9F" w:rsidRDefault="00464C16" w:rsidP="00E80F9F">
      <w:r>
        <w:t>Table 3.1</w:t>
      </w:r>
      <w:r w:rsidR="00E80F9F">
        <w:t xml:space="preserve"> below provides a summary of key actions in our path across the first three budget periods. In the following section we give a more detailed description of the changes that would </w:t>
      </w:r>
      <w:r w:rsidR="00E80F9F" w:rsidRPr="00394880">
        <w:t>happen within each sector</w:t>
      </w:r>
      <w:r w:rsidR="00E80F9F">
        <w:t xml:space="preserve">. </w:t>
      </w:r>
    </w:p>
    <w:p w14:paraId="28B43650" w14:textId="1EE8FF85" w:rsidR="00E80F9F" w:rsidRDefault="00E80F9F" w:rsidP="00E80F9F">
      <w:r>
        <w:t xml:space="preserve">In </w:t>
      </w:r>
      <w:r w:rsidRPr="00394880">
        <w:t>relation to our</w:t>
      </w:r>
      <w:r>
        <w:t xml:space="preserve"> long-term</w:t>
      </w:r>
      <w:r w:rsidRPr="00394880">
        <w:t xml:space="preserve"> scenarios described in the previous section, our path would see reductions in long-lived gas emissions near the most ambitious end of the range (</w:t>
      </w:r>
      <w:r w:rsidR="00802591">
        <w:rPr>
          <w:noProof/>
        </w:rPr>
        <w:t>Figure 3.7</w:t>
      </w:r>
      <w:r>
        <w:t>). Net long-lived gas emissions would fall by 33% by 2030 and 64% by 2035 compared to 2018. Emissions reductions would mostly come from road transport and heat, industry and power, with gross carbon dioxide emissions roughly halving by 2035 (</w:t>
      </w:r>
      <w:r w:rsidR="00197DBB">
        <w:rPr>
          <w:noProof/>
        </w:rPr>
        <w:t>Figure 3.9</w:t>
      </w:r>
      <w:r>
        <w:t xml:space="preserve">). This path would set Aotearoa up to achieve net zero long-lived gas emissions in the early 2040s. </w:t>
      </w:r>
      <w:r w:rsidR="00577D5B">
        <w:t xml:space="preserve">If this was chosen, </w:t>
      </w:r>
      <w:r w:rsidR="00D10D68">
        <w:t xml:space="preserve">Aotearoa </w:t>
      </w:r>
      <w:r w:rsidR="005C7B6E">
        <w:t xml:space="preserve">would be able </w:t>
      </w:r>
      <w:r w:rsidR="00D10D68">
        <w:t xml:space="preserve">to meet a net zero long-lived greenhouse gas target </w:t>
      </w:r>
      <w:r w:rsidR="00577D5B">
        <w:t>by 2050 that includes its share of international aviation and shipping.</w:t>
      </w:r>
    </w:p>
    <w:p w14:paraId="4581B676" w14:textId="4DE7303B" w:rsidR="00671CD6" w:rsidRDefault="00E80F9F" w:rsidP="00197DBB">
      <w:r>
        <w:t>For biogenic methane, our conservative approach to new technologies means that we have not assumed any adoption of a methane inhibitor or other methane reducing technologies that are not already available. Because of this, our path sees biogenic methane emissions towards the high end of the scenario range</w:t>
      </w:r>
      <w:r w:rsidR="00AB7A96">
        <w:t xml:space="preserve"> as all scenarios assumed some adoption of new technologies</w:t>
      </w:r>
      <w:r w:rsidR="00A77D54">
        <w:t xml:space="preserve"> (</w:t>
      </w:r>
      <w:r w:rsidR="00197DBB">
        <w:t>Figure 3.8</w:t>
      </w:r>
      <w:r w:rsidR="00A77D54">
        <w:t>)</w:t>
      </w:r>
      <w:r>
        <w:t xml:space="preserve">. </w:t>
      </w:r>
      <w:r w:rsidR="00AB7A96">
        <w:t>O</w:t>
      </w:r>
      <w:r>
        <w:t>ur path would push hard on driving changes to low emissions farm practices, alongside strong action to reduce methane emissions from landfills.</w:t>
      </w:r>
    </w:p>
    <w:p w14:paraId="6A3F7690" w14:textId="4364C300" w:rsidR="00671CD6" w:rsidRDefault="00671CD6">
      <w:pPr>
        <w:spacing w:before="0" w:after="160"/>
        <w:rPr>
          <w:i/>
          <w:iCs/>
          <w:color w:val="44546A" w:themeColor="text2"/>
        </w:rPr>
      </w:pPr>
      <w:r>
        <w:br w:type="page"/>
      </w:r>
    </w:p>
    <w:p w14:paraId="1C41A4C3" w14:textId="11306BE4" w:rsidR="00671CD6" w:rsidRPr="00BA1C06" w:rsidRDefault="00671CD6" w:rsidP="00B86C22">
      <w:pPr>
        <w:pStyle w:val="Caption"/>
        <w:rPr>
          <w:i w:val="0"/>
          <w:iCs w:val="0"/>
        </w:rPr>
      </w:pPr>
      <w:bookmarkStart w:id="108" w:name="_Ref58833835"/>
      <w:r>
        <w:lastRenderedPageBreak/>
        <w:t xml:space="preserve">Table </w:t>
      </w:r>
      <w:bookmarkEnd w:id="108"/>
      <w:r w:rsidR="003C6877">
        <w:t>3.1</w:t>
      </w:r>
      <w:r>
        <w:t>: K</w:t>
      </w:r>
      <w:r w:rsidRPr="00DE1EE2">
        <w:t>ey transitions along our path</w:t>
      </w:r>
      <w:r>
        <w:t>.</w:t>
      </w:r>
    </w:p>
    <w:tbl>
      <w:tblPr>
        <w:tblStyle w:val="GridTable7Colorful-Accent5"/>
        <w:tblW w:w="9356" w:type="dxa"/>
        <w:tblInd w:w="-142" w:type="dxa"/>
        <w:tblLayout w:type="fixed"/>
        <w:tblLook w:val="04A0" w:firstRow="1" w:lastRow="0" w:firstColumn="1" w:lastColumn="0" w:noHBand="0" w:noVBand="1"/>
      </w:tblPr>
      <w:tblGrid>
        <w:gridCol w:w="709"/>
        <w:gridCol w:w="1701"/>
        <w:gridCol w:w="2268"/>
        <w:gridCol w:w="2268"/>
        <w:gridCol w:w="2410"/>
      </w:tblGrid>
      <w:tr w:rsidR="00737312" w14:paraId="1D9CDBE8" w14:textId="77777777" w:rsidTr="002D5D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Pr>
          <w:p w14:paraId="1D5A82CA" w14:textId="77777777" w:rsidR="00671CD6" w:rsidRDefault="00671CD6" w:rsidP="007B3A4E">
            <w:pPr>
              <w:spacing w:before="60"/>
            </w:pPr>
          </w:p>
        </w:tc>
        <w:tc>
          <w:tcPr>
            <w:tcW w:w="0" w:type="dxa"/>
          </w:tcPr>
          <w:p w14:paraId="345850D5" w14:textId="77777777" w:rsidR="00671CD6" w:rsidRDefault="00671CD6" w:rsidP="007B3A4E">
            <w:pPr>
              <w:spacing w:before="60"/>
              <w:cnfStyle w:val="100000000000" w:firstRow="1" w:lastRow="0" w:firstColumn="0" w:lastColumn="0" w:oddVBand="0" w:evenVBand="0" w:oddHBand="0" w:evenHBand="0" w:firstRowFirstColumn="0" w:firstRowLastColumn="0" w:lastRowFirstColumn="0" w:lastRowLastColumn="0"/>
            </w:pPr>
          </w:p>
        </w:tc>
        <w:tc>
          <w:tcPr>
            <w:tcW w:w="0" w:type="dxa"/>
          </w:tcPr>
          <w:p w14:paraId="3B21BFDD" w14:textId="77777777" w:rsidR="00671CD6" w:rsidRPr="00E412A3" w:rsidRDefault="00671CD6" w:rsidP="007B3A4E">
            <w:pPr>
              <w:spacing w:before="60"/>
              <w:jc w:val="center"/>
              <w:cnfStyle w:val="100000000000" w:firstRow="1" w:lastRow="0" w:firstColumn="0" w:lastColumn="0" w:oddVBand="0" w:evenVBand="0" w:oddHBand="0" w:evenHBand="0" w:firstRowFirstColumn="0" w:firstRowLastColumn="0" w:lastRowFirstColumn="0" w:lastRowLastColumn="0"/>
              <w:rPr>
                <w:b w:val="0"/>
              </w:rPr>
            </w:pPr>
            <w:r w:rsidRPr="00E412A3">
              <w:t>Budget 1</w:t>
            </w:r>
          </w:p>
        </w:tc>
        <w:tc>
          <w:tcPr>
            <w:tcW w:w="0" w:type="dxa"/>
          </w:tcPr>
          <w:p w14:paraId="18CA5BE0" w14:textId="77777777" w:rsidR="00671CD6" w:rsidRPr="00415A83" w:rsidRDefault="00671CD6" w:rsidP="007B3A4E">
            <w:pPr>
              <w:spacing w:before="60"/>
              <w:jc w:val="center"/>
              <w:cnfStyle w:val="100000000000" w:firstRow="1" w:lastRow="0" w:firstColumn="0" w:lastColumn="0" w:oddVBand="0" w:evenVBand="0" w:oddHBand="0" w:evenHBand="0" w:firstRowFirstColumn="0" w:firstRowLastColumn="0" w:lastRowFirstColumn="0" w:lastRowLastColumn="0"/>
              <w:rPr>
                <w:b w:val="0"/>
              </w:rPr>
            </w:pPr>
            <w:r w:rsidRPr="00E412A3">
              <w:t>Budget 2</w:t>
            </w:r>
          </w:p>
        </w:tc>
        <w:tc>
          <w:tcPr>
            <w:tcW w:w="2410" w:type="dxa"/>
          </w:tcPr>
          <w:p w14:paraId="26336B01" w14:textId="77777777" w:rsidR="00671CD6" w:rsidRPr="00415A83" w:rsidRDefault="00671CD6" w:rsidP="007B3A4E">
            <w:pPr>
              <w:spacing w:before="60"/>
              <w:jc w:val="center"/>
              <w:cnfStyle w:val="100000000000" w:firstRow="1" w:lastRow="0" w:firstColumn="0" w:lastColumn="0" w:oddVBand="0" w:evenVBand="0" w:oddHBand="0" w:evenHBand="0" w:firstRowFirstColumn="0" w:firstRowLastColumn="0" w:lastRowFirstColumn="0" w:lastRowLastColumn="0"/>
              <w:rPr>
                <w:b w:val="0"/>
              </w:rPr>
            </w:pPr>
            <w:r w:rsidRPr="00E412A3">
              <w:t>Budget 3</w:t>
            </w:r>
          </w:p>
        </w:tc>
      </w:tr>
      <w:tr w:rsidR="002A334F" w14:paraId="37FDD021" w14:textId="77777777" w:rsidTr="002D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14:paraId="25AD2541" w14:textId="77777777" w:rsidR="00671CD6" w:rsidRPr="00415A83" w:rsidRDefault="00671CD6" w:rsidP="00400204">
            <w:pPr>
              <w:spacing w:before="0" w:after="0"/>
              <w:ind w:left="113" w:right="113"/>
              <w:jc w:val="center"/>
              <w:rPr>
                <w:b/>
              </w:rPr>
            </w:pPr>
            <w:r w:rsidRPr="00415A83">
              <w:rPr>
                <w:b/>
              </w:rPr>
              <w:t>Transport</w:t>
            </w:r>
          </w:p>
        </w:tc>
        <w:tc>
          <w:tcPr>
            <w:tcW w:w="1701" w:type="dxa"/>
          </w:tcPr>
          <w:p w14:paraId="7E7AFD82" w14:textId="77777777" w:rsidR="00671CD6" w:rsidRPr="00415A83" w:rsidRDefault="00671CD6" w:rsidP="007B3A4E">
            <w:pPr>
              <w:spacing w:before="60"/>
              <w:cnfStyle w:val="000000100000" w:firstRow="0" w:lastRow="0" w:firstColumn="0" w:lastColumn="0" w:oddVBand="0" w:evenVBand="0" w:oddHBand="1" w:evenHBand="0" w:firstRowFirstColumn="0" w:firstRowLastColumn="0" w:lastRowFirstColumn="0" w:lastRowLastColumn="0"/>
              <w:rPr>
                <w:i/>
              </w:rPr>
            </w:pPr>
            <w:r w:rsidRPr="00415A83">
              <w:rPr>
                <w:i/>
              </w:rPr>
              <w:t>Road transport</w:t>
            </w:r>
          </w:p>
        </w:tc>
        <w:tc>
          <w:tcPr>
            <w:tcW w:w="4536" w:type="dxa"/>
            <w:gridSpan w:val="2"/>
          </w:tcPr>
          <w:p w14:paraId="486C9F8E" w14:textId="77777777" w:rsidR="00332D5E" w:rsidRDefault="00332D5E" w:rsidP="007B3A4E">
            <w:pPr>
              <w:spacing w:before="60"/>
              <w:cnfStyle w:val="000000100000" w:firstRow="0" w:lastRow="0" w:firstColumn="0" w:lastColumn="0" w:oddVBand="0" w:evenVBand="0" w:oddHBand="1" w:evenHBand="0" w:firstRowFirstColumn="0" w:firstRowLastColumn="0" w:lastRowFirstColumn="0" w:lastRowLastColumn="0"/>
            </w:pPr>
            <w:r>
              <w:t xml:space="preserve">Accelerate EV uptake </w:t>
            </w:r>
          </w:p>
          <w:p w14:paraId="4F5C6EB2" w14:textId="37965573" w:rsidR="00671CD6" w:rsidRDefault="00671CD6" w:rsidP="007B3A4E">
            <w:pPr>
              <w:spacing w:before="60"/>
              <w:cnfStyle w:val="000000100000" w:firstRow="0" w:lastRow="0" w:firstColumn="0" w:lastColumn="0" w:oddVBand="0" w:evenVBand="0" w:oddHBand="1" w:evenHBand="0" w:firstRowFirstColumn="0" w:firstRowLastColumn="0" w:lastRowFirstColumn="0" w:lastRowLastColumn="0"/>
            </w:pPr>
            <w:r>
              <w:t>Improve average efficiency of new ICE vehicles</w:t>
            </w:r>
          </w:p>
          <w:p w14:paraId="280F6FEB" w14:textId="29542182" w:rsidR="00671CD6" w:rsidRDefault="00671CD6" w:rsidP="007B3A4E">
            <w:pPr>
              <w:spacing w:before="60"/>
              <w:cnfStyle w:val="000000100000" w:firstRow="0" w:lastRow="0" w:firstColumn="0" w:lastColumn="0" w:oddVBand="0" w:evenVBand="0" w:oddHBand="1" w:evenHBand="0" w:firstRowFirstColumn="0" w:firstRowLastColumn="0" w:lastRowFirstColumn="0" w:lastRowLastColumn="0"/>
            </w:pPr>
          </w:p>
        </w:tc>
        <w:tc>
          <w:tcPr>
            <w:tcW w:w="2410" w:type="dxa"/>
          </w:tcPr>
          <w:p w14:paraId="73454842" w14:textId="6B9F52A7" w:rsidR="00671CD6" w:rsidRDefault="00671CD6" w:rsidP="007B3A4E">
            <w:pPr>
              <w:spacing w:before="60"/>
              <w:cnfStyle w:val="000000100000" w:firstRow="0" w:lastRow="0" w:firstColumn="0" w:lastColumn="0" w:oddVBand="0" w:evenVBand="0" w:oddHBand="1" w:evenHBand="0" w:firstRowFirstColumn="0" w:firstRowLastColumn="0" w:lastRowFirstColumn="0" w:lastRowLastColumn="0"/>
            </w:pPr>
            <w:r>
              <w:t>Phase out new light ICE vehicles</w:t>
            </w:r>
          </w:p>
          <w:p w14:paraId="43F20D87" w14:textId="77777777" w:rsidR="00671CD6" w:rsidRDefault="00671CD6" w:rsidP="007B3A4E">
            <w:pPr>
              <w:spacing w:before="60"/>
              <w:cnfStyle w:val="000000100000" w:firstRow="0" w:lastRow="0" w:firstColumn="0" w:lastColumn="0" w:oddVBand="0" w:evenVBand="0" w:oddHBand="1" w:evenHBand="0" w:firstRowFirstColumn="0" w:firstRowLastColumn="0" w:lastRowFirstColumn="0" w:lastRowLastColumn="0"/>
            </w:pPr>
            <w:r>
              <w:t>Electrify medium and heavy trucks</w:t>
            </w:r>
          </w:p>
        </w:tc>
      </w:tr>
      <w:tr w:rsidR="009E41BB" w14:paraId="55BC47F3" w14:textId="77777777" w:rsidTr="002D5DEA">
        <w:tc>
          <w:tcPr>
            <w:cnfStyle w:val="001000000000" w:firstRow="0" w:lastRow="0" w:firstColumn="1" w:lastColumn="0" w:oddVBand="0" w:evenVBand="0" w:oddHBand="0" w:evenHBand="0" w:firstRowFirstColumn="0" w:firstRowLastColumn="0" w:lastRowFirstColumn="0" w:lastRowLastColumn="0"/>
            <w:tcW w:w="709" w:type="dxa"/>
            <w:vMerge/>
          </w:tcPr>
          <w:p w14:paraId="1F2664E5" w14:textId="77777777" w:rsidR="00671CD6" w:rsidRPr="00415A83" w:rsidRDefault="00671CD6" w:rsidP="00400204">
            <w:pPr>
              <w:spacing w:before="0" w:after="0"/>
              <w:rPr>
                <w:b/>
              </w:rPr>
            </w:pPr>
          </w:p>
        </w:tc>
        <w:tc>
          <w:tcPr>
            <w:tcW w:w="1701" w:type="dxa"/>
          </w:tcPr>
          <w:p w14:paraId="1EF9760B" w14:textId="77777777" w:rsidR="00671CD6" w:rsidRPr="00415A83" w:rsidRDefault="00671CD6" w:rsidP="007B3A4E">
            <w:pPr>
              <w:spacing w:before="60"/>
              <w:cnfStyle w:val="000000000000" w:firstRow="0" w:lastRow="0" w:firstColumn="0" w:lastColumn="0" w:oddVBand="0" w:evenVBand="0" w:oddHBand="0" w:evenHBand="0" w:firstRowFirstColumn="0" w:firstRowLastColumn="0" w:lastRowFirstColumn="0" w:lastRowLastColumn="0"/>
              <w:rPr>
                <w:i/>
              </w:rPr>
            </w:pPr>
            <w:r w:rsidRPr="00415A83">
              <w:rPr>
                <w:i/>
              </w:rPr>
              <w:t>Reducing travel demand</w:t>
            </w:r>
          </w:p>
        </w:tc>
        <w:tc>
          <w:tcPr>
            <w:tcW w:w="6946" w:type="dxa"/>
            <w:gridSpan w:val="3"/>
          </w:tcPr>
          <w:p w14:paraId="63323718" w14:textId="77777777" w:rsidR="00671CD6" w:rsidRDefault="00671CD6" w:rsidP="007B3A4E">
            <w:pPr>
              <w:spacing w:before="60"/>
              <w:cnfStyle w:val="000000000000" w:firstRow="0" w:lastRow="0" w:firstColumn="0" w:lastColumn="0" w:oddVBand="0" w:evenVBand="0" w:oddHBand="0" w:evenHBand="0" w:firstRowFirstColumn="0" w:firstRowLastColumn="0" w:lastRowFirstColumn="0" w:lastRowLastColumn="0"/>
            </w:pPr>
            <w:r>
              <w:t>Encourage remote working for those who can</w:t>
            </w:r>
          </w:p>
          <w:p w14:paraId="18788F47" w14:textId="77777777" w:rsidR="00671CD6" w:rsidRDefault="00671CD6" w:rsidP="007B3A4E">
            <w:pPr>
              <w:spacing w:before="60"/>
              <w:cnfStyle w:val="000000000000" w:firstRow="0" w:lastRow="0" w:firstColumn="0" w:lastColumn="0" w:oddVBand="0" w:evenVBand="0" w:oddHBand="0" w:evenHBand="0" w:firstRowFirstColumn="0" w:firstRowLastColumn="0" w:lastRowFirstColumn="0" w:lastRowLastColumn="0"/>
            </w:pPr>
            <w:r>
              <w:t>Encourage switching to walking, cycling and public transport</w:t>
            </w:r>
          </w:p>
          <w:p w14:paraId="641D5E6C" w14:textId="77777777" w:rsidR="00671CD6" w:rsidRDefault="00671CD6" w:rsidP="007B3A4E">
            <w:pPr>
              <w:spacing w:before="60"/>
              <w:cnfStyle w:val="000000000000" w:firstRow="0" w:lastRow="0" w:firstColumn="0" w:lastColumn="0" w:oddVBand="0" w:evenVBand="0" w:oddHBand="0" w:evenHBand="0" w:firstRowFirstColumn="0" w:firstRowLastColumn="0" w:lastRowFirstColumn="0" w:lastRowLastColumn="0"/>
            </w:pPr>
          </w:p>
        </w:tc>
      </w:tr>
      <w:tr w:rsidR="002A334F" w14:paraId="293E2441" w14:textId="77777777" w:rsidTr="002D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Pr>
          <w:p w14:paraId="332112A4" w14:textId="77777777" w:rsidR="00671CD6" w:rsidRPr="00415A83" w:rsidRDefault="00671CD6" w:rsidP="00400204">
            <w:pPr>
              <w:spacing w:before="0" w:after="0"/>
              <w:rPr>
                <w:b/>
              </w:rPr>
            </w:pPr>
          </w:p>
        </w:tc>
        <w:tc>
          <w:tcPr>
            <w:tcW w:w="1701" w:type="dxa"/>
          </w:tcPr>
          <w:p w14:paraId="16D4DD7F" w14:textId="77777777" w:rsidR="00671CD6" w:rsidRPr="00415A83" w:rsidRDefault="00671CD6" w:rsidP="007B3A4E">
            <w:pPr>
              <w:spacing w:before="60"/>
              <w:cnfStyle w:val="000000100000" w:firstRow="0" w:lastRow="0" w:firstColumn="0" w:lastColumn="0" w:oddVBand="0" w:evenVBand="0" w:oddHBand="1" w:evenHBand="0" w:firstRowFirstColumn="0" w:firstRowLastColumn="0" w:lastRowFirstColumn="0" w:lastRowLastColumn="0"/>
              <w:rPr>
                <w:i/>
              </w:rPr>
            </w:pPr>
            <w:r w:rsidRPr="00415A83">
              <w:rPr>
                <w:i/>
              </w:rPr>
              <w:t>Non-road transport</w:t>
            </w:r>
          </w:p>
        </w:tc>
        <w:tc>
          <w:tcPr>
            <w:tcW w:w="2268" w:type="dxa"/>
          </w:tcPr>
          <w:p w14:paraId="7F420249" w14:textId="77777777" w:rsidR="00671CD6" w:rsidRDefault="00671CD6" w:rsidP="007B3A4E">
            <w:pPr>
              <w:spacing w:before="60"/>
              <w:cnfStyle w:val="000000100000" w:firstRow="0" w:lastRow="0" w:firstColumn="0" w:lastColumn="0" w:oddVBand="0" w:evenVBand="0" w:oddHBand="1" w:evenHBand="0" w:firstRowFirstColumn="0" w:firstRowLastColumn="0" w:lastRowFirstColumn="0" w:lastRowLastColumn="0"/>
            </w:pPr>
            <w:r>
              <w:t>Electrification of rail</w:t>
            </w:r>
          </w:p>
        </w:tc>
        <w:tc>
          <w:tcPr>
            <w:tcW w:w="4678" w:type="dxa"/>
            <w:gridSpan w:val="2"/>
          </w:tcPr>
          <w:p w14:paraId="225EB0B8" w14:textId="1D58FC8A" w:rsidR="00671CD6" w:rsidRDefault="00671CD6" w:rsidP="007B3A4E">
            <w:pPr>
              <w:spacing w:before="60"/>
              <w:cnfStyle w:val="000000100000" w:firstRow="0" w:lastRow="0" w:firstColumn="0" w:lastColumn="0" w:oddVBand="0" w:evenVBand="0" w:oddHBand="1" w:evenHBand="0" w:firstRowFirstColumn="0" w:firstRowLastColumn="0" w:lastRowFirstColumn="0" w:lastRowLastColumn="0"/>
            </w:pPr>
            <w:r>
              <w:t>Biofuel blending</w:t>
            </w:r>
          </w:p>
          <w:p w14:paraId="25AE429C" w14:textId="77777777" w:rsidR="00671CD6" w:rsidRDefault="00671CD6" w:rsidP="007B3A4E">
            <w:pPr>
              <w:spacing w:before="60"/>
              <w:cnfStyle w:val="000000100000" w:firstRow="0" w:lastRow="0" w:firstColumn="0" w:lastColumn="0" w:oddVBand="0" w:evenVBand="0" w:oddHBand="1" w:evenHBand="0" w:firstRowFirstColumn="0" w:firstRowLastColumn="0" w:lastRowFirstColumn="0" w:lastRowLastColumn="0"/>
            </w:pPr>
            <w:r>
              <w:t>Start electrification of ferries and costal shipping</w:t>
            </w:r>
          </w:p>
        </w:tc>
      </w:tr>
      <w:tr w:rsidR="00840158" w14:paraId="4FDE0F95" w14:textId="77777777" w:rsidTr="002D5DEA">
        <w:trPr>
          <w:trHeight w:val="467"/>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14:paraId="50019353" w14:textId="77777777" w:rsidR="00671CD6" w:rsidRPr="00415A83" w:rsidRDefault="00671CD6" w:rsidP="00400204">
            <w:pPr>
              <w:spacing w:before="0" w:after="0"/>
              <w:ind w:left="113" w:right="113"/>
              <w:jc w:val="center"/>
              <w:rPr>
                <w:b/>
              </w:rPr>
            </w:pPr>
            <w:r w:rsidRPr="00415A83">
              <w:rPr>
                <w:b/>
              </w:rPr>
              <w:t>Heat, Industry and Power</w:t>
            </w:r>
          </w:p>
        </w:tc>
        <w:tc>
          <w:tcPr>
            <w:tcW w:w="1701" w:type="dxa"/>
          </w:tcPr>
          <w:p w14:paraId="677DBC74" w14:textId="77777777" w:rsidR="00671CD6" w:rsidRPr="00415A83" w:rsidRDefault="00671CD6" w:rsidP="007B3A4E">
            <w:pPr>
              <w:spacing w:before="60"/>
              <w:cnfStyle w:val="000000000000" w:firstRow="0" w:lastRow="0" w:firstColumn="0" w:lastColumn="0" w:oddVBand="0" w:evenVBand="0" w:oddHBand="0" w:evenHBand="0" w:firstRowFirstColumn="0" w:firstRowLastColumn="0" w:lastRowFirstColumn="0" w:lastRowLastColumn="0"/>
              <w:rPr>
                <w:i/>
              </w:rPr>
            </w:pPr>
            <w:r w:rsidRPr="00415A83">
              <w:rPr>
                <w:i/>
              </w:rPr>
              <w:t>Buildings</w:t>
            </w:r>
          </w:p>
        </w:tc>
        <w:tc>
          <w:tcPr>
            <w:tcW w:w="4536" w:type="dxa"/>
            <w:gridSpan w:val="2"/>
          </w:tcPr>
          <w:p w14:paraId="4CE4EA56" w14:textId="77777777" w:rsidR="0032536D" w:rsidRDefault="00671CD6" w:rsidP="007B3A4E">
            <w:pPr>
              <w:spacing w:before="60"/>
              <w:cnfStyle w:val="000000000000" w:firstRow="0" w:lastRow="0" w:firstColumn="0" w:lastColumn="0" w:oddVBand="0" w:evenVBand="0" w:oddHBand="0" w:evenHBand="0" w:firstRowFirstColumn="0" w:firstRowLastColumn="0" w:lastRowFirstColumn="0" w:lastRowLastColumn="0"/>
            </w:pPr>
            <w:r>
              <w:t>No new gas heating systems installed after 2025</w:t>
            </w:r>
          </w:p>
          <w:p w14:paraId="5DB39E28" w14:textId="5A32B97E" w:rsidR="00671CD6" w:rsidRDefault="00671CD6" w:rsidP="007B3A4E">
            <w:pPr>
              <w:spacing w:before="60"/>
              <w:cnfStyle w:val="000000000000" w:firstRow="0" w:lastRow="0" w:firstColumn="0" w:lastColumn="0" w:oddVBand="0" w:evenVBand="0" w:oddHBand="0" w:evenHBand="0" w:firstRowFirstColumn="0" w:firstRowLastColumn="0" w:lastRowFirstColumn="0" w:lastRowLastColumn="0"/>
            </w:pPr>
            <w:r>
              <w:t xml:space="preserve">Improve thermal efficiency </w:t>
            </w:r>
          </w:p>
        </w:tc>
        <w:tc>
          <w:tcPr>
            <w:tcW w:w="2410" w:type="dxa"/>
          </w:tcPr>
          <w:p w14:paraId="4EC75393" w14:textId="77777777" w:rsidR="00671CD6" w:rsidRDefault="00671CD6" w:rsidP="007B3A4E">
            <w:pPr>
              <w:spacing w:before="60"/>
              <w:cnfStyle w:val="000000000000" w:firstRow="0" w:lastRow="0" w:firstColumn="0" w:lastColumn="0" w:oddVBand="0" w:evenVBand="0" w:oddHBand="0" w:evenHBand="0" w:firstRowFirstColumn="0" w:firstRowLastColumn="0" w:lastRowFirstColumn="0" w:lastRowLastColumn="0"/>
            </w:pPr>
            <w:r>
              <w:t>Start phase out of gas in buildings</w:t>
            </w:r>
          </w:p>
        </w:tc>
      </w:tr>
      <w:tr w:rsidR="00737312" w14:paraId="32C31B7A" w14:textId="77777777" w:rsidTr="002D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1508B786" w14:textId="77777777" w:rsidR="00671CD6" w:rsidRPr="00415A83" w:rsidRDefault="00671CD6" w:rsidP="00400204">
            <w:pPr>
              <w:spacing w:before="0" w:after="0"/>
              <w:rPr>
                <w:b/>
              </w:rPr>
            </w:pPr>
          </w:p>
        </w:tc>
        <w:tc>
          <w:tcPr>
            <w:tcW w:w="0" w:type="dxa"/>
          </w:tcPr>
          <w:p w14:paraId="0A7554D8" w14:textId="77777777" w:rsidR="00671CD6" w:rsidRPr="00415A83" w:rsidRDefault="00671CD6" w:rsidP="007B3A4E">
            <w:pPr>
              <w:spacing w:before="60"/>
              <w:cnfStyle w:val="000000100000" w:firstRow="0" w:lastRow="0" w:firstColumn="0" w:lastColumn="0" w:oddVBand="0" w:evenVBand="0" w:oddHBand="1" w:evenHBand="0" w:firstRowFirstColumn="0" w:firstRowLastColumn="0" w:lastRowFirstColumn="0" w:lastRowLastColumn="0"/>
              <w:rPr>
                <w:i/>
              </w:rPr>
            </w:pPr>
            <w:r w:rsidRPr="00415A83">
              <w:rPr>
                <w:i/>
              </w:rPr>
              <w:t>Electricity</w:t>
            </w:r>
          </w:p>
        </w:tc>
        <w:tc>
          <w:tcPr>
            <w:tcW w:w="0" w:type="dxa"/>
          </w:tcPr>
          <w:p w14:paraId="524488AE" w14:textId="77777777" w:rsidR="00671CD6" w:rsidRDefault="00671CD6" w:rsidP="007B3A4E">
            <w:pPr>
              <w:spacing w:before="60"/>
              <w:cnfStyle w:val="000000100000" w:firstRow="0" w:lastRow="0" w:firstColumn="0" w:lastColumn="0" w:oddVBand="0" w:evenVBand="0" w:oddHBand="1" w:evenHBand="0" w:firstRowFirstColumn="0" w:firstRowLastColumn="0" w:lastRowFirstColumn="0" w:lastRowLastColumn="0"/>
            </w:pPr>
            <w:r>
              <w:t>Phase out fossil base-load generation</w:t>
            </w:r>
          </w:p>
        </w:tc>
        <w:tc>
          <w:tcPr>
            <w:tcW w:w="0" w:type="dxa"/>
          </w:tcPr>
          <w:p w14:paraId="2A3C6D7A" w14:textId="77777777" w:rsidR="00671CD6" w:rsidRDefault="00671CD6" w:rsidP="007B3A4E">
            <w:pPr>
              <w:spacing w:before="60"/>
              <w:cnfStyle w:val="000000100000" w:firstRow="0" w:lastRow="0" w:firstColumn="0" w:lastColumn="0" w:oddVBand="0" w:evenVBand="0" w:oddHBand="1" w:evenHBand="0" w:firstRowFirstColumn="0" w:firstRowLastColumn="0" w:lastRowFirstColumn="0" w:lastRowLastColumn="0"/>
            </w:pPr>
            <w:r>
              <w:t>Transmission and distribution grid upgrades</w:t>
            </w:r>
          </w:p>
          <w:p w14:paraId="6B40BB3B" w14:textId="77777777" w:rsidR="00671CD6" w:rsidRDefault="00671CD6" w:rsidP="007B3A4E">
            <w:pPr>
              <w:spacing w:before="60"/>
              <w:cnfStyle w:val="000000100000" w:firstRow="0" w:lastRow="0" w:firstColumn="0" w:lastColumn="0" w:oddVBand="0" w:evenVBand="0" w:oddHBand="1" w:evenHBand="0" w:firstRowFirstColumn="0" w:firstRowLastColumn="0" w:lastRowFirstColumn="0" w:lastRowLastColumn="0"/>
            </w:pPr>
            <w:r>
              <w:t>Reduce geothermal emissions</w:t>
            </w:r>
          </w:p>
        </w:tc>
        <w:tc>
          <w:tcPr>
            <w:tcW w:w="2410" w:type="dxa"/>
          </w:tcPr>
          <w:p w14:paraId="2D5BC570" w14:textId="77777777" w:rsidR="00671CD6" w:rsidRDefault="00671CD6" w:rsidP="007B3A4E">
            <w:pPr>
              <w:spacing w:before="60"/>
              <w:cnfStyle w:val="000000100000" w:firstRow="0" w:lastRow="0" w:firstColumn="0" w:lastColumn="0" w:oddVBand="0" w:evenVBand="0" w:oddHBand="1" w:evenHBand="0" w:firstRowFirstColumn="0" w:firstRowLastColumn="0" w:lastRowFirstColumn="0" w:lastRowLastColumn="0"/>
            </w:pPr>
            <w:r>
              <w:t>Expand renewable generation base</w:t>
            </w:r>
          </w:p>
          <w:p w14:paraId="34B22F08" w14:textId="77777777" w:rsidR="00671CD6" w:rsidRDefault="00671CD6" w:rsidP="007B3A4E">
            <w:pPr>
              <w:spacing w:before="60"/>
              <w:cnfStyle w:val="000000100000" w:firstRow="0" w:lastRow="0" w:firstColumn="0" w:lastColumn="0" w:oddVBand="0" w:evenVBand="0" w:oddHBand="1" w:evenHBand="0" w:firstRowFirstColumn="0" w:firstRowLastColumn="0" w:lastRowFirstColumn="0" w:lastRowLastColumn="0"/>
            </w:pPr>
            <w:r>
              <w:t>Achieve ~95% renewable generation</w:t>
            </w:r>
          </w:p>
        </w:tc>
      </w:tr>
      <w:tr w:rsidR="00840158" w14:paraId="1ED02F76" w14:textId="77777777" w:rsidTr="002D5DEA">
        <w:tc>
          <w:tcPr>
            <w:cnfStyle w:val="001000000000" w:firstRow="0" w:lastRow="0" w:firstColumn="1" w:lastColumn="0" w:oddVBand="0" w:evenVBand="0" w:oddHBand="0" w:evenHBand="0" w:firstRowFirstColumn="0" w:firstRowLastColumn="0" w:lastRowFirstColumn="0" w:lastRowLastColumn="0"/>
            <w:tcW w:w="709" w:type="dxa"/>
            <w:vMerge/>
          </w:tcPr>
          <w:p w14:paraId="0201DB6F" w14:textId="77777777" w:rsidR="00671CD6" w:rsidRPr="00415A83" w:rsidRDefault="00671CD6" w:rsidP="00400204">
            <w:pPr>
              <w:spacing w:before="0" w:after="0"/>
              <w:rPr>
                <w:b/>
              </w:rPr>
            </w:pPr>
          </w:p>
        </w:tc>
        <w:tc>
          <w:tcPr>
            <w:tcW w:w="1701" w:type="dxa"/>
          </w:tcPr>
          <w:p w14:paraId="1C4BE913" w14:textId="77777777" w:rsidR="00671CD6" w:rsidRPr="00415A83" w:rsidRDefault="00671CD6" w:rsidP="007B3A4E">
            <w:pPr>
              <w:spacing w:before="60"/>
              <w:cnfStyle w:val="000000000000" w:firstRow="0" w:lastRow="0" w:firstColumn="0" w:lastColumn="0" w:oddVBand="0" w:evenVBand="0" w:oddHBand="0" w:evenHBand="0" w:firstRowFirstColumn="0" w:firstRowLastColumn="0" w:lastRowFirstColumn="0" w:lastRowLastColumn="0"/>
              <w:rPr>
                <w:i/>
              </w:rPr>
            </w:pPr>
            <w:r w:rsidRPr="00415A83">
              <w:rPr>
                <w:i/>
              </w:rPr>
              <w:t>Industrial process heat</w:t>
            </w:r>
          </w:p>
        </w:tc>
        <w:tc>
          <w:tcPr>
            <w:tcW w:w="4536" w:type="dxa"/>
            <w:gridSpan w:val="2"/>
          </w:tcPr>
          <w:p w14:paraId="273936C7" w14:textId="77777777" w:rsidR="00671CD6" w:rsidRDefault="00671CD6" w:rsidP="007B3A4E">
            <w:pPr>
              <w:spacing w:before="60"/>
              <w:cnfStyle w:val="000000000000" w:firstRow="0" w:lastRow="0" w:firstColumn="0" w:lastColumn="0" w:oddVBand="0" w:evenVBand="0" w:oddHBand="0" w:evenHBand="0" w:firstRowFirstColumn="0" w:firstRowLastColumn="0" w:lastRowFirstColumn="0" w:lastRowLastColumn="0"/>
            </w:pPr>
            <w:r>
              <w:t xml:space="preserve">Replace coal with biomass and electricity </w:t>
            </w:r>
          </w:p>
        </w:tc>
        <w:tc>
          <w:tcPr>
            <w:tcW w:w="2410" w:type="dxa"/>
          </w:tcPr>
          <w:p w14:paraId="58F7359A" w14:textId="77777777" w:rsidR="00671CD6" w:rsidRDefault="00671CD6" w:rsidP="007B3A4E">
            <w:pPr>
              <w:spacing w:before="60"/>
              <w:cnfStyle w:val="000000000000" w:firstRow="0" w:lastRow="0" w:firstColumn="0" w:lastColumn="0" w:oddVBand="0" w:evenVBand="0" w:oddHBand="0" w:evenHBand="0" w:firstRowFirstColumn="0" w:firstRowLastColumn="0" w:lastRowFirstColumn="0" w:lastRowLastColumn="0"/>
            </w:pPr>
            <w:r>
              <w:t xml:space="preserve">Replace gas with biomass and electricity </w:t>
            </w:r>
          </w:p>
        </w:tc>
      </w:tr>
      <w:tr w:rsidR="00737312" w14:paraId="10991529" w14:textId="77777777" w:rsidTr="002D5DE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dxa"/>
            <w:vMerge w:val="restart"/>
            <w:textDirection w:val="btLr"/>
          </w:tcPr>
          <w:p w14:paraId="33B98587" w14:textId="4C82F7B9" w:rsidR="00671CD6" w:rsidRPr="00415A83" w:rsidRDefault="00671CD6" w:rsidP="00400204">
            <w:pPr>
              <w:spacing w:before="0" w:after="0"/>
              <w:ind w:left="113" w:right="113"/>
              <w:jc w:val="center"/>
              <w:rPr>
                <w:b/>
              </w:rPr>
            </w:pPr>
            <w:r w:rsidRPr="00415A83">
              <w:rPr>
                <w:b/>
              </w:rPr>
              <w:t>Land</w:t>
            </w:r>
          </w:p>
        </w:tc>
        <w:tc>
          <w:tcPr>
            <w:tcW w:w="0" w:type="dxa"/>
          </w:tcPr>
          <w:p w14:paraId="6F4466B4" w14:textId="67F37CC1" w:rsidR="00671CD6" w:rsidRPr="00415A83" w:rsidRDefault="00671CD6" w:rsidP="007B3A4E">
            <w:pPr>
              <w:spacing w:before="60"/>
              <w:cnfStyle w:val="000000100000" w:firstRow="0" w:lastRow="0" w:firstColumn="0" w:lastColumn="0" w:oddVBand="0" w:evenVBand="0" w:oddHBand="1" w:evenHBand="0" w:firstRowFirstColumn="0" w:firstRowLastColumn="0" w:lastRowFirstColumn="0" w:lastRowLastColumn="0"/>
              <w:rPr>
                <w:i/>
              </w:rPr>
            </w:pPr>
            <w:r w:rsidRPr="00415A83">
              <w:rPr>
                <w:i/>
              </w:rPr>
              <w:t>Agriculture</w:t>
            </w:r>
          </w:p>
        </w:tc>
        <w:tc>
          <w:tcPr>
            <w:tcW w:w="0" w:type="dxa"/>
          </w:tcPr>
          <w:p w14:paraId="2E24FF5A" w14:textId="77777777" w:rsidR="00671CD6" w:rsidRDefault="00671CD6" w:rsidP="007B3A4E">
            <w:pPr>
              <w:spacing w:before="60"/>
              <w:cnfStyle w:val="000000100000" w:firstRow="0" w:lastRow="0" w:firstColumn="0" w:lastColumn="0" w:oddVBand="0" w:evenVBand="0" w:oddHBand="1" w:evenHBand="0" w:firstRowFirstColumn="0" w:firstRowLastColumn="0" w:lastRowFirstColumn="0" w:lastRowLastColumn="0"/>
            </w:pPr>
            <w:r>
              <w:t>Adopt low emissions practices on-farm</w:t>
            </w:r>
          </w:p>
        </w:tc>
        <w:tc>
          <w:tcPr>
            <w:tcW w:w="0" w:type="dxa"/>
          </w:tcPr>
          <w:p w14:paraId="5C64F231" w14:textId="1DEECB7D" w:rsidR="00671CD6" w:rsidRDefault="00671CD6" w:rsidP="007B3A4E">
            <w:pPr>
              <w:spacing w:before="60"/>
              <w:cnfStyle w:val="000000100000" w:firstRow="0" w:lastRow="0" w:firstColumn="0" w:lastColumn="0" w:oddVBand="0" w:evenVBand="0" w:oddHBand="1" w:evenHBand="0" w:firstRowFirstColumn="0" w:firstRowLastColumn="0" w:lastRowFirstColumn="0" w:lastRowLastColumn="0"/>
            </w:pPr>
            <w:r>
              <w:t>Adopt low</w:t>
            </w:r>
            <w:r w:rsidR="00765B81">
              <w:t xml:space="preserve"> </w:t>
            </w:r>
            <w:r>
              <w:t>emissions breeding for sheep</w:t>
            </w:r>
          </w:p>
        </w:tc>
        <w:tc>
          <w:tcPr>
            <w:tcW w:w="2410" w:type="dxa"/>
          </w:tcPr>
          <w:p w14:paraId="27AC1B1E" w14:textId="2271A6DC" w:rsidR="00671CD6" w:rsidRDefault="00671CD6" w:rsidP="007B3A4E">
            <w:pPr>
              <w:spacing w:before="60"/>
              <w:cnfStyle w:val="000000100000" w:firstRow="0" w:lastRow="0" w:firstColumn="0" w:lastColumn="0" w:oddVBand="0" w:evenVBand="0" w:oddHBand="1" w:evenHBand="0" w:firstRowFirstColumn="0" w:firstRowLastColumn="0" w:lastRowFirstColumn="0" w:lastRowLastColumn="0"/>
            </w:pPr>
            <w:r>
              <w:t>Encourage the adoption of new low methane technologies when available</w:t>
            </w:r>
          </w:p>
        </w:tc>
      </w:tr>
      <w:tr w:rsidR="009E41BB" w14:paraId="10B9BA2F" w14:textId="77777777" w:rsidTr="002D5DEA">
        <w:trPr>
          <w:trHeight w:val="679"/>
        </w:trPr>
        <w:tc>
          <w:tcPr>
            <w:cnfStyle w:val="001000000000" w:firstRow="0" w:lastRow="0" w:firstColumn="1" w:lastColumn="0" w:oddVBand="0" w:evenVBand="0" w:oddHBand="0" w:evenHBand="0" w:firstRowFirstColumn="0" w:firstRowLastColumn="0" w:lastRowFirstColumn="0" w:lastRowLastColumn="0"/>
            <w:tcW w:w="709" w:type="dxa"/>
            <w:vMerge/>
            <w:textDirection w:val="tbRl"/>
          </w:tcPr>
          <w:p w14:paraId="5BCD6F67" w14:textId="77777777" w:rsidR="00671CD6" w:rsidRPr="00415A83" w:rsidRDefault="00671CD6" w:rsidP="00400204">
            <w:pPr>
              <w:spacing w:before="0" w:after="0"/>
              <w:ind w:left="113" w:right="113"/>
              <w:rPr>
                <w:b/>
              </w:rPr>
            </w:pPr>
          </w:p>
        </w:tc>
        <w:tc>
          <w:tcPr>
            <w:tcW w:w="1701" w:type="dxa"/>
            <w:shd w:val="clear" w:color="auto" w:fill="auto"/>
          </w:tcPr>
          <w:p w14:paraId="7337B462" w14:textId="7D1B16EA" w:rsidR="00671CD6" w:rsidRPr="00415A83" w:rsidRDefault="00671CD6" w:rsidP="007B3A4E">
            <w:pPr>
              <w:spacing w:before="60"/>
              <w:cnfStyle w:val="000000000000" w:firstRow="0" w:lastRow="0" w:firstColumn="0" w:lastColumn="0" w:oddVBand="0" w:evenVBand="0" w:oddHBand="0" w:evenHBand="0" w:firstRowFirstColumn="0" w:firstRowLastColumn="0" w:lastRowFirstColumn="0" w:lastRowLastColumn="0"/>
              <w:rPr>
                <w:i/>
              </w:rPr>
            </w:pPr>
            <w:r w:rsidRPr="00415A83">
              <w:rPr>
                <w:i/>
              </w:rPr>
              <w:t>Native Forest</w:t>
            </w:r>
            <w:r>
              <w:rPr>
                <w:i/>
              </w:rPr>
              <w:t>s</w:t>
            </w:r>
          </w:p>
        </w:tc>
        <w:tc>
          <w:tcPr>
            <w:tcW w:w="4536" w:type="dxa"/>
            <w:gridSpan w:val="2"/>
            <w:shd w:val="clear" w:color="auto" w:fill="auto"/>
          </w:tcPr>
          <w:p w14:paraId="3B0FF802" w14:textId="33310B09" w:rsidR="00671CD6" w:rsidRDefault="00671CD6" w:rsidP="007B3A4E">
            <w:pPr>
              <w:spacing w:before="60"/>
              <w:cnfStyle w:val="000000000000" w:firstRow="0" w:lastRow="0" w:firstColumn="0" w:lastColumn="0" w:oddVBand="0" w:evenVBand="0" w:oddHBand="0" w:evenHBand="0" w:firstRowFirstColumn="0" w:firstRowLastColumn="0" w:lastRowFirstColumn="0" w:lastRowLastColumn="0"/>
            </w:pPr>
            <w:r>
              <w:t>Ramp up establishing new native forests</w:t>
            </w:r>
          </w:p>
        </w:tc>
        <w:tc>
          <w:tcPr>
            <w:tcW w:w="2410" w:type="dxa"/>
            <w:shd w:val="clear" w:color="auto" w:fill="auto"/>
          </w:tcPr>
          <w:p w14:paraId="6EAA277C" w14:textId="77777777" w:rsidR="00671CD6" w:rsidRDefault="00671CD6" w:rsidP="007B3A4E">
            <w:pPr>
              <w:spacing w:before="60"/>
              <w:cnfStyle w:val="000000000000" w:firstRow="0" w:lastRow="0" w:firstColumn="0" w:lastColumn="0" w:oddVBand="0" w:evenVBand="0" w:oddHBand="0" w:evenHBand="0" w:firstRowFirstColumn="0" w:firstRowLastColumn="0" w:lastRowFirstColumn="0" w:lastRowLastColumn="0"/>
            </w:pPr>
            <w:r>
              <w:t>Establish 25,000 hectares per year</w:t>
            </w:r>
          </w:p>
        </w:tc>
      </w:tr>
      <w:tr w:rsidR="002A334F" w14:paraId="52E87392" w14:textId="77777777" w:rsidTr="002D5DE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09" w:type="dxa"/>
            <w:vMerge/>
            <w:textDirection w:val="tbRl"/>
          </w:tcPr>
          <w:p w14:paraId="4028538C" w14:textId="77777777" w:rsidR="00671CD6" w:rsidRPr="00415A83" w:rsidRDefault="00671CD6" w:rsidP="00400204">
            <w:pPr>
              <w:spacing w:before="0" w:after="0"/>
              <w:ind w:left="113" w:right="113"/>
              <w:rPr>
                <w:b/>
              </w:rPr>
            </w:pPr>
          </w:p>
        </w:tc>
        <w:tc>
          <w:tcPr>
            <w:tcW w:w="1701" w:type="dxa"/>
          </w:tcPr>
          <w:p w14:paraId="6619FDB8" w14:textId="134B1CC6" w:rsidR="00671CD6" w:rsidRPr="00415A83" w:rsidRDefault="00671CD6" w:rsidP="007B3A4E">
            <w:pPr>
              <w:spacing w:before="60"/>
              <w:cnfStyle w:val="000000100000" w:firstRow="0" w:lastRow="0" w:firstColumn="0" w:lastColumn="0" w:oddVBand="0" w:evenVBand="0" w:oddHBand="1" w:evenHBand="0" w:firstRowFirstColumn="0" w:firstRowLastColumn="0" w:lastRowFirstColumn="0" w:lastRowLastColumn="0"/>
              <w:rPr>
                <w:i/>
              </w:rPr>
            </w:pPr>
            <w:r w:rsidRPr="00415A83">
              <w:rPr>
                <w:i/>
              </w:rPr>
              <w:t>Exotic Forest</w:t>
            </w:r>
            <w:r>
              <w:rPr>
                <w:i/>
              </w:rPr>
              <w:t>s</w:t>
            </w:r>
          </w:p>
        </w:tc>
        <w:tc>
          <w:tcPr>
            <w:tcW w:w="4536" w:type="dxa"/>
            <w:gridSpan w:val="2"/>
          </w:tcPr>
          <w:p w14:paraId="0E277036" w14:textId="77777777" w:rsidR="00671CD6" w:rsidRDefault="00671CD6" w:rsidP="007B3A4E">
            <w:pPr>
              <w:spacing w:before="60"/>
              <w:cnfStyle w:val="000000100000" w:firstRow="0" w:lastRow="0" w:firstColumn="0" w:lastColumn="0" w:oddVBand="0" w:evenVBand="0" w:oddHBand="1" w:evenHBand="0" w:firstRowFirstColumn="0" w:firstRowLastColumn="0" w:lastRowFirstColumn="0" w:lastRowLastColumn="0"/>
            </w:pPr>
            <w:r>
              <w:t>Average 25,000 hectares per year of new exotic plantation forests</w:t>
            </w:r>
          </w:p>
        </w:tc>
        <w:tc>
          <w:tcPr>
            <w:tcW w:w="2410" w:type="dxa"/>
          </w:tcPr>
          <w:p w14:paraId="1A087E78" w14:textId="439BA4E2" w:rsidR="00671CD6" w:rsidRDefault="00671CD6" w:rsidP="007B3A4E">
            <w:pPr>
              <w:spacing w:before="60"/>
              <w:cnfStyle w:val="000000100000" w:firstRow="0" w:lastRow="0" w:firstColumn="0" w:lastColumn="0" w:oddVBand="0" w:evenVBand="0" w:oddHBand="1" w:evenHBand="0" w:firstRowFirstColumn="0" w:firstRowLastColumn="0" w:lastRowFirstColumn="0" w:lastRowLastColumn="0"/>
            </w:pPr>
            <w:r>
              <w:t>Ramp down planting new exotic plantation forests for carbon storage</w:t>
            </w:r>
          </w:p>
        </w:tc>
      </w:tr>
      <w:tr w:rsidR="009E41BB" w14:paraId="50C8548A" w14:textId="77777777" w:rsidTr="002D5DEA">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14:paraId="3AA687CC" w14:textId="1DD9AD82" w:rsidR="00671CD6" w:rsidRPr="00415A83" w:rsidRDefault="00671CD6" w:rsidP="00400204">
            <w:pPr>
              <w:spacing w:before="0" w:after="0"/>
              <w:ind w:left="113" w:right="113"/>
              <w:jc w:val="center"/>
              <w:rPr>
                <w:b/>
              </w:rPr>
            </w:pPr>
            <w:r>
              <w:rPr>
                <w:b/>
                <w:bCs/>
              </w:rPr>
              <w:t xml:space="preserve">Waste </w:t>
            </w:r>
            <w:r w:rsidR="00FC475B">
              <w:rPr>
                <w:b/>
                <w:bCs/>
              </w:rPr>
              <w:t xml:space="preserve">and </w:t>
            </w:r>
            <w:r w:rsidR="0032536D">
              <w:rPr>
                <w:b/>
                <w:bCs/>
              </w:rPr>
              <w:t>F-gases</w:t>
            </w:r>
          </w:p>
        </w:tc>
        <w:tc>
          <w:tcPr>
            <w:tcW w:w="1701" w:type="dxa"/>
          </w:tcPr>
          <w:p w14:paraId="21B47C32" w14:textId="77777777" w:rsidR="00671CD6" w:rsidRPr="00415A83" w:rsidRDefault="00671CD6" w:rsidP="007B3A4E">
            <w:pPr>
              <w:spacing w:before="60"/>
              <w:cnfStyle w:val="000000000000" w:firstRow="0" w:lastRow="0" w:firstColumn="0" w:lastColumn="0" w:oddVBand="0" w:evenVBand="0" w:oddHBand="0" w:evenHBand="0" w:firstRowFirstColumn="0" w:firstRowLastColumn="0" w:lastRowFirstColumn="0" w:lastRowLastColumn="0"/>
              <w:rPr>
                <w:i/>
              </w:rPr>
            </w:pPr>
            <w:r w:rsidRPr="00415A83">
              <w:rPr>
                <w:i/>
              </w:rPr>
              <w:t>Waste</w:t>
            </w:r>
          </w:p>
        </w:tc>
        <w:tc>
          <w:tcPr>
            <w:tcW w:w="6946" w:type="dxa"/>
            <w:gridSpan w:val="3"/>
          </w:tcPr>
          <w:p w14:paraId="240D50E6" w14:textId="77777777" w:rsidR="00671CD6" w:rsidRDefault="00671CD6" w:rsidP="007B3A4E">
            <w:pPr>
              <w:spacing w:before="60"/>
              <w:cnfStyle w:val="000000000000" w:firstRow="0" w:lastRow="0" w:firstColumn="0" w:lastColumn="0" w:oddVBand="0" w:evenVBand="0" w:oddHBand="0" w:evenHBand="0" w:firstRowFirstColumn="0" w:firstRowLastColumn="0" w:lastRowFirstColumn="0" w:lastRowLastColumn="0"/>
            </w:pPr>
            <w:r>
              <w:t>Divert organic waste from landfill</w:t>
            </w:r>
          </w:p>
          <w:p w14:paraId="2DE54D04" w14:textId="77777777" w:rsidR="00671CD6" w:rsidRDefault="00671CD6" w:rsidP="007B3A4E">
            <w:pPr>
              <w:spacing w:before="60"/>
              <w:cnfStyle w:val="000000000000" w:firstRow="0" w:lastRow="0" w:firstColumn="0" w:lastColumn="0" w:oddVBand="0" w:evenVBand="0" w:oddHBand="0" w:evenHBand="0" w:firstRowFirstColumn="0" w:firstRowLastColumn="0" w:lastRowFirstColumn="0" w:lastRowLastColumn="0"/>
            </w:pPr>
            <w:r>
              <w:t>Improve and extend landfill gas capture</w:t>
            </w:r>
          </w:p>
        </w:tc>
      </w:tr>
      <w:tr w:rsidR="00BB3F69" w14:paraId="55CB50F7" w14:textId="77777777" w:rsidTr="002D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Pr>
          <w:p w14:paraId="306013EA" w14:textId="77777777" w:rsidR="00671CD6" w:rsidRPr="00415A83" w:rsidRDefault="00671CD6" w:rsidP="007B3A4E">
            <w:pPr>
              <w:spacing w:before="60"/>
              <w:rPr>
                <w:b/>
              </w:rPr>
            </w:pPr>
          </w:p>
        </w:tc>
        <w:tc>
          <w:tcPr>
            <w:tcW w:w="1701" w:type="dxa"/>
          </w:tcPr>
          <w:p w14:paraId="70E8D36B" w14:textId="3B28B969" w:rsidR="00671CD6" w:rsidRPr="00415A83" w:rsidRDefault="007B047B" w:rsidP="007B3A4E">
            <w:pPr>
              <w:spacing w:before="60"/>
              <w:cnfStyle w:val="000000100000" w:firstRow="0" w:lastRow="0" w:firstColumn="0" w:lastColumn="0" w:oddVBand="0" w:evenVBand="0" w:oddHBand="1" w:evenHBand="0" w:firstRowFirstColumn="0" w:firstRowLastColumn="0" w:lastRowFirstColumn="0" w:lastRowLastColumn="0"/>
              <w:rPr>
                <w:i/>
              </w:rPr>
            </w:pPr>
            <w:r>
              <w:rPr>
                <w:i/>
              </w:rPr>
              <w:t>H</w:t>
            </w:r>
            <w:r w:rsidR="00765B81">
              <w:rPr>
                <w:i/>
              </w:rPr>
              <w:t>ydro</w:t>
            </w:r>
            <w:r>
              <w:rPr>
                <w:i/>
              </w:rPr>
              <w:t>fluorocarbons (HFC</w:t>
            </w:r>
            <w:r w:rsidR="006C00ED">
              <w:rPr>
                <w:i/>
              </w:rPr>
              <w:t>s</w:t>
            </w:r>
            <w:r>
              <w:rPr>
                <w:i/>
              </w:rPr>
              <w:t>)</w:t>
            </w:r>
          </w:p>
        </w:tc>
        <w:tc>
          <w:tcPr>
            <w:tcW w:w="6946" w:type="dxa"/>
            <w:gridSpan w:val="3"/>
          </w:tcPr>
          <w:p w14:paraId="2F03A0CA" w14:textId="0B1EE44B" w:rsidR="00671CD6" w:rsidRPr="00415A83" w:rsidRDefault="00671CD6" w:rsidP="007B3A4E">
            <w:pPr>
              <w:spacing w:before="60"/>
              <w:cnfStyle w:val="000000100000" w:firstRow="0" w:lastRow="0" w:firstColumn="0" w:lastColumn="0" w:oddVBand="0" w:evenVBand="0" w:oddHBand="1" w:evenHBand="0" w:firstRowFirstColumn="0" w:firstRowLastColumn="0" w:lastRowFirstColumn="0" w:lastRowLastColumn="0"/>
            </w:pPr>
            <w:r w:rsidRPr="00415A83">
              <w:t>Reduce import of HFC</w:t>
            </w:r>
            <w:r w:rsidR="006C00ED">
              <w:t>s</w:t>
            </w:r>
            <w:r w:rsidRPr="00415A83">
              <w:t xml:space="preserve"> in second-hand products</w:t>
            </w:r>
          </w:p>
          <w:p w14:paraId="393C3508" w14:textId="77777777" w:rsidR="00671CD6" w:rsidRDefault="00671CD6" w:rsidP="007B3A4E">
            <w:pPr>
              <w:spacing w:before="60"/>
              <w:cnfStyle w:val="000000100000" w:firstRow="0" w:lastRow="0" w:firstColumn="0" w:lastColumn="0" w:oddVBand="0" w:evenVBand="0" w:oddHBand="1" w:evenHBand="0" w:firstRowFirstColumn="0" w:firstRowLastColumn="0" w:lastRowFirstColumn="0" w:lastRowLastColumn="0"/>
            </w:pPr>
            <w:r w:rsidRPr="00415A83">
              <w:t>Increase end-of-life recovery</w:t>
            </w:r>
            <w:r>
              <w:rPr>
                <w:highlight w:val="yellow"/>
              </w:rPr>
              <w:t xml:space="preserve"> </w:t>
            </w:r>
          </w:p>
        </w:tc>
      </w:tr>
    </w:tbl>
    <w:p w14:paraId="08DB2174" w14:textId="4364C300" w:rsidR="00671CD6" w:rsidRDefault="00671CD6" w:rsidP="008D376E"/>
    <w:p w14:paraId="2B08807C" w14:textId="77777777" w:rsidR="00161DAA" w:rsidRDefault="00161DAA" w:rsidP="00FE178F">
      <w:pPr>
        <w:keepNext/>
        <w:rPr>
          <w:noProof/>
        </w:rPr>
      </w:pPr>
    </w:p>
    <w:p w14:paraId="2A6DDAB6" w14:textId="5D82B603" w:rsidR="00FE178F" w:rsidRDefault="00BE4070" w:rsidP="00B23353">
      <w:pPr>
        <w:keepNext/>
        <w:jc w:val="center"/>
      </w:pPr>
      <w:r>
        <w:rPr>
          <w:noProof/>
        </w:rPr>
        <w:drawing>
          <wp:inline distT="0" distB="0" distL="0" distR="0" wp14:anchorId="4BC81C39" wp14:editId="59EC817A">
            <wp:extent cx="5755005" cy="3432867"/>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pic:nvPicPr>
                  <pic:blipFill rotWithShape="1">
                    <a:blip r:embed="rId34">
                      <a:extLst>
                        <a:ext uri="{28A0092B-C50C-407E-A947-70E740481C1C}">
                          <a14:useLocalDpi xmlns:a14="http://schemas.microsoft.com/office/drawing/2010/main" val="0"/>
                        </a:ext>
                      </a:extLst>
                    </a:blip>
                    <a:srcRect t="4553"/>
                    <a:stretch/>
                  </pic:blipFill>
                  <pic:spPr bwMode="auto">
                    <a:xfrm>
                      <a:off x="0" y="0"/>
                      <a:ext cx="5755005" cy="3432867"/>
                    </a:xfrm>
                    <a:prstGeom prst="rect">
                      <a:avLst/>
                    </a:prstGeom>
                    <a:ln>
                      <a:noFill/>
                    </a:ln>
                    <a:extLst>
                      <a:ext uri="{53640926-AAD7-44D8-BBD7-CCE9431645EC}">
                        <a14:shadowObscured xmlns:a14="http://schemas.microsoft.com/office/drawing/2010/main"/>
                      </a:ext>
                    </a:extLst>
                  </pic:spPr>
                </pic:pic>
              </a:graphicData>
            </a:graphic>
          </wp:inline>
        </w:drawing>
      </w:r>
    </w:p>
    <w:p w14:paraId="40FFB738" w14:textId="0491DF10" w:rsidR="00E80F9F" w:rsidRDefault="00FE178F" w:rsidP="00B23353">
      <w:pPr>
        <w:pStyle w:val="Caption"/>
      </w:pPr>
      <w:bookmarkStart w:id="109" w:name="_Ref58628185"/>
      <w:r>
        <w:t xml:space="preserve">Figure </w:t>
      </w:r>
      <w:bookmarkEnd w:id="109"/>
      <w:r w:rsidR="002B0CFC">
        <w:t>3.7</w:t>
      </w:r>
      <w:r>
        <w:t xml:space="preserve">: </w:t>
      </w:r>
      <w:r w:rsidRPr="00883859">
        <w:t>Long-lived gas emissions in our path to 2035 compared with our scenario range</w:t>
      </w:r>
      <w:r w:rsidR="002D5DEA">
        <w:t>.</w:t>
      </w:r>
    </w:p>
    <w:p w14:paraId="3913E8FE" w14:textId="77777777" w:rsidR="002D5DEA" w:rsidRPr="00295A62" w:rsidRDefault="002D5DEA" w:rsidP="002D5DEA">
      <w:pPr>
        <w:spacing w:before="0"/>
        <w:jc w:val="right"/>
      </w:pPr>
      <w:r w:rsidRPr="00295A62">
        <w:t>Source: Commission analysis</w:t>
      </w:r>
      <w:r>
        <w:t>.</w:t>
      </w:r>
    </w:p>
    <w:p w14:paraId="1EED5317" w14:textId="29CE25A6" w:rsidR="006445A1" w:rsidRDefault="00546968" w:rsidP="004D6C85">
      <w:pPr>
        <w:keepNext/>
        <w:jc w:val="center"/>
      </w:pPr>
      <w:r>
        <w:rPr>
          <w:noProof/>
        </w:rPr>
        <w:drawing>
          <wp:inline distT="0" distB="0" distL="0" distR="0" wp14:anchorId="64870FF1" wp14:editId="2C7B8B0F">
            <wp:extent cx="5761356" cy="316815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35">
                      <a:extLst>
                        <a:ext uri="{28A0092B-C50C-407E-A947-70E740481C1C}">
                          <a14:useLocalDpi xmlns:a14="http://schemas.microsoft.com/office/drawing/2010/main" val="0"/>
                        </a:ext>
                      </a:extLst>
                    </a:blip>
                    <a:srcRect t="8822"/>
                    <a:stretch>
                      <a:fillRect/>
                    </a:stretch>
                  </pic:blipFill>
                  <pic:spPr>
                    <a:xfrm>
                      <a:off x="0" y="0"/>
                      <a:ext cx="5761356" cy="3168158"/>
                    </a:xfrm>
                    <a:prstGeom prst="rect">
                      <a:avLst/>
                    </a:prstGeom>
                  </pic:spPr>
                </pic:pic>
              </a:graphicData>
            </a:graphic>
          </wp:inline>
        </w:drawing>
      </w:r>
    </w:p>
    <w:p w14:paraId="6AFE536E" w14:textId="2707E7D4" w:rsidR="004A4C24" w:rsidRDefault="006445A1" w:rsidP="004D6C85">
      <w:pPr>
        <w:pStyle w:val="Caption"/>
      </w:pPr>
      <w:bookmarkStart w:id="110" w:name="_Ref58628202"/>
      <w:r>
        <w:t xml:space="preserve">Figure </w:t>
      </w:r>
      <w:bookmarkEnd w:id="110"/>
      <w:r w:rsidR="002B0CFC">
        <w:t>3.8</w:t>
      </w:r>
      <w:r>
        <w:t xml:space="preserve">: </w:t>
      </w:r>
      <w:r w:rsidRPr="00954E4B">
        <w:t>Biogenic methane emissions in our path to 2035 compared with our scenario range</w:t>
      </w:r>
      <w:r w:rsidR="002D5DEA">
        <w:t>.</w:t>
      </w:r>
    </w:p>
    <w:p w14:paraId="5E714533" w14:textId="51CDEDF3" w:rsidR="002D5DEA" w:rsidRPr="002D5DEA" w:rsidRDefault="002D5DEA" w:rsidP="00400204">
      <w:pPr>
        <w:spacing w:before="0"/>
        <w:jc w:val="right"/>
      </w:pPr>
      <w:r w:rsidRPr="00295A62">
        <w:t>Source: Commission analysis</w:t>
      </w:r>
      <w:r>
        <w:t>.</w:t>
      </w:r>
    </w:p>
    <w:p w14:paraId="6115058F" w14:textId="77777777" w:rsidR="00A77D54" w:rsidRDefault="0067425D" w:rsidP="004D6C85">
      <w:pPr>
        <w:keepNext/>
        <w:jc w:val="center"/>
      </w:pPr>
      <w:r>
        <w:rPr>
          <w:noProof/>
        </w:rPr>
        <w:lastRenderedPageBreak/>
        <w:drawing>
          <wp:inline distT="0" distB="0" distL="0" distR="0" wp14:anchorId="67AAF17C" wp14:editId="09D71196">
            <wp:extent cx="5706110" cy="3309562"/>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rotWithShape="1">
                    <a:blip r:embed="rId36">
                      <a:extLst>
                        <a:ext uri="{28A0092B-C50C-407E-A947-70E740481C1C}">
                          <a14:useLocalDpi xmlns:a14="http://schemas.microsoft.com/office/drawing/2010/main" val="0"/>
                        </a:ext>
                      </a:extLst>
                    </a:blip>
                    <a:srcRect t="8144"/>
                    <a:stretch/>
                  </pic:blipFill>
                  <pic:spPr bwMode="auto">
                    <a:xfrm>
                      <a:off x="0" y="0"/>
                      <a:ext cx="5706112" cy="3309563"/>
                    </a:xfrm>
                    <a:prstGeom prst="rect">
                      <a:avLst/>
                    </a:prstGeom>
                    <a:ln>
                      <a:noFill/>
                    </a:ln>
                    <a:extLst>
                      <a:ext uri="{53640926-AAD7-44D8-BBD7-CCE9431645EC}">
                        <a14:shadowObscured xmlns:a14="http://schemas.microsoft.com/office/drawing/2010/main"/>
                      </a:ext>
                    </a:extLst>
                  </pic:spPr>
                </pic:pic>
              </a:graphicData>
            </a:graphic>
          </wp:inline>
        </w:drawing>
      </w:r>
    </w:p>
    <w:p w14:paraId="2FFFA566" w14:textId="1DD9620E" w:rsidR="00D411C1" w:rsidRDefault="00A77D54" w:rsidP="00DC321D">
      <w:pPr>
        <w:pStyle w:val="Caption"/>
      </w:pPr>
      <w:bookmarkStart w:id="111" w:name="_Ref58628193"/>
      <w:r>
        <w:t xml:space="preserve">Figure </w:t>
      </w:r>
      <w:bookmarkEnd w:id="111"/>
      <w:r w:rsidR="002B0CFC">
        <w:t>3.9</w:t>
      </w:r>
      <w:r>
        <w:t xml:space="preserve">: </w:t>
      </w:r>
      <w:r w:rsidRPr="007332BF">
        <w:t>Snapshots of emissions in 2025, 2030 and 2035 in our path, compared with 2018</w:t>
      </w:r>
      <w:r w:rsidR="002D5DEA">
        <w:t>.</w:t>
      </w:r>
    </w:p>
    <w:p w14:paraId="4654D176" w14:textId="77777777" w:rsidR="002D5DEA" w:rsidRPr="00295A62" w:rsidRDefault="002D5DEA" w:rsidP="002D5DEA">
      <w:pPr>
        <w:spacing w:before="0"/>
        <w:jc w:val="right"/>
      </w:pPr>
      <w:r w:rsidRPr="00295A62">
        <w:t>Source: Commission analysis</w:t>
      </w:r>
      <w:r>
        <w:t>.</w:t>
      </w:r>
    </w:p>
    <w:p w14:paraId="5B5B2B0B" w14:textId="6A386E03" w:rsidR="008D376E" w:rsidRDefault="006A7803" w:rsidP="008D376E">
      <w:pPr>
        <w:pStyle w:val="Heading2"/>
      </w:pPr>
      <w:bookmarkStart w:id="112" w:name="_Toc62650265"/>
      <w:r>
        <w:t xml:space="preserve">3.8 </w:t>
      </w:r>
      <w:r w:rsidR="008D376E">
        <w:t xml:space="preserve">What </w:t>
      </w:r>
      <w:r w:rsidR="00B9378B">
        <w:t xml:space="preserve">a </w:t>
      </w:r>
      <w:r w:rsidR="008D376E">
        <w:t xml:space="preserve">path </w:t>
      </w:r>
      <w:r w:rsidR="02A3062E">
        <w:t>to 20</w:t>
      </w:r>
      <w:r w:rsidR="000F5E9D">
        <w:t>35</w:t>
      </w:r>
      <w:r w:rsidR="008D376E">
        <w:t xml:space="preserve"> </w:t>
      </w:r>
      <w:r w:rsidR="0FE7B88E">
        <w:t xml:space="preserve">looks like in </w:t>
      </w:r>
      <w:r w:rsidR="008D376E">
        <w:t>each sector</w:t>
      </w:r>
      <w:bookmarkEnd w:id="112"/>
    </w:p>
    <w:p w14:paraId="71704609" w14:textId="7D0EA11D" w:rsidR="008D376E" w:rsidRDefault="008D376E" w:rsidP="008D376E">
      <w:r>
        <w:t xml:space="preserve">This section outlines measures and actions within each sector that would deliver our proposed emissions budgets. </w:t>
      </w:r>
    </w:p>
    <w:p w14:paraId="040D1957" w14:textId="19BC35FE" w:rsidR="008D376E" w:rsidRPr="00B878B3" w:rsidRDefault="006A7803" w:rsidP="008D376E">
      <w:pPr>
        <w:pStyle w:val="Heading3"/>
      </w:pPr>
      <w:bookmarkStart w:id="113" w:name="_Toc62649325"/>
      <w:bookmarkStart w:id="114" w:name="_Toc62650266"/>
      <w:r>
        <w:t xml:space="preserve">3.8.1 </w:t>
      </w:r>
      <w:r w:rsidR="008D376E" w:rsidRPr="00B878B3">
        <w:t>Transport</w:t>
      </w:r>
      <w:bookmarkEnd w:id="113"/>
      <w:bookmarkEnd w:id="114"/>
    </w:p>
    <w:p w14:paraId="5293DEC2" w14:textId="5B1B65C3" w:rsidR="008D376E" w:rsidRDefault="00A9027A" w:rsidP="008D376E">
      <w:r>
        <w:t>Under our</w:t>
      </w:r>
      <w:r w:rsidR="008D376E">
        <w:t xml:space="preserve"> approach to meeting the 2050 </w:t>
      </w:r>
      <w:r w:rsidR="000F5E9D">
        <w:t>targets,</w:t>
      </w:r>
      <w:r w:rsidR="008D376E">
        <w:t xml:space="preserve"> Aotearoa </w:t>
      </w:r>
      <w:r w:rsidR="00D96C19">
        <w:t xml:space="preserve">would need </w:t>
      </w:r>
      <w:r w:rsidR="008D376E">
        <w:t>to almost completely decarbonise land transport. This means changing how most vehicles are powered, including heavy vehicles.</w:t>
      </w:r>
    </w:p>
    <w:p w14:paraId="0DD5A40A" w14:textId="6470092C" w:rsidR="00D24204" w:rsidRPr="00D24204" w:rsidRDefault="00332D5E" w:rsidP="00D24204">
      <w:r>
        <w:t>E</w:t>
      </w:r>
      <w:r w:rsidR="008D376E">
        <w:t>lectric vehicles</w:t>
      </w:r>
      <w:r w:rsidR="6EE95544">
        <w:t xml:space="preserve"> </w:t>
      </w:r>
      <w:r w:rsidR="008D376E">
        <w:t xml:space="preserve">are </w:t>
      </w:r>
      <w:r w:rsidR="008E7EEB">
        <w:t xml:space="preserve">currently </w:t>
      </w:r>
      <w:r w:rsidR="001B6F56">
        <w:t>more expensive</w:t>
      </w:r>
      <w:r w:rsidR="008E7EEB">
        <w:t xml:space="preserve"> to purchase</w:t>
      </w:r>
      <w:r w:rsidR="001B6F56">
        <w:t xml:space="preserve"> </w:t>
      </w:r>
      <w:r w:rsidR="00066E7F">
        <w:t xml:space="preserve">than internal combustion engine vehicles </w:t>
      </w:r>
      <w:r w:rsidR="001B6F56">
        <w:t>but are cheaper to run. The</w:t>
      </w:r>
      <w:r w:rsidR="00C25D07">
        <w:t>ir</w:t>
      </w:r>
      <w:r w:rsidR="001B6F56">
        <w:t xml:space="preserve"> upfront cost</w:t>
      </w:r>
      <w:r w:rsidR="00C25D07">
        <w:t>s</w:t>
      </w:r>
      <w:r w:rsidR="001B6F56">
        <w:t xml:space="preserve"> </w:t>
      </w:r>
      <w:r w:rsidR="00C25D07">
        <w:t>are</w:t>
      </w:r>
      <w:r w:rsidR="008D376E">
        <w:t xml:space="preserve"> expected to fall further</w:t>
      </w:r>
      <w:r w:rsidR="00066E7F">
        <w:t xml:space="preserve"> leading to significantly lower lifetime costs</w:t>
      </w:r>
      <w:r w:rsidR="008D376E">
        <w:t>. In addition to saving emissions, they also improve local air quality</w:t>
      </w:r>
      <w:r w:rsidR="007A0ADE">
        <w:t xml:space="preserve"> and reduce noise pollution</w:t>
      </w:r>
      <w:r w:rsidR="008D376E">
        <w:t>. For these reasons, our path sees ambitious adoption of light electric vehicles,</w:t>
      </w:r>
      <w:r w:rsidR="007A14B1">
        <w:t xml:space="preserve"> including cars, vans and </w:t>
      </w:r>
      <w:proofErr w:type="spellStart"/>
      <w:r w:rsidR="007A14B1">
        <w:t>utes</w:t>
      </w:r>
      <w:proofErr w:type="spellEnd"/>
      <w:r w:rsidR="007A14B1">
        <w:t>,</w:t>
      </w:r>
      <w:r w:rsidR="008D376E">
        <w:t xml:space="preserve"> with no further internal combustion engine light vehicles imported after 2032.</w:t>
      </w:r>
      <w:r w:rsidR="00274DD8">
        <w:t xml:space="preserve"> </w:t>
      </w:r>
      <w:r w:rsidR="008138B4">
        <w:t>This would mean m</w:t>
      </w:r>
      <w:r w:rsidR="00B122F3">
        <w:t xml:space="preserve">ore than half of all light vehicle travel would be in </w:t>
      </w:r>
      <w:r w:rsidR="00F4495C">
        <w:t>electric vehicles by 2035</w:t>
      </w:r>
      <w:r w:rsidR="00F953E3">
        <w:t xml:space="preserve"> and 40% of the light vehicle fleet would be electric vehicles by 2035</w:t>
      </w:r>
      <w:r w:rsidR="00F4495C">
        <w:t xml:space="preserve"> (</w:t>
      </w:r>
      <w:r w:rsidR="00C030B3">
        <w:t>Figure 3.10</w:t>
      </w:r>
      <w:r w:rsidR="00F4495C">
        <w:t>).</w:t>
      </w:r>
    </w:p>
    <w:p w14:paraId="5802D079" w14:textId="1EB53A8D" w:rsidR="00A73255" w:rsidRPr="00A73255" w:rsidRDefault="008D376E" w:rsidP="00A73255">
      <w:r>
        <w:t>In our path medium and heavy trucks are slower to electrify</w:t>
      </w:r>
      <w:r w:rsidR="00202313">
        <w:t>. This is</w:t>
      </w:r>
      <w:r>
        <w:t xml:space="preserve"> because the </w:t>
      </w:r>
      <w:r w:rsidR="00C32D14">
        <w:t xml:space="preserve">current battery technology does not </w:t>
      </w:r>
      <w:r w:rsidR="00C6783D">
        <w:t xml:space="preserve">allow for the </w:t>
      </w:r>
      <w:r>
        <w:t>greater daily distances they need to travel. Of the trucks imported in 203</w:t>
      </w:r>
      <w:r w:rsidR="00EA5253">
        <w:t>0</w:t>
      </w:r>
      <w:r>
        <w:t xml:space="preserve">, </w:t>
      </w:r>
      <w:r w:rsidR="00224DF7">
        <w:t>15</w:t>
      </w:r>
      <w:r>
        <w:t xml:space="preserve">% of medium trucks and </w:t>
      </w:r>
      <w:r w:rsidR="000340D0">
        <w:t>8</w:t>
      </w:r>
      <w:r>
        <w:t xml:space="preserve">% of heavy </w:t>
      </w:r>
      <w:r w:rsidR="0073283D">
        <w:t>trucks</w:t>
      </w:r>
      <w:r w:rsidR="00C57D8D">
        <w:t xml:space="preserve"> </w:t>
      </w:r>
      <w:r>
        <w:t>would be electric.</w:t>
      </w:r>
      <w:r w:rsidR="00EA5253">
        <w:t xml:space="preserve"> By 2035, these would increase to </w:t>
      </w:r>
      <w:r w:rsidR="002800F7">
        <w:t>84% and 69% respectively.</w:t>
      </w:r>
    </w:p>
    <w:p w14:paraId="1D54EC3B" w14:textId="454CC38A" w:rsidR="006715B8" w:rsidRDefault="006715B8" w:rsidP="00716C0F">
      <w:pPr>
        <w:keepNext/>
        <w:jc w:val="center"/>
      </w:pPr>
      <w:r>
        <w:rPr>
          <w:noProof/>
        </w:rPr>
        <w:lastRenderedPageBreak/>
        <w:drawing>
          <wp:inline distT="0" distB="0" distL="0" distR="0" wp14:anchorId="5A18E19E" wp14:editId="0D8E1A03">
            <wp:extent cx="5749290" cy="3293660"/>
            <wp:effectExtent l="0" t="0" r="381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rotWithShape="1">
                    <a:blip r:embed="rId37">
                      <a:extLst>
                        <a:ext uri="{28A0092B-C50C-407E-A947-70E740481C1C}">
                          <a14:useLocalDpi xmlns:a14="http://schemas.microsoft.com/office/drawing/2010/main" val="0"/>
                        </a:ext>
                      </a:extLst>
                    </a:blip>
                    <a:srcRect t="6035"/>
                    <a:stretch/>
                  </pic:blipFill>
                  <pic:spPr bwMode="auto">
                    <a:xfrm>
                      <a:off x="0" y="0"/>
                      <a:ext cx="5749290" cy="3293660"/>
                    </a:xfrm>
                    <a:prstGeom prst="rect">
                      <a:avLst/>
                    </a:prstGeom>
                    <a:ln>
                      <a:noFill/>
                    </a:ln>
                    <a:extLst>
                      <a:ext uri="{53640926-AAD7-44D8-BBD7-CCE9431645EC}">
                        <a14:shadowObscured xmlns:a14="http://schemas.microsoft.com/office/drawing/2010/main"/>
                      </a:ext>
                    </a:extLst>
                  </pic:spPr>
                </pic:pic>
              </a:graphicData>
            </a:graphic>
          </wp:inline>
        </w:drawing>
      </w:r>
    </w:p>
    <w:p w14:paraId="5DF74BA1" w14:textId="77A1D55F" w:rsidR="006715B8" w:rsidRDefault="006715B8" w:rsidP="00716C0F">
      <w:pPr>
        <w:pStyle w:val="Caption"/>
      </w:pPr>
      <w:r>
        <w:t xml:space="preserve">Figure </w:t>
      </w:r>
      <w:r w:rsidR="00716C0F">
        <w:t>3.10</w:t>
      </w:r>
      <w:r>
        <w:t>: Uptake of light electric vehicles in our path</w:t>
      </w:r>
      <w:r w:rsidR="002D5DEA">
        <w:t>.</w:t>
      </w:r>
    </w:p>
    <w:p w14:paraId="5C47BD66" w14:textId="77777777" w:rsidR="002D5DEA" w:rsidRPr="00295A62" w:rsidRDefault="002D5DEA" w:rsidP="002D5DEA">
      <w:pPr>
        <w:spacing w:before="0"/>
        <w:jc w:val="right"/>
      </w:pPr>
      <w:r w:rsidRPr="00295A62">
        <w:t>Source: Commission analysis</w:t>
      </w:r>
      <w:r>
        <w:t>.</w:t>
      </w:r>
    </w:p>
    <w:p w14:paraId="0469872B" w14:textId="66724930" w:rsidR="00DC33C6" w:rsidRDefault="008D376E" w:rsidP="008D376E">
      <w:r>
        <w:t>To meet our proposed emissions budgets Aotearoa would need to phase out imports of light internal combustion engine vehicles sometime between 2030-2035. Achieving this phase</w:t>
      </w:r>
      <w:r w:rsidR="00F65C79">
        <w:t xml:space="preserve"> </w:t>
      </w:r>
      <w:r>
        <w:t xml:space="preserve">out is ambitious, but achievable </w:t>
      </w:r>
      <w:r w:rsidR="56DB921A">
        <w:t>with</w:t>
      </w:r>
      <w:r>
        <w:t xml:space="preserve"> </w:t>
      </w:r>
      <w:r w:rsidR="001B6F56">
        <w:t xml:space="preserve">strong </w:t>
      </w:r>
      <w:r>
        <w:t xml:space="preserve">supporting </w:t>
      </w:r>
      <w:r w:rsidR="00952E93">
        <w:t>g</w:t>
      </w:r>
      <w:r>
        <w:t xml:space="preserve">overnment action. </w:t>
      </w:r>
      <w:r w:rsidR="00F65C79">
        <w:t>T</w:t>
      </w:r>
      <w:r>
        <w:t xml:space="preserve">his </w:t>
      </w:r>
      <w:r w:rsidR="00F65C79">
        <w:t>timeframe</w:t>
      </w:r>
      <w:r>
        <w:t xml:space="preserve"> is consistent with the phase out dates being set by a growing number of countries.</w:t>
      </w:r>
    </w:p>
    <w:p w14:paraId="6F484230" w14:textId="1F5F659B" w:rsidR="008D376E" w:rsidRDefault="008D376E" w:rsidP="008D376E">
      <w:r>
        <w:t xml:space="preserve">While electric vehicle supply grows, there would also need to be a focus on importing more efficient internal combustion engine vehicles, including increasing the share of </w:t>
      </w:r>
      <w:r w:rsidR="001602B8">
        <w:t>conventional</w:t>
      </w:r>
      <w:r>
        <w:t xml:space="preserve"> hybrids. Our path assumes </w:t>
      </w:r>
      <w:r w:rsidR="00776F6E">
        <w:t>the</w:t>
      </w:r>
      <w:r>
        <w:t xml:space="preserve"> </w:t>
      </w:r>
      <w:r w:rsidR="00D678FC">
        <w:t xml:space="preserve">average </w:t>
      </w:r>
      <w:r w:rsidR="00A968CD">
        <w:t>efficiency of</w:t>
      </w:r>
      <w:r w:rsidR="00D678FC">
        <w:t xml:space="preserve"> light internal combustion engine </w:t>
      </w:r>
      <w:r>
        <w:t xml:space="preserve">vehicles </w:t>
      </w:r>
      <w:r w:rsidR="00A968CD">
        <w:t xml:space="preserve">improves by </w:t>
      </w:r>
      <w:r>
        <w:t>1</w:t>
      </w:r>
      <w:r w:rsidR="00C323C7">
        <w:t>5</w:t>
      </w:r>
      <w:r>
        <w:t xml:space="preserve">% by </w:t>
      </w:r>
      <w:r w:rsidRPr="00AF6796">
        <w:t>2035</w:t>
      </w:r>
      <w:r w:rsidR="00D61CF4">
        <w:t>, or around 1% per year</w:t>
      </w:r>
      <w:r>
        <w:t>.</w:t>
      </w:r>
    </w:p>
    <w:p w14:paraId="5B2FF59B" w14:textId="3C24A4C1" w:rsidR="00C3185F" w:rsidRPr="00C3185F" w:rsidRDefault="002260AD" w:rsidP="00C3185F">
      <w:r>
        <w:t>In addition to</w:t>
      </w:r>
      <w:r w:rsidR="007251F4">
        <w:t xml:space="preserve"> </w:t>
      </w:r>
      <w:r w:rsidR="00544EB7">
        <w:t>changing the vehicles we drive</w:t>
      </w:r>
      <w:r w:rsidR="007251F4">
        <w:t xml:space="preserve">, changes to how and how </w:t>
      </w:r>
      <w:r w:rsidR="00AE241A">
        <w:t xml:space="preserve">much </w:t>
      </w:r>
      <w:r w:rsidR="007251F4">
        <w:t>New Ze</w:t>
      </w:r>
      <w:r w:rsidR="00AE241A">
        <w:t>a</w:t>
      </w:r>
      <w:r w:rsidR="007251F4">
        <w:t>land</w:t>
      </w:r>
      <w:r w:rsidR="00AE241A">
        <w:t xml:space="preserve">ers </w:t>
      </w:r>
      <w:r w:rsidR="007251F4">
        <w:t>travel play an important role</w:t>
      </w:r>
      <w:r w:rsidR="00AE241A">
        <w:t xml:space="preserve"> in our path.</w:t>
      </w:r>
      <w:r w:rsidR="00014F3D">
        <w:t xml:space="preserve"> </w:t>
      </w:r>
      <w:r w:rsidR="007001F9">
        <w:t>We</w:t>
      </w:r>
      <w:r w:rsidR="00014F3D">
        <w:t xml:space="preserve"> assume </w:t>
      </w:r>
      <w:bookmarkStart w:id="115" w:name="_Hlk59010774"/>
      <w:r w:rsidR="00783845">
        <w:t>the average</w:t>
      </w:r>
      <w:r w:rsidR="00461D42">
        <w:t xml:space="preserve"> </w:t>
      </w:r>
      <w:r w:rsidR="00B41C73">
        <w:t xml:space="preserve">household </w:t>
      </w:r>
      <w:r w:rsidR="00770B9B">
        <w:t xml:space="preserve">travel distance per </w:t>
      </w:r>
      <w:r w:rsidR="007001F9">
        <w:t xml:space="preserve">person </w:t>
      </w:r>
      <w:bookmarkEnd w:id="115"/>
      <w:r w:rsidR="007001F9">
        <w:t>ca</w:t>
      </w:r>
      <w:r w:rsidR="00413B83">
        <w:t>n be r</w:t>
      </w:r>
      <w:r w:rsidR="00461D42">
        <w:t xml:space="preserve">educed by </w:t>
      </w:r>
      <w:r w:rsidR="00783845">
        <w:t xml:space="preserve">around </w:t>
      </w:r>
      <w:r w:rsidR="00364C30">
        <w:t>7</w:t>
      </w:r>
      <w:r w:rsidR="00770B9B">
        <w:t>% by 2030</w:t>
      </w:r>
      <w:r w:rsidR="00A61616">
        <w:t>, for example</w:t>
      </w:r>
      <w:r w:rsidR="00770B9B">
        <w:t xml:space="preserve"> through more compact urban form and </w:t>
      </w:r>
      <w:r w:rsidR="0004062C">
        <w:t>encouraging remote working.</w:t>
      </w:r>
      <w:r w:rsidR="00052F3C">
        <w:t xml:space="preserve"> </w:t>
      </w:r>
      <w:r w:rsidR="0004062C">
        <w:t xml:space="preserve">We also assume </w:t>
      </w:r>
      <w:r w:rsidR="00055692">
        <w:t xml:space="preserve">that the share of </w:t>
      </w:r>
      <w:r w:rsidR="003B32DE">
        <w:t xml:space="preserve">this </w:t>
      </w:r>
      <w:r w:rsidR="00055692">
        <w:t xml:space="preserve">distance travelled by walking, cycling and public transport can be increased </w:t>
      </w:r>
      <w:r w:rsidR="008C0936">
        <w:t xml:space="preserve">by 25%, </w:t>
      </w:r>
      <w:r w:rsidR="00B35828">
        <w:t>95</w:t>
      </w:r>
      <w:r w:rsidR="00AF3C15">
        <w:t xml:space="preserve">% and </w:t>
      </w:r>
      <w:r w:rsidR="002907C9">
        <w:t>120</w:t>
      </w:r>
      <w:r w:rsidR="00AF3C15">
        <w:t xml:space="preserve">% respectively by 2030. </w:t>
      </w:r>
      <w:r w:rsidR="00055692">
        <w:t>Overall</w:t>
      </w:r>
      <w:r w:rsidR="00CE0F3B">
        <w:t xml:space="preserve">, this would see </w:t>
      </w:r>
      <w:r w:rsidR="00544EB7">
        <w:t xml:space="preserve">total household vehicle travel </w:t>
      </w:r>
      <w:r w:rsidR="00026050">
        <w:t xml:space="preserve">staying </w:t>
      </w:r>
      <w:r w:rsidR="0078337F">
        <w:t>relatively flat despite a growing population</w:t>
      </w:r>
      <w:r w:rsidR="00B9396C">
        <w:t xml:space="preserve"> (</w:t>
      </w:r>
      <w:r w:rsidR="00B4437B">
        <w:t xml:space="preserve">Figure </w:t>
      </w:r>
      <w:r w:rsidR="00716C0F">
        <w:t>3.11</w:t>
      </w:r>
      <w:r w:rsidR="00B9396C">
        <w:t>)</w:t>
      </w:r>
      <w:r w:rsidR="0078337F">
        <w:t>.</w:t>
      </w:r>
    </w:p>
    <w:p w14:paraId="284E3E0E" w14:textId="2CF64FB0" w:rsidR="00B9396C" w:rsidRDefault="00E50CCE" w:rsidP="00716C0F">
      <w:pPr>
        <w:keepNext/>
        <w:jc w:val="center"/>
      </w:pPr>
      <w:r>
        <w:rPr>
          <w:noProof/>
        </w:rPr>
        <w:lastRenderedPageBreak/>
        <w:drawing>
          <wp:inline distT="0" distB="0" distL="0" distR="0" wp14:anchorId="04A18055" wp14:editId="0D9F7A28">
            <wp:extent cx="5694045" cy="3391923"/>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rotWithShape="1">
                    <a:blip r:embed="rId38">
                      <a:extLst>
                        <a:ext uri="{28A0092B-C50C-407E-A947-70E740481C1C}">
                          <a14:useLocalDpi xmlns:a14="http://schemas.microsoft.com/office/drawing/2010/main" val="0"/>
                        </a:ext>
                      </a:extLst>
                    </a:blip>
                    <a:srcRect t="5692"/>
                    <a:stretch/>
                  </pic:blipFill>
                  <pic:spPr bwMode="auto">
                    <a:xfrm>
                      <a:off x="0" y="0"/>
                      <a:ext cx="5694046" cy="3391924"/>
                    </a:xfrm>
                    <a:prstGeom prst="rect">
                      <a:avLst/>
                    </a:prstGeom>
                    <a:ln>
                      <a:noFill/>
                    </a:ln>
                    <a:extLst>
                      <a:ext uri="{53640926-AAD7-44D8-BBD7-CCE9431645EC}">
                        <a14:shadowObscured xmlns:a14="http://schemas.microsoft.com/office/drawing/2010/main"/>
                      </a:ext>
                    </a:extLst>
                  </pic:spPr>
                </pic:pic>
              </a:graphicData>
            </a:graphic>
          </wp:inline>
        </w:drawing>
      </w:r>
    </w:p>
    <w:p w14:paraId="020AA41D" w14:textId="591E8198" w:rsidR="00986A1A" w:rsidRDefault="00B9396C" w:rsidP="00716C0F">
      <w:pPr>
        <w:pStyle w:val="Caption"/>
      </w:pPr>
      <w:bookmarkStart w:id="116" w:name="_Ref61269717"/>
      <w:r>
        <w:t xml:space="preserve">Figure </w:t>
      </w:r>
      <w:bookmarkEnd w:id="116"/>
      <w:r w:rsidR="00716C0F">
        <w:t>3.11</w:t>
      </w:r>
      <w:r>
        <w:t>: Household light vehicle travel in our path compared with under current policies</w:t>
      </w:r>
      <w:r w:rsidR="002D5DEA">
        <w:t>.</w:t>
      </w:r>
    </w:p>
    <w:p w14:paraId="0FE95A8E" w14:textId="77777777" w:rsidR="002D5DEA" w:rsidRPr="00295A62" w:rsidRDefault="002D5DEA" w:rsidP="002D5DEA">
      <w:pPr>
        <w:spacing w:before="0"/>
        <w:jc w:val="right"/>
      </w:pPr>
      <w:r w:rsidRPr="00295A62">
        <w:t>Source: Commission analysis</w:t>
      </w:r>
      <w:r>
        <w:t>.</w:t>
      </w:r>
    </w:p>
    <w:p w14:paraId="2CCD1CE0" w14:textId="713E7258" w:rsidR="007662E3" w:rsidRDefault="008D376E" w:rsidP="008D376E">
      <w:r>
        <w:t xml:space="preserve">Emissions from freight can be reduced by switching some freight movements from road to rail and coastal shipping. Our path assumes </w:t>
      </w:r>
      <w:r w:rsidR="0088569D">
        <w:t>4</w:t>
      </w:r>
      <w:r>
        <w:t xml:space="preserve">% </w:t>
      </w:r>
      <w:r w:rsidR="00E657DA">
        <w:t xml:space="preserve">of freight </w:t>
      </w:r>
      <w:r w:rsidR="00413E97">
        <w:t xml:space="preserve">tonne-kilometres </w:t>
      </w:r>
      <w:r w:rsidRPr="007662E3">
        <w:t xml:space="preserve">can switch by 2030. </w:t>
      </w:r>
      <w:r w:rsidR="007662E3" w:rsidRPr="007662E3">
        <w:t>Further reductions in freight emissions could be achieved by completing the electrification of the Auckland to Wellington railway line and electrifying the Hamilton to Tauranga railway line.</w:t>
      </w:r>
    </w:p>
    <w:p w14:paraId="66C4097F" w14:textId="373D17D9" w:rsidR="008D376E" w:rsidRDefault="001B6F56" w:rsidP="008D376E">
      <w:r>
        <w:t>T</w:t>
      </w:r>
      <w:r w:rsidR="008D376E">
        <w:t xml:space="preserve">here will continue to be a need for liquid fuels for some transport uses, such as off-road vehicles and </w:t>
      </w:r>
      <w:r w:rsidR="000C0EC1">
        <w:t>equipment,</w:t>
      </w:r>
      <w:r w:rsidR="008D376E" w:rsidDel="000C0EC1">
        <w:t xml:space="preserve"> </w:t>
      </w:r>
      <w:r w:rsidR="008D376E">
        <w:t>aviation and shipping. A</w:t>
      </w:r>
      <w:r w:rsidR="00FE306B">
        <w:t>otearoa should take action</w:t>
      </w:r>
      <w:r w:rsidR="008D376E">
        <w:t xml:space="preserve"> </w:t>
      </w:r>
      <w:r w:rsidR="009050B9">
        <w:t xml:space="preserve">to </w:t>
      </w:r>
      <w:r w:rsidR="00FE306B">
        <w:t xml:space="preserve">scale up the </w:t>
      </w:r>
      <w:r w:rsidR="008D376E">
        <w:t xml:space="preserve">manufacture </w:t>
      </w:r>
      <w:r w:rsidR="00FE306B">
        <w:t xml:space="preserve">of </w:t>
      </w:r>
      <w:r w:rsidR="008D376E">
        <w:t xml:space="preserve">low emissions fuels </w:t>
      </w:r>
      <w:r w:rsidR="009050B9">
        <w:t xml:space="preserve">like </w:t>
      </w:r>
      <w:r w:rsidR="008D376E">
        <w:t xml:space="preserve">biofuels or </w:t>
      </w:r>
      <w:r w:rsidR="001856CC">
        <w:t>hydrogen-derived</w:t>
      </w:r>
      <w:r w:rsidR="008D376E">
        <w:t xml:space="preserve"> synthetic fuels</w:t>
      </w:r>
      <w:r w:rsidR="00FE306B">
        <w:t xml:space="preserve"> in </w:t>
      </w:r>
      <w:r w:rsidR="008D376E">
        <w:t xml:space="preserve">the first three </w:t>
      </w:r>
      <w:r w:rsidR="009050B9">
        <w:t xml:space="preserve">emissions </w:t>
      </w:r>
      <w:r w:rsidR="008D376E">
        <w:t>budget</w:t>
      </w:r>
      <w:r w:rsidR="009050B9">
        <w:t xml:space="preserve"> period</w:t>
      </w:r>
      <w:r w:rsidR="008D376E">
        <w:t>s</w:t>
      </w:r>
      <w:r w:rsidR="00FE306B">
        <w:t>.</w:t>
      </w:r>
      <w:r w:rsidR="008D376E" w:rsidRPr="0045272A">
        <w:t xml:space="preserve"> Our path assumes </w:t>
      </w:r>
      <w:r w:rsidR="008D376E" w:rsidRPr="007B5E9D">
        <w:t>70</w:t>
      </w:r>
      <w:r w:rsidR="008D376E" w:rsidRPr="0045272A">
        <w:t xml:space="preserve"> million litres </w:t>
      </w:r>
      <w:r w:rsidR="00DE2D0A">
        <w:t xml:space="preserve">per year </w:t>
      </w:r>
      <w:r w:rsidR="008D376E" w:rsidRPr="00C04807">
        <w:t xml:space="preserve">of </w:t>
      </w:r>
      <w:r w:rsidR="008D376E" w:rsidRPr="00552D7B">
        <w:t xml:space="preserve">low </w:t>
      </w:r>
      <w:r w:rsidR="008D376E">
        <w:t>emissions</w:t>
      </w:r>
      <w:r w:rsidR="008D376E" w:rsidRPr="00552D7B">
        <w:t xml:space="preserve"> fuels could be made by 2030 and </w:t>
      </w:r>
      <w:r w:rsidR="008D376E" w:rsidRPr="007B5E9D">
        <w:t>140</w:t>
      </w:r>
      <w:r w:rsidR="008D376E" w:rsidRPr="0045272A">
        <w:t xml:space="preserve"> million litres </w:t>
      </w:r>
      <w:r w:rsidR="00CE480F">
        <w:t xml:space="preserve">per year </w:t>
      </w:r>
      <w:r w:rsidR="008D376E" w:rsidRPr="0045272A">
        <w:t xml:space="preserve">by 2035. </w:t>
      </w:r>
      <w:r w:rsidR="008D376E">
        <w:t xml:space="preserve">This equates to roughly </w:t>
      </w:r>
      <w:r w:rsidR="000F7B62">
        <w:t>3</w:t>
      </w:r>
      <w:r w:rsidR="008D376E">
        <w:t xml:space="preserve">% of total </w:t>
      </w:r>
      <w:r w:rsidR="007662E3">
        <w:t xml:space="preserve">domestic </w:t>
      </w:r>
      <w:r w:rsidR="008D376E">
        <w:t xml:space="preserve">liquid fuel demand </w:t>
      </w:r>
      <w:r w:rsidR="00D75448">
        <w:t>in 2035</w:t>
      </w:r>
      <w:r w:rsidR="00FF5098">
        <w:t>, or 1.5% of total fuel demand including international transport,</w:t>
      </w:r>
      <w:r w:rsidR="00D75448">
        <w:t xml:space="preserve"> </w:t>
      </w:r>
      <w:r w:rsidR="008D376E">
        <w:t>under our path.</w:t>
      </w:r>
      <w:r w:rsidR="008D376E" w:rsidRPr="0045272A">
        <w:t xml:space="preserve"> </w:t>
      </w:r>
    </w:p>
    <w:p w14:paraId="09AD38E3" w14:textId="64089284" w:rsidR="008D376E" w:rsidRPr="00FF5219" w:rsidRDefault="00EB0507" w:rsidP="008D376E">
      <w:pPr>
        <w:pStyle w:val="Heading3"/>
      </w:pPr>
      <w:bookmarkStart w:id="117" w:name="_Toc62649326"/>
      <w:bookmarkStart w:id="118" w:name="_Toc62650267"/>
      <w:r>
        <w:t xml:space="preserve">3.8.2 </w:t>
      </w:r>
      <w:r w:rsidR="008D376E" w:rsidRPr="00FF5219">
        <w:t>Buildings</w:t>
      </w:r>
      <w:bookmarkEnd w:id="117"/>
      <w:bookmarkEnd w:id="118"/>
      <w:r w:rsidR="008D376E">
        <w:tab/>
      </w:r>
    </w:p>
    <w:p w14:paraId="556C1795" w14:textId="653C2D10" w:rsidR="008D376E" w:rsidRDefault="001C741E" w:rsidP="008D376E">
      <w:r>
        <w:t>Under our</w:t>
      </w:r>
      <w:r w:rsidR="008D376E">
        <w:t xml:space="preserve"> approach to meeting the 2050 </w:t>
      </w:r>
      <w:r>
        <w:t>targets,</w:t>
      </w:r>
      <w:r w:rsidR="008D376E">
        <w:t xml:space="preserve"> Aotearoa </w:t>
      </w:r>
      <w:r w:rsidR="002F7177">
        <w:t xml:space="preserve">would need </w:t>
      </w:r>
      <w:r w:rsidR="008D376E">
        <w:t xml:space="preserve">to improve the energy efficiency of buildings, alongside decarbonising the energy used for heating, hot water and cooking. </w:t>
      </w:r>
    </w:p>
    <w:p w14:paraId="2ED19508" w14:textId="7CE879AD" w:rsidR="008D376E" w:rsidRDefault="008D376E" w:rsidP="008D376E">
      <w:r>
        <w:t xml:space="preserve">Improving the energy efficiency of homes reduces emissions and can improve the occupants’ health, particularly for low-income households. Because homes in Aotearoa are typically underheated in winter, </w:t>
      </w:r>
      <w:r w:rsidR="004728A0">
        <w:t>households may choose to</w:t>
      </w:r>
      <w:r w:rsidR="00E0320C">
        <w:t xml:space="preserve"> </w:t>
      </w:r>
      <w:r w:rsidR="003C1005">
        <w:t xml:space="preserve">heat their home more </w:t>
      </w:r>
      <w:r w:rsidR="00C275F1">
        <w:t xml:space="preserve">after improving energy efficiency, </w:t>
      </w:r>
      <w:r w:rsidR="00B17A93">
        <w:t xml:space="preserve">rather than reducing their </w:t>
      </w:r>
      <w:r w:rsidDel="00B17A93">
        <w:t xml:space="preserve">energy </w:t>
      </w:r>
      <w:r w:rsidR="00B17A93">
        <w:t xml:space="preserve">use </w:t>
      </w:r>
      <w:r>
        <w:t>or emissions</w:t>
      </w:r>
      <w:r w:rsidR="00C275F1">
        <w:t xml:space="preserve"> (see </w:t>
      </w:r>
      <w:r w:rsidR="0085576D">
        <w:t>c</w:t>
      </w:r>
      <w:r w:rsidR="00C275F1" w:rsidRPr="00D728F8">
        <w:t>hapter</w:t>
      </w:r>
      <w:r w:rsidR="00C275F1">
        <w:t xml:space="preserve"> 5)</w:t>
      </w:r>
      <w:r>
        <w:t xml:space="preserve">. We assume that existing homes’ energy intensity </w:t>
      </w:r>
      <w:r w:rsidR="00115B9A">
        <w:t xml:space="preserve">improves by 6% </w:t>
      </w:r>
      <w:r>
        <w:t>by 2035. We assume new</w:t>
      </w:r>
      <w:r w:rsidR="00115B9A">
        <w:t>ly built</w:t>
      </w:r>
      <w:r>
        <w:t xml:space="preserve"> homes </w:t>
      </w:r>
      <w:r w:rsidR="001914AF">
        <w:t>are</w:t>
      </w:r>
      <w:r>
        <w:t xml:space="preserve"> 35% </w:t>
      </w:r>
      <w:r w:rsidR="001914AF">
        <w:t>more energy efficient</w:t>
      </w:r>
      <w:r w:rsidR="001914AF" w:rsidDel="00B05586">
        <w:t xml:space="preserve"> </w:t>
      </w:r>
      <w:r>
        <w:t>compared to today’s performance.</w:t>
      </w:r>
    </w:p>
    <w:p w14:paraId="18B303C8" w14:textId="2E5C21B2" w:rsidR="008D376E" w:rsidRDefault="008D376E" w:rsidP="008D376E">
      <w:r>
        <w:t xml:space="preserve">It is already feasible to transition away from heating homes with coal and </w:t>
      </w:r>
      <w:r w:rsidR="00B05586">
        <w:t xml:space="preserve">natural </w:t>
      </w:r>
      <w:r>
        <w:t xml:space="preserve">gas. </w:t>
      </w:r>
      <w:r w:rsidDel="00F60DF2">
        <w:t xml:space="preserve">Heat pumps already offer a lower cost way to heat homes than natural gas. For hot water, where feasible, electric </w:t>
      </w:r>
      <w:r w:rsidDel="00F60DF2">
        <w:lastRenderedPageBreak/>
        <w:t xml:space="preserve">resistive hot water cylinders </w:t>
      </w:r>
      <w:r w:rsidR="007A2586" w:rsidRPr="007A2586">
        <w:t>offer an alternative to</w:t>
      </w:r>
      <w:r w:rsidDel="00F60DF2">
        <w:t xml:space="preserve"> natural gas systems</w:t>
      </w:r>
      <w:r w:rsidR="007A2586" w:rsidRPr="007A2586">
        <w:t xml:space="preserve"> with comparable costs.</w:t>
      </w:r>
      <w:r w:rsidR="007A2586">
        <w:t> </w:t>
      </w:r>
      <w:r w:rsidR="001B6F56">
        <w:t>Heat pumps will offer a lower cost option to heat most new commercial and public buildings. For existing buildings, renovations offer an opportunity to replace fossil fuel heating systems</w:t>
      </w:r>
      <w:r w:rsidR="00226FD5">
        <w:t>, such as gas central heating,</w:t>
      </w:r>
      <w:r w:rsidR="001B6F56">
        <w:t xml:space="preserve"> with lower emissions alternatives such as heat pumps or biomass.</w:t>
      </w:r>
      <w:r w:rsidDel="00F60DF2">
        <w:t xml:space="preserve"> </w:t>
      </w:r>
    </w:p>
    <w:p w14:paraId="3E488C41" w14:textId="43E6BBD2" w:rsidR="008D376E" w:rsidRDefault="008D376E" w:rsidP="008D376E">
      <w:r>
        <w:t xml:space="preserve">Commercial and public buildings offer large opportunities to improve energy efficiency through improved insulation and greater control of energy use. New commercial and public buildings can be built to higher standards, and existing buildings retrofitted to achieve these improvements. Our path assumes a </w:t>
      </w:r>
      <w:r w:rsidRPr="00DE0C05">
        <w:t>30%</w:t>
      </w:r>
      <w:r>
        <w:t xml:space="preserve"> improvement in commercial and public buildings’ energy intensity is possible by 2035 compared to today’s performance. </w:t>
      </w:r>
    </w:p>
    <w:p w14:paraId="2DA85B94" w14:textId="719A7F61" w:rsidR="008D376E" w:rsidRDefault="008D376E" w:rsidP="008D376E">
      <w:r>
        <w:t xml:space="preserve">Commercial and public buildings can quickly transition away from coal to alternatives such as biomass which could </w:t>
      </w:r>
      <w:r w:rsidR="001B6F56">
        <w:t>use</w:t>
      </w:r>
      <w:r>
        <w:t xml:space="preserve"> existing boilers. Our path assumes that by 2030 coal use in commercial and public buildings has been eliminated</w:t>
      </w:r>
      <w:r w:rsidR="00627F30">
        <w:t xml:space="preserve">. The Government announcement in 2020 that all </w:t>
      </w:r>
      <w:r w:rsidR="23958F1E">
        <w:t xml:space="preserve">coal boilers in </w:t>
      </w:r>
      <w:r w:rsidR="00627F30">
        <w:t xml:space="preserve">public </w:t>
      </w:r>
      <w:r w:rsidR="00363080">
        <w:t xml:space="preserve">sector </w:t>
      </w:r>
      <w:r w:rsidR="005A1021">
        <w:t xml:space="preserve">buildings </w:t>
      </w:r>
      <w:r w:rsidR="7A8638D5">
        <w:t>w</w:t>
      </w:r>
      <w:r w:rsidR="10368871">
        <w:t>ill</w:t>
      </w:r>
      <w:r w:rsidR="7A8638D5">
        <w:t xml:space="preserve"> </w:t>
      </w:r>
      <w:r w:rsidR="74BBE9A8">
        <w:t>be phased</w:t>
      </w:r>
      <w:r w:rsidR="005A1021">
        <w:t xml:space="preserve"> out </w:t>
      </w:r>
      <w:r w:rsidR="00D96228">
        <w:t xml:space="preserve">is a step </w:t>
      </w:r>
      <w:r w:rsidR="00B87C5F">
        <w:t xml:space="preserve">towards this. </w:t>
      </w:r>
    </w:p>
    <w:p w14:paraId="2ECDF689" w14:textId="4A643465" w:rsidR="0046278A" w:rsidRPr="0046278A" w:rsidRDefault="14D2B3A6" w:rsidP="0046278A">
      <w:r>
        <w:t>Fossil fuel h</w:t>
      </w:r>
      <w:r w:rsidR="0344A8F3">
        <w:t>eating</w:t>
      </w:r>
      <w:r w:rsidR="008D376E">
        <w:t xml:space="preserve"> systems</w:t>
      </w:r>
      <w:r w:rsidR="0344A8F3">
        <w:t xml:space="preserve"> </w:t>
      </w:r>
      <w:r w:rsidR="00F65C79">
        <w:t xml:space="preserve">will </w:t>
      </w:r>
      <w:r w:rsidR="55F179A9">
        <w:t>typically</w:t>
      </w:r>
      <w:r w:rsidR="00A0259A">
        <w:t xml:space="preserve"> last </w:t>
      </w:r>
      <w:r w:rsidR="00064526">
        <w:t xml:space="preserve">for </w:t>
      </w:r>
      <w:r w:rsidR="0344A8F3">
        <w:t>20 years or longer.</w:t>
      </w:r>
      <w:r w:rsidR="008D376E">
        <w:t xml:space="preserve"> Our path looks to avoid new heating systems having to be scrapped before the end of their useful lives. This means that our path assumes</w:t>
      </w:r>
      <w:r w:rsidR="008D376E" w:rsidDel="00F60DF2">
        <w:t xml:space="preserve"> all new space heating or hot water systems installed after 2025 in new </w:t>
      </w:r>
      <w:r w:rsidR="008D376E">
        <w:t>buildings</w:t>
      </w:r>
      <w:r w:rsidR="008D376E" w:rsidDel="00F60DF2">
        <w:t xml:space="preserve"> </w:t>
      </w:r>
      <w:r w:rsidR="6E4BEC5D">
        <w:t>are</w:t>
      </w:r>
      <w:r w:rsidR="008D376E" w:rsidDel="00F60DF2">
        <w:t xml:space="preserve"> either electric or biomass</w:t>
      </w:r>
      <w:r w:rsidR="00CE71FB">
        <w:t>. For existing buildings, the phase out begins in 2030</w:t>
      </w:r>
      <w:r w:rsidR="0062059D">
        <w:t xml:space="preserve"> (</w:t>
      </w:r>
      <w:r>
        <w:fldChar w:fldCharType="begin"/>
      </w:r>
      <w:r>
        <w:instrText>REF _Ref61269908</w:instrText>
      </w:r>
      <w:r>
        <w:fldChar w:fldCharType="separate"/>
      </w:r>
      <w:r w:rsidR="00A22B54">
        <w:t xml:space="preserve">Figure </w:t>
      </w:r>
      <w:r>
        <w:fldChar w:fldCharType="end"/>
      </w:r>
      <w:r w:rsidR="0062059D">
        <w:t>3.12)</w:t>
      </w:r>
      <w:r w:rsidR="008D376E" w:rsidDel="00F60DF2">
        <w:t>. No further natural gas connections to the grid, or bottled LPG connections occur after 2025. This would allow time for a steady transition, to be on track for a complete transition away from using natural gas in buildings by 2050</w:t>
      </w:r>
      <w:r w:rsidR="0025719D">
        <w:t>.</w:t>
      </w:r>
    </w:p>
    <w:p w14:paraId="557F3564" w14:textId="356D01EA" w:rsidR="00B93692" w:rsidRDefault="551B2D09" w:rsidP="005E7A44">
      <w:pPr>
        <w:keepNext/>
        <w:jc w:val="center"/>
      </w:pPr>
      <w:r>
        <w:rPr>
          <w:noProof/>
        </w:rPr>
        <w:drawing>
          <wp:inline distT="0" distB="0" distL="0" distR="0" wp14:anchorId="4CEECBB7" wp14:editId="5AED5A1F">
            <wp:extent cx="5785485" cy="3196987"/>
            <wp:effectExtent l="0" t="0" r="571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rotWithShape="1">
                    <a:blip r:embed="rId39">
                      <a:extLst>
                        <a:ext uri="{28A0092B-C50C-407E-A947-70E740481C1C}">
                          <a14:useLocalDpi xmlns:a14="http://schemas.microsoft.com/office/drawing/2010/main" val="0"/>
                        </a:ext>
                      </a:extLst>
                    </a:blip>
                    <a:srcRect t="6451" b="4661"/>
                    <a:stretch/>
                  </pic:blipFill>
                  <pic:spPr bwMode="auto">
                    <a:xfrm>
                      <a:off x="0" y="0"/>
                      <a:ext cx="5785486" cy="3196988"/>
                    </a:xfrm>
                    <a:prstGeom prst="rect">
                      <a:avLst/>
                    </a:prstGeom>
                    <a:ln>
                      <a:noFill/>
                    </a:ln>
                    <a:extLst>
                      <a:ext uri="{53640926-AAD7-44D8-BBD7-CCE9431645EC}">
                        <a14:shadowObscured xmlns:a14="http://schemas.microsoft.com/office/drawing/2010/main"/>
                      </a:ext>
                    </a:extLst>
                  </pic:spPr>
                </pic:pic>
              </a:graphicData>
            </a:graphic>
          </wp:inline>
        </w:drawing>
      </w:r>
    </w:p>
    <w:p w14:paraId="62370A5C" w14:textId="1962F959" w:rsidR="00B93692" w:rsidRDefault="00B93692" w:rsidP="005E7A44">
      <w:pPr>
        <w:pStyle w:val="Caption"/>
      </w:pPr>
      <w:bookmarkStart w:id="119" w:name="_Ref61269908"/>
      <w:r>
        <w:t xml:space="preserve">Figure </w:t>
      </w:r>
      <w:bookmarkEnd w:id="119"/>
      <w:r w:rsidR="005E7A44">
        <w:t>3.1</w:t>
      </w:r>
      <w:r w:rsidR="00080CD4">
        <w:t>2</w:t>
      </w:r>
      <w:r>
        <w:t>: Energy use in buildings in our path</w:t>
      </w:r>
      <w:r w:rsidR="002D5DEA">
        <w:t>.</w:t>
      </w:r>
    </w:p>
    <w:p w14:paraId="2B0768BF" w14:textId="77777777" w:rsidR="002D5DEA" w:rsidRPr="00295A62" w:rsidRDefault="002D5DEA" w:rsidP="002D5DEA">
      <w:pPr>
        <w:spacing w:before="0"/>
        <w:jc w:val="right"/>
      </w:pPr>
      <w:r w:rsidRPr="00295A62">
        <w:t>Source: Commission analysis</w:t>
      </w:r>
      <w:r>
        <w:t>.</w:t>
      </w:r>
    </w:p>
    <w:p w14:paraId="2D56FDF6" w14:textId="6B55F098" w:rsidR="008D376E" w:rsidRDefault="00EB0507" w:rsidP="008D376E">
      <w:pPr>
        <w:pStyle w:val="Heading3"/>
      </w:pPr>
      <w:bookmarkStart w:id="120" w:name="_Toc62649327"/>
      <w:bookmarkStart w:id="121" w:name="_Toc62650268"/>
      <w:bookmarkStart w:id="122" w:name="_Hlk58609773"/>
      <w:r>
        <w:lastRenderedPageBreak/>
        <w:t xml:space="preserve">3.8.3 </w:t>
      </w:r>
      <w:r w:rsidR="008D376E">
        <w:t>Electricity</w:t>
      </w:r>
      <w:bookmarkEnd w:id="120"/>
      <w:bookmarkEnd w:id="121"/>
      <w:r w:rsidR="00AE2DC1">
        <w:t xml:space="preserve"> </w:t>
      </w:r>
    </w:p>
    <w:p w14:paraId="47B2AEC8" w14:textId="0000634E" w:rsidR="008D376E" w:rsidRDefault="008D376E" w:rsidP="008D376E">
      <w:r>
        <w:t xml:space="preserve">The use of low emissions electricity allows other sectors to reduce emissions. </w:t>
      </w:r>
      <w:r w:rsidR="008F4722">
        <w:t>Elec</w:t>
      </w:r>
      <w:r w:rsidR="00A0615F">
        <w:t>trifying</w:t>
      </w:r>
      <w:r>
        <w:t xml:space="preserve"> light passenger vehicles will require significant expansion in electricity generation capacity. Demand for electricity will also increase as buildings and process heat switch away from fossil fuels. Increased demand </w:t>
      </w:r>
      <w:r w:rsidR="00035FEE">
        <w:t>will</w:t>
      </w:r>
      <w:r>
        <w:t xml:space="preserve"> need to be accompanied by expan</w:t>
      </w:r>
      <w:r w:rsidR="00D86C8C">
        <w:t xml:space="preserve">ding </w:t>
      </w:r>
      <w:r>
        <w:t xml:space="preserve">transmission and distribution infrastructure. </w:t>
      </w:r>
    </w:p>
    <w:p w14:paraId="416F9BF2" w14:textId="509CFEF4" w:rsidR="004F2C9A" w:rsidRPr="004F2C9A" w:rsidRDefault="008D376E" w:rsidP="004F2C9A">
      <w:r>
        <w:t xml:space="preserve">Our path requires rapid expansion of renewable wind and solar generation in the 2030s </w:t>
      </w:r>
      <w:r w:rsidR="007A2586">
        <w:t xml:space="preserve">and beyond </w:t>
      </w:r>
      <w:r>
        <w:t>to meet increased electricity demand as electric vehicles are widely adopted</w:t>
      </w:r>
      <w:r w:rsidR="00CC0546">
        <w:t xml:space="preserve"> (</w:t>
      </w:r>
      <w:r w:rsidR="001C5546">
        <w:t>Figure 3.</w:t>
      </w:r>
      <w:r w:rsidR="000043C6">
        <w:t xml:space="preserve">13 </w:t>
      </w:r>
      <w:r w:rsidR="00067258">
        <w:t>and</w:t>
      </w:r>
      <w:r w:rsidR="001C5546">
        <w:t xml:space="preserve"> Figure 3.14</w:t>
      </w:r>
      <w:r w:rsidR="00034874">
        <w:t>)</w:t>
      </w:r>
      <w:r>
        <w:t xml:space="preserve">. However, in the short term, </w:t>
      </w:r>
      <w:r w:rsidR="00E44048">
        <w:t xml:space="preserve">electricity generation </w:t>
      </w:r>
      <w:r w:rsidR="00947F8D">
        <w:t>companies</w:t>
      </w:r>
      <w:r>
        <w:t xml:space="preserve"> </w:t>
      </w:r>
      <w:r w:rsidR="007A2586">
        <w:t>may not</w:t>
      </w:r>
      <w:r>
        <w:t xml:space="preserve"> commit to this expansion in capacity while there is uncertainty around the future of </w:t>
      </w:r>
      <w:r w:rsidR="00310764">
        <w:t>the New Zealand</w:t>
      </w:r>
      <w:r w:rsidR="64AA9145">
        <w:t xml:space="preserve"> Aluminium Smelter</w:t>
      </w:r>
      <w:r w:rsidR="003502A3">
        <w:t xml:space="preserve"> at Tiwai Point</w:t>
      </w:r>
      <w:r>
        <w:t xml:space="preserve">. </w:t>
      </w:r>
    </w:p>
    <w:p w14:paraId="57478CAB" w14:textId="143521DD" w:rsidR="000F574A" w:rsidRPr="000F574A" w:rsidRDefault="00A73AA6" w:rsidP="000F574A">
      <w:r>
        <w:t xml:space="preserve">The New Zealand </w:t>
      </w:r>
      <w:r w:rsidR="00823A7E">
        <w:t>Aluminium</w:t>
      </w:r>
      <w:r>
        <w:t xml:space="preserve"> Smelter</w:t>
      </w:r>
      <w:r w:rsidR="001B6F56">
        <w:t xml:space="preserve"> </w:t>
      </w:r>
      <w:r w:rsidR="00813B82">
        <w:t>is the single largest consumer of electricity</w:t>
      </w:r>
      <w:r w:rsidR="000C2DED">
        <w:t>. O</w:t>
      </w:r>
      <w:r w:rsidR="00823A7E">
        <w:t>ver the last 5 years it used on average</w:t>
      </w:r>
      <w:r w:rsidR="001B6F56">
        <w:t xml:space="preserve"> around 1</w:t>
      </w:r>
      <w:r w:rsidR="00854720">
        <w:t>3</w:t>
      </w:r>
      <w:r w:rsidR="001B6F56">
        <w:t xml:space="preserve">% </w:t>
      </w:r>
      <w:r w:rsidR="004C2CAD">
        <w:t>per year</w:t>
      </w:r>
      <w:r w:rsidR="001B6F56">
        <w:t xml:space="preserve"> of </w:t>
      </w:r>
      <w:r w:rsidR="00527D05">
        <w:t>the country’s</w:t>
      </w:r>
      <w:r w:rsidR="001B6F56">
        <w:t xml:space="preserve"> electricity. </w:t>
      </w:r>
      <w:r w:rsidR="008B6188">
        <w:t>During the course of the Commission preparing its advice the</w:t>
      </w:r>
      <w:r w:rsidR="00426A9F">
        <w:t xml:space="preserve"> future </w:t>
      </w:r>
      <w:r w:rsidR="008B6188">
        <w:t>of the Smelter was</w:t>
      </w:r>
      <w:r w:rsidR="00426A9F">
        <w:t xml:space="preserve"> under review.</w:t>
      </w:r>
      <w:r w:rsidR="001B6F56">
        <w:t xml:space="preserve"> If it leaves</w:t>
      </w:r>
      <w:r w:rsidR="009E03B2">
        <w:t>,</w:t>
      </w:r>
      <w:r w:rsidR="001B6F56">
        <w:t xml:space="preserve"> this electricity would be available for other uses. In our path </w:t>
      </w:r>
      <w:r w:rsidR="00823A7E">
        <w:t>the Smelter</w:t>
      </w:r>
      <w:r w:rsidR="001B6F56">
        <w:t xml:space="preserve"> closes gradually, coming to a full close in 2026.</w:t>
      </w:r>
      <w:r w:rsidR="00426A9F">
        <w:t xml:space="preserve"> In January 202</w:t>
      </w:r>
      <w:r w:rsidR="005B443F">
        <w:t>1</w:t>
      </w:r>
      <w:r w:rsidR="00426A9F">
        <w:t xml:space="preserve"> the New Zealand Aluminium Smelter reached a deal to extend its operations until 2024.</w:t>
      </w:r>
    </w:p>
    <w:p w14:paraId="669988B2" w14:textId="1FB701D1" w:rsidR="00663499" w:rsidRDefault="00CC5300" w:rsidP="00CC5300">
      <w:r>
        <w:t xml:space="preserve">Wind, solar and geothermal offer low cost and low emissions ways of generating electricity. </w:t>
      </w:r>
      <w:r w:rsidR="00F61594">
        <w:t>O</w:t>
      </w:r>
      <w:r>
        <w:t xml:space="preserve">ur path assumes </w:t>
      </w:r>
      <w:r w:rsidR="00F61594">
        <w:t>renewable</w:t>
      </w:r>
      <w:r w:rsidR="00D86366">
        <w:t xml:space="preserve"> generation is</w:t>
      </w:r>
      <w:r w:rsidR="006A7376">
        <w:t xml:space="preserve"> </w:t>
      </w:r>
      <w:r>
        <w:t>bui</w:t>
      </w:r>
      <w:r w:rsidR="00D84EDE">
        <w:t xml:space="preserve">lt </w:t>
      </w:r>
      <w:r>
        <w:t>in the</w:t>
      </w:r>
      <w:r w:rsidR="006A7376">
        <w:t xml:space="preserve"> early</w:t>
      </w:r>
      <w:r>
        <w:t xml:space="preserve"> 2020s</w:t>
      </w:r>
      <w:r w:rsidR="00D86366">
        <w:t>.</w:t>
      </w:r>
      <w:r w:rsidR="00D84EDE">
        <w:t xml:space="preserve"> </w:t>
      </w:r>
      <w:r w:rsidR="00D86366">
        <w:t>T</w:t>
      </w:r>
      <w:r w:rsidR="00D84EDE">
        <w:t>hen</w:t>
      </w:r>
      <w:r w:rsidR="006A7376">
        <w:t xml:space="preserve"> building</w:t>
      </w:r>
      <w:r w:rsidR="00D86366">
        <w:t xml:space="preserve"> further renewables</w:t>
      </w:r>
      <w:r>
        <w:t xml:space="preserve"> </w:t>
      </w:r>
      <w:r w:rsidR="00E74EF5">
        <w:t>pauses due the closure of the New Zealand Aluminium Smelter</w:t>
      </w:r>
      <w:r w:rsidR="00474EC2">
        <w:t>,</w:t>
      </w:r>
      <w:r w:rsidR="006A7376">
        <w:t xml:space="preserve"> </w:t>
      </w:r>
      <w:r w:rsidR="00E74EF5">
        <w:t>resum</w:t>
      </w:r>
      <w:r w:rsidR="00D86366">
        <w:t>ing</w:t>
      </w:r>
      <w:r w:rsidR="00E74EF5">
        <w:t xml:space="preserve"> </w:t>
      </w:r>
      <w:r w:rsidR="004E4212">
        <w:t>in the late 2020s</w:t>
      </w:r>
      <w:r w:rsidR="001B6F56">
        <w:t>.</w:t>
      </w:r>
      <w:r>
        <w:t xml:space="preserve"> </w:t>
      </w:r>
      <w:r w:rsidR="006C68E4">
        <w:t xml:space="preserve">This is illustrated in </w:t>
      </w:r>
      <w:r w:rsidR="000043C6">
        <w:t>F</w:t>
      </w:r>
      <w:r w:rsidR="006C68E4">
        <w:t>igure</w:t>
      </w:r>
      <w:r w:rsidR="000043C6">
        <w:t xml:space="preserve"> 3.13</w:t>
      </w:r>
      <w:r w:rsidR="006C68E4">
        <w:t xml:space="preserve"> and </w:t>
      </w:r>
      <w:r w:rsidR="000043C6">
        <w:t>3.14</w:t>
      </w:r>
      <w:r w:rsidR="006C68E4">
        <w:t xml:space="preserve">. </w:t>
      </w:r>
    </w:p>
    <w:p w14:paraId="6C4E65CE" w14:textId="70009672" w:rsidR="007568FE" w:rsidRPr="007568FE" w:rsidRDefault="00CC5300" w:rsidP="007568FE">
      <w:r>
        <w:t>S</w:t>
      </w:r>
      <w:r w:rsidR="001B6F56">
        <w:t xml:space="preserve">ome geothermal fields have high emissions from their geothermal fluid, with an equivalent emissions intensity as gas generation. In our path these high emitting geothermal fields would close before 2030 </w:t>
      </w:r>
      <w:r w:rsidR="001B6F56" w:rsidRPr="007A2586">
        <w:t>reducing geothermal emissions by around 25% while only reducing generation by 6%. </w:t>
      </w:r>
    </w:p>
    <w:p w14:paraId="4BFD9D45" w14:textId="600D91AE" w:rsidR="00034874" w:rsidRDefault="00135DFB" w:rsidP="009D5D27">
      <w:pPr>
        <w:keepNext/>
        <w:jc w:val="center"/>
      </w:pPr>
      <w:r>
        <w:rPr>
          <w:noProof/>
        </w:rPr>
        <w:lastRenderedPageBreak/>
        <w:drawing>
          <wp:inline distT="0" distB="0" distL="0" distR="0" wp14:anchorId="4E5F9AA0" wp14:editId="5BB41FC0">
            <wp:extent cx="5875361" cy="370503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rotWithShape="1">
                    <a:blip r:embed="rId40">
                      <a:extLst>
                        <a:ext uri="{28A0092B-C50C-407E-A947-70E740481C1C}">
                          <a14:useLocalDpi xmlns:a14="http://schemas.microsoft.com/office/drawing/2010/main" val="0"/>
                        </a:ext>
                      </a:extLst>
                    </a:blip>
                    <a:srcRect t="6247" r="6638" b="5019"/>
                    <a:stretch/>
                  </pic:blipFill>
                  <pic:spPr bwMode="auto">
                    <a:xfrm>
                      <a:off x="0" y="0"/>
                      <a:ext cx="5894800" cy="3717289"/>
                    </a:xfrm>
                    <a:prstGeom prst="rect">
                      <a:avLst/>
                    </a:prstGeom>
                    <a:ln>
                      <a:noFill/>
                    </a:ln>
                    <a:extLst>
                      <a:ext uri="{53640926-AAD7-44D8-BBD7-CCE9431645EC}">
                        <a14:shadowObscured xmlns:a14="http://schemas.microsoft.com/office/drawing/2010/main"/>
                      </a:ext>
                    </a:extLst>
                  </pic:spPr>
                </pic:pic>
              </a:graphicData>
            </a:graphic>
          </wp:inline>
        </w:drawing>
      </w:r>
    </w:p>
    <w:p w14:paraId="5B872DB1" w14:textId="561AA5EC" w:rsidR="00034874" w:rsidRDefault="00034874" w:rsidP="009D5D27">
      <w:pPr>
        <w:pStyle w:val="Caption"/>
      </w:pPr>
      <w:bookmarkStart w:id="123" w:name="_Ref61270340"/>
      <w:r>
        <w:t xml:space="preserve">Figure </w:t>
      </w:r>
      <w:bookmarkEnd w:id="123"/>
      <w:r w:rsidR="00FA0E8A">
        <w:t>3.13</w:t>
      </w:r>
      <w:r>
        <w:t xml:space="preserve">: </w:t>
      </w:r>
      <w:r w:rsidRPr="001F6536">
        <w:t>Electricity generation by fuel in our path</w:t>
      </w:r>
      <w:r w:rsidR="002D5DEA">
        <w:t>.</w:t>
      </w:r>
    </w:p>
    <w:p w14:paraId="4C896DDC" w14:textId="78716D38" w:rsidR="00034874" w:rsidRPr="00322AAD" w:rsidRDefault="002D5DEA" w:rsidP="00400204">
      <w:pPr>
        <w:spacing w:before="0"/>
        <w:jc w:val="right"/>
      </w:pPr>
      <w:r w:rsidRPr="00295A62">
        <w:t>Source: Commission analysis</w:t>
      </w:r>
      <w:r>
        <w:t>.</w:t>
      </w:r>
    </w:p>
    <w:p w14:paraId="6BF0C008" w14:textId="42BF8D64" w:rsidR="00034874" w:rsidRDefault="00D76244" w:rsidP="00034874">
      <w:pPr>
        <w:keepNext/>
      </w:pPr>
      <w:r>
        <w:rPr>
          <w:noProof/>
        </w:rPr>
        <w:drawing>
          <wp:inline distT="0" distB="0" distL="0" distR="0" wp14:anchorId="79E51E0F" wp14:editId="2DB6F765">
            <wp:extent cx="5761355" cy="3364451"/>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t="6621"/>
                    <a:stretch/>
                  </pic:blipFill>
                  <pic:spPr bwMode="auto">
                    <a:xfrm>
                      <a:off x="0" y="0"/>
                      <a:ext cx="5761355" cy="3364451"/>
                    </a:xfrm>
                    <a:prstGeom prst="rect">
                      <a:avLst/>
                    </a:prstGeom>
                    <a:noFill/>
                    <a:ln>
                      <a:noFill/>
                    </a:ln>
                    <a:extLst>
                      <a:ext uri="{53640926-AAD7-44D8-BBD7-CCE9431645EC}">
                        <a14:shadowObscured xmlns:a14="http://schemas.microsoft.com/office/drawing/2010/main"/>
                      </a:ext>
                    </a:extLst>
                  </pic:spPr>
                </pic:pic>
              </a:graphicData>
            </a:graphic>
          </wp:inline>
        </w:drawing>
      </w:r>
    </w:p>
    <w:p w14:paraId="31F62BDD" w14:textId="492E475F" w:rsidR="00034874" w:rsidRDefault="00034874" w:rsidP="00984262">
      <w:pPr>
        <w:pStyle w:val="Caption"/>
      </w:pPr>
      <w:bookmarkStart w:id="124" w:name="_Ref61270372"/>
      <w:r>
        <w:t xml:space="preserve">Figure </w:t>
      </w:r>
      <w:bookmarkEnd w:id="124"/>
      <w:r w:rsidR="00984262">
        <w:t>3.14</w:t>
      </w:r>
      <w:r>
        <w:t xml:space="preserve">: </w:t>
      </w:r>
      <w:r w:rsidRPr="00000800">
        <w:t xml:space="preserve">Annual increase (positive) or decrease (negative) in electricity generation compared to </w:t>
      </w:r>
      <w:r w:rsidR="002D12DC">
        <w:t xml:space="preserve">the </w:t>
      </w:r>
      <w:r w:rsidRPr="00000800">
        <w:t>previous yea</w:t>
      </w:r>
      <w:r w:rsidR="002D12DC">
        <w:t>r</w:t>
      </w:r>
      <w:r w:rsidR="002D5DEA">
        <w:t>.</w:t>
      </w:r>
      <w:r w:rsidR="00831D72">
        <w:t xml:space="preserve"> </w:t>
      </w:r>
    </w:p>
    <w:p w14:paraId="5BEEF141" w14:textId="77777777" w:rsidR="002D5DEA" w:rsidRPr="00295A62" w:rsidRDefault="002D5DEA" w:rsidP="002D5DEA">
      <w:pPr>
        <w:spacing w:before="0"/>
        <w:jc w:val="right"/>
      </w:pPr>
      <w:r w:rsidRPr="00295A62">
        <w:t>Source: Commission analysis</w:t>
      </w:r>
      <w:r>
        <w:t>.</w:t>
      </w:r>
    </w:p>
    <w:p w14:paraId="35C778F2" w14:textId="45915271" w:rsidR="008D376E" w:rsidRDefault="008D376E" w:rsidP="008D376E">
      <w:r>
        <w:lastRenderedPageBreak/>
        <w:t>There is also uncertainty</w:t>
      </w:r>
      <w:r w:rsidR="00CC5300">
        <w:t xml:space="preserve"> around the solution to the dry year challenge</w:t>
      </w:r>
      <w:r w:rsidR="001A2251">
        <w:t xml:space="preserve"> – solutions for generating </w:t>
      </w:r>
      <w:r w:rsidR="00212759">
        <w:t xml:space="preserve">sufficient </w:t>
      </w:r>
      <w:r w:rsidR="00BD3EE2">
        <w:t xml:space="preserve">renewable </w:t>
      </w:r>
      <w:r w:rsidR="001A2251">
        <w:t xml:space="preserve">electricity in </w:t>
      </w:r>
      <w:r w:rsidR="00CA1CC8">
        <w:t>years when hydro lake levels are low</w:t>
      </w:r>
      <w:r w:rsidR="00CC5300">
        <w:t xml:space="preserve">. Multiple options are being considered under the NZ Battery </w:t>
      </w:r>
      <w:r w:rsidR="00BC6F9E">
        <w:t>p</w:t>
      </w:r>
      <w:r w:rsidR="00CC5300">
        <w:t>roject that</w:t>
      </w:r>
      <w:r>
        <w:t xml:space="preserve"> could offer a fossil fuel free solution to providing electricity in dry years where hydro lake levels are low</w:t>
      </w:r>
      <w:r w:rsidR="00CC5300">
        <w:t>. There</w:t>
      </w:r>
      <w:r>
        <w:t xml:space="preserve"> are questions over the technical and economic feasibility and public </w:t>
      </w:r>
      <w:r w:rsidR="6FDFCD9B">
        <w:t>support</w:t>
      </w:r>
      <w:r>
        <w:t xml:space="preserve"> of the proposals. </w:t>
      </w:r>
    </w:p>
    <w:p w14:paraId="6101B608" w14:textId="470237A9" w:rsidR="007568FE" w:rsidRPr="007568FE" w:rsidRDefault="00CC5300" w:rsidP="007568FE">
      <w:r>
        <w:t>G</w:t>
      </w:r>
      <w:r w:rsidR="008D376E">
        <w:t xml:space="preserve">as </w:t>
      </w:r>
      <w:r w:rsidR="00057CD2">
        <w:t>generation</w:t>
      </w:r>
      <w:r w:rsidR="008D376E">
        <w:t xml:space="preserve"> provide</w:t>
      </w:r>
      <w:r>
        <w:t>s</w:t>
      </w:r>
      <w:r w:rsidR="008D376E">
        <w:t xml:space="preserve"> flexibility to meet </w:t>
      </w:r>
      <w:r w:rsidR="5D0EED98">
        <w:t>daily</w:t>
      </w:r>
      <w:r w:rsidR="008D376E">
        <w:t xml:space="preserve"> and seasonal peaks in demand and back</w:t>
      </w:r>
      <w:r>
        <w:t>s</w:t>
      </w:r>
      <w:r w:rsidR="008D376E">
        <w:t xml:space="preserve"> up renewable generation. While our path would see reductions in gas generation, some gas is still required to provide this flexibility until 2035 at least. </w:t>
      </w:r>
      <w:r>
        <w:t>In our path, coal fired generation at Huntly closes in the 2020s.</w:t>
      </w:r>
    </w:p>
    <w:p w14:paraId="1A353CED" w14:textId="5632D2EF" w:rsidR="001774B8" w:rsidRPr="0092640B" w:rsidRDefault="000D7A4A" w:rsidP="001774B8">
      <w:r w:rsidRPr="0092640B">
        <w:t xml:space="preserve">The challenge is </w:t>
      </w:r>
      <w:r>
        <w:t>delivering</w:t>
      </w:r>
      <w:r w:rsidRPr="0092640B">
        <w:t xml:space="preserve"> a timely, reliable and affordable build out of the electricity system, while managing the opposing risks of under or over-investing in the system. </w:t>
      </w:r>
      <w:r w:rsidR="001774B8">
        <w:t>C</w:t>
      </w:r>
      <w:r w:rsidR="001774B8" w:rsidRPr="0092640B">
        <w:t>ontinu</w:t>
      </w:r>
      <w:r w:rsidR="001774B8">
        <w:t xml:space="preserve">ing to </w:t>
      </w:r>
      <w:r w:rsidR="001774B8" w:rsidRPr="0092640B">
        <w:t xml:space="preserve">build new electricity generation and transmission infrastructure throughout </w:t>
      </w:r>
      <w:r w:rsidR="001774B8">
        <w:t>the 2020s would</w:t>
      </w:r>
      <w:r w:rsidR="001774B8" w:rsidRPr="0092640B">
        <w:t xml:space="preserve"> avoid </w:t>
      </w:r>
      <w:r w:rsidR="001774B8">
        <w:t xml:space="preserve">construction </w:t>
      </w:r>
      <w:r w:rsidR="001774B8" w:rsidRPr="0092640B">
        <w:t xml:space="preserve">bottlenecks </w:t>
      </w:r>
      <w:r w:rsidR="001774B8">
        <w:t xml:space="preserve">and potential delays to wider decarbonisation </w:t>
      </w:r>
      <w:r w:rsidR="001774B8" w:rsidRPr="0092640B">
        <w:t>in the 2030s.</w:t>
      </w:r>
    </w:p>
    <w:bookmarkEnd w:id="122"/>
    <w:p w14:paraId="7E108F26" w14:textId="35337B10" w:rsidR="000D7A4A" w:rsidRPr="00F90E58" w:rsidRDefault="000D7A4A" w:rsidP="000D7A4A">
      <w:r>
        <w:t>Over-investment</w:t>
      </w:r>
      <w:r w:rsidRPr="0092640B">
        <w:t xml:space="preserve"> could </w:t>
      </w:r>
      <w:r>
        <w:t xml:space="preserve">result in sunk assets or </w:t>
      </w:r>
      <w:r w:rsidRPr="0092640B">
        <w:t xml:space="preserve">increase the delivered cost of electricity </w:t>
      </w:r>
      <w:r>
        <w:t xml:space="preserve">and </w:t>
      </w:r>
      <w:r w:rsidRPr="0092640B">
        <w:t>disincentivis</w:t>
      </w:r>
      <w:r>
        <w:t>e</w:t>
      </w:r>
      <w:r w:rsidRPr="0092640B">
        <w:t xml:space="preserve"> electrification</w:t>
      </w:r>
      <w:r>
        <w:t>. U</w:t>
      </w:r>
      <w:r w:rsidRPr="0092640B">
        <w:t>nderinvestment could delay progress on wider decarbonisation efforts in transport, industry and buildings.</w:t>
      </w:r>
    </w:p>
    <w:p w14:paraId="3351E179" w14:textId="3BC87DE8" w:rsidR="00CA72DF" w:rsidRDefault="00EB0507" w:rsidP="00CA72DF">
      <w:pPr>
        <w:pStyle w:val="Heading3"/>
      </w:pPr>
      <w:bookmarkStart w:id="125" w:name="_Toc62649328"/>
      <w:bookmarkStart w:id="126" w:name="_Toc62650269"/>
      <w:r>
        <w:t xml:space="preserve">3.8.4 </w:t>
      </w:r>
      <w:r w:rsidR="00CA72DF">
        <w:t>Natural gas use</w:t>
      </w:r>
      <w:bookmarkEnd w:id="125"/>
      <w:bookmarkEnd w:id="126"/>
    </w:p>
    <w:p w14:paraId="50F99C3A" w14:textId="1559DBCC" w:rsidR="00AE2DC1" w:rsidRDefault="00AE2DC1" w:rsidP="00AE2DC1">
      <w:r w:rsidRPr="0092640B">
        <w:t xml:space="preserve">The total amount of natural gas used in Aotearoa needs to reduce in order to achieve the 2050 targets. Much of the </w:t>
      </w:r>
      <w:r>
        <w:t xml:space="preserve">natural gas </w:t>
      </w:r>
      <w:r w:rsidRPr="0092640B">
        <w:t>current</w:t>
      </w:r>
      <w:r>
        <w:t>ly</w:t>
      </w:r>
      <w:r w:rsidRPr="0092640B">
        <w:t xml:space="preserve"> use</w:t>
      </w:r>
      <w:r>
        <w:t xml:space="preserve">d </w:t>
      </w:r>
      <w:r w:rsidRPr="0092640B">
        <w:t>for process heat, heating and cooking in buildings</w:t>
      </w:r>
      <w:r>
        <w:t>, and electricity generation</w:t>
      </w:r>
      <w:r w:rsidRPr="0092640B">
        <w:t xml:space="preserve"> will need to convert to </w:t>
      </w:r>
      <w:r>
        <w:t>low emissions technologies</w:t>
      </w:r>
      <w:r w:rsidRPr="0092640B">
        <w:t xml:space="preserve">. </w:t>
      </w:r>
    </w:p>
    <w:p w14:paraId="12EB2E4C" w14:textId="57B80BC5" w:rsidR="00AE2DC1" w:rsidRDefault="00AE2DC1" w:rsidP="00AE2DC1">
      <w:r w:rsidRPr="0092640B">
        <w:t>Natural gas currently plays a significant role in the electricity system by backing up renewable generation, particularly in dry years</w:t>
      </w:r>
      <w:r>
        <w:t xml:space="preserve"> when hydro lake levels are low</w:t>
      </w:r>
      <w:r w:rsidRPr="0092640B">
        <w:t xml:space="preserve">. Using gas in this way </w:t>
      </w:r>
      <w:r>
        <w:t xml:space="preserve">supports the reliability and affordability of </w:t>
      </w:r>
      <w:r w:rsidR="00527D05">
        <w:t>the country’s</w:t>
      </w:r>
      <w:r w:rsidRPr="0092640B">
        <w:t xml:space="preserve"> electricity system</w:t>
      </w:r>
      <w:r>
        <w:t>.</w:t>
      </w:r>
    </w:p>
    <w:p w14:paraId="635BC930" w14:textId="39CFDB38" w:rsidR="00AE2DC1" w:rsidRPr="0092640B" w:rsidRDefault="00AE2DC1" w:rsidP="00AE2DC1">
      <w:r w:rsidRPr="0092640B">
        <w:t xml:space="preserve">There are options to eliminate the use of </w:t>
      </w:r>
      <w:r>
        <w:t xml:space="preserve">natural </w:t>
      </w:r>
      <w:r w:rsidRPr="0092640B">
        <w:t>gas for electricity generation</w:t>
      </w:r>
      <w:r w:rsidR="00FE4086">
        <w:t>.</w:t>
      </w:r>
      <w:r w:rsidRPr="0092640B">
        <w:t xml:space="preserve"> </w:t>
      </w:r>
      <w:r w:rsidR="00FE4086">
        <w:t>H</w:t>
      </w:r>
      <w:r w:rsidRPr="0092640B">
        <w:t>owever</w:t>
      </w:r>
      <w:r w:rsidR="00FE4086">
        <w:t>,</w:t>
      </w:r>
      <w:r w:rsidRPr="0092640B">
        <w:t xml:space="preserve"> these are likely to be expensive for the size of the emissions reductions</w:t>
      </w:r>
      <w:r>
        <w:t xml:space="preserve"> they deliver</w:t>
      </w:r>
      <w:r w:rsidRPr="0092640B">
        <w:t>. In addition, the transition away from gas across the economy would need to occur without compromising the affordability and security of the electricity supply or increasing total emissions</w:t>
      </w:r>
      <w:r w:rsidRPr="0092640B" w:rsidDel="00AE2DC1">
        <w:t>.</w:t>
      </w:r>
    </w:p>
    <w:p w14:paraId="53421D63" w14:textId="5C48658B" w:rsidR="00AE2DC1" w:rsidRPr="0092640B" w:rsidRDefault="00AE2DC1" w:rsidP="00AE2DC1">
      <w:r w:rsidRPr="0092640B">
        <w:t>There is a critical dependency between domestic gas supply and the company Methanex</w:t>
      </w:r>
      <w:r>
        <w:t>. Methanex</w:t>
      </w:r>
      <w:r w:rsidRPr="0092640B">
        <w:t xml:space="preserve"> produce</w:t>
      </w:r>
      <w:r>
        <w:t>s</w:t>
      </w:r>
      <w:r w:rsidRPr="0092640B">
        <w:t xml:space="preserve"> methanol from natural gas and consume</w:t>
      </w:r>
      <w:r>
        <w:t>s</w:t>
      </w:r>
      <w:r w:rsidRPr="0092640B">
        <w:t xml:space="preserve"> around </w:t>
      </w:r>
      <w:r>
        <w:t>40%</w:t>
      </w:r>
      <w:r w:rsidRPr="0092640B">
        <w:t xml:space="preserve"> of the total gas supply. Their demand incentivises </w:t>
      </w:r>
      <w:r>
        <w:t xml:space="preserve">natural </w:t>
      </w:r>
      <w:r w:rsidRPr="0092640B">
        <w:t>gas producers to continue to invest to sustain production</w:t>
      </w:r>
      <w:r>
        <w:t xml:space="preserve">. Methanex </w:t>
      </w:r>
      <w:r w:rsidR="00F553E4">
        <w:t>has</w:t>
      </w:r>
      <w:r w:rsidRPr="0092640B">
        <w:t xml:space="preserve"> provide</w:t>
      </w:r>
      <w:r w:rsidR="00F553E4">
        <w:t>d</w:t>
      </w:r>
      <w:r w:rsidRPr="0092640B">
        <w:t xml:space="preserve"> flexibility by reducing </w:t>
      </w:r>
      <w:r w:rsidR="00484C29">
        <w:t>its</w:t>
      </w:r>
      <w:r w:rsidRPr="0092640B">
        <w:t xml:space="preserve"> demand when </w:t>
      </w:r>
      <w:r>
        <w:t xml:space="preserve">natural </w:t>
      </w:r>
      <w:r w:rsidRPr="0092640B">
        <w:t>gas is constrained</w:t>
      </w:r>
      <w:r>
        <w:t xml:space="preserve">, benefitting </w:t>
      </w:r>
      <w:r w:rsidRPr="0092640B">
        <w:t xml:space="preserve">all other </w:t>
      </w:r>
      <w:r>
        <w:t xml:space="preserve">gas </w:t>
      </w:r>
      <w:r w:rsidRPr="0092640B">
        <w:t>users</w:t>
      </w:r>
      <w:r w:rsidR="009C70A5">
        <w:t xml:space="preserve"> and reducing methanol production</w:t>
      </w:r>
      <w:r>
        <w:t xml:space="preserve">. </w:t>
      </w:r>
      <w:r w:rsidR="00DF63B3">
        <w:t xml:space="preserve">Without continued exploration </w:t>
      </w:r>
      <w:r w:rsidR="008D677E">
        <w:t>and development</w:t>
      </w:r>
      <w:r w:rsidR="00FF0DAC">
        <w:t>,</w:t>
      </w:r>
      <w:r w:rsidRPr="0092640B" w:rsidDel="00527D05">
        <w:t xml:space="preserve"> </w:t>
      </w:r>
      <w:r w:rsidR="00527D05">
        <w:t>the country</w:t>
      </w:r>
      <w:r w:rsidR="00527D05" w:rsidRPr="0092640B">
        <w:t xml:space="preserve">’s </w:t>
      </w:r>
      <w:r>
        <w:t xml:space="preserve">natural </w:t>
      </w:r>
      <w:r w:rsidRPr="0092640B">
        <w:t xml:space="preserve">gas fields </w:t>
      </w:r>
      <w:r w:rsidR="00F43D6C">
        <w:t>are likely to</w:t>
      </w:r>
      <w:r w:rsidR="00FF0DAC">
        <w:t xml:space="preserve"> </w:t>
      </w:r>
      <w:r w:rsidR="00F43D6C">
        <w:t>reach</w:t>
      </w:r>
      <w:r w:rsidRPr="0092640B">
        <w:t xml:space="preserve"> the end of their economic life</w:t>
      </w:r>
      <w:r w:rsidR="00FF0DAC">
        <w:t>.</w:t>
      </w:r>
      <w:r w:rsidR="00F43D6C">
        <w:t xml:space="preserve"> This will</w:t>
      </w:r>
      <w:r w:rsidR="001050EE">
        <w:t xml:space="preserve"> reduce</w:t>
      </w:r>
      <w:r w:rsidRPr="0092640B">
        <w:t xml:space="preserve"> the amount of gas available for </w:t>
      </w:r>
      <w:r w:rsidR="001050EE">
        <w:t>all users</w:t>
      </w:r>
      <w:r>
        <w:t xml:space="preserve">. In the medium term, </w:t>
      </w:r>
      <w:r w:rsidR="00AF73C1">
        <w:t xml:space="preserve">it </w:t>
      </w:r>
      <w:r w:rsidR="004B502D">
        <w:t xml:space="preserve">may become </w:t>
      </w:r>
      <w:r w:rsidR="00AF73C1">
        <w:t xml:space="preserve">uneconomic for </w:t>
      </w:r>
      <w:r>
        <w:t>Methanex</w:t>
      </w:r>
      <w:r w:rsidRPr="0092640B">
        <w:t xml:space="preserve"> </w:t>
      </w:r>
      <w:r w:rsidR="00AF73C1">
        <w:t>to continue operating</w:t>
      </w:r>
      <w:r w:rsidRPr="0092640B">
        <w:t xml:space="preserve"> in Aotearoa</w:t>
      </w:r>
      <w:r w:rsidR="00327ABA">
        <w:t xml:space="preserve"> in its current form</w:t>
      </w:r>
      <w:r w:rsidR="006B5E12">
        <w:t>.</w:t>
      </w:r>
      <w:r>
        <w:t xml:space="preserve"> </w:t>
      </w:r>
      <w:r w:rsidR="00870BF8">
        <w:t>A reduction in gas used by Methanex</w:t>
      </w:r>
      <w:r>
        <w:t xml:space="preserve"> could have flow on </w:t>
      </w:r>
      <w:r w:rsidRPr="0092640B">
        <w:t xml:space="preserve">cost and supply implications for other </w:t>
      </w:r>
      <w:r>
        <w:t xml:space="preserve">gas </w:t>
      </w:r>
      <w:r w:rsidRPr="0092640B">
        <w:t>users including electricity generation</w:t>
      </w:r>
      <w:r>
        <w:t xml:space="preserve"> and domestic users of gas.</w:t>
      </w:r>
    </w:p>
    <w:p w14:paraId="1E0EDE3A" w14:textId="7D90CAF8" w:rsidR="00504C92" w:rsidRPr="0092640B" w:rsidRDefault="00504C92" w:rsidP="00504C92">
      <w:r w:rsidRPr="00F90E58">
        <w:t>Th</w:t>
      </w:r>
      <w:r w:rsidRPr="0092640B">
        <w:t xml:space="preserve">e </w:t>
      </w:r>
      <w:r>
        <w:t>impact on the</w:t>
      </w:r>
      <w:r w:rsidRPr="0092640B">
        <w:t xml:space="preserve"> electricity </w:t>
      </w:r>
      <w:r>
        <w:t xml:space="preserve">and gas </w:t>
      </w:r>
      <w:r w:rsidRPr="0092640B">
        <w:t xml:space="preserve">system and the potential for large changes in supply and demand </w:t>
      </w:r>
      <w:r>
        <w:t>from industries exiting the</w:t>
      </w:r>
      <w:r w:rsidRPr="0092640B">
        <w:t xml:space="preserve"> market </w:t>
      </w:r>
      <w:r>
        <w:t xml:space="preserve">are discussed </w:t>
      </w:r>
      <w:r w:rsidRPr="008A6B85">
        <w:t xml:space="preserve">further in </w:t>
      </w:r>
      <w:r w:rsidR="006A1F80">
        <w:t>c</w:t>
      </w:r>
      <w:r w:rsidRPr="00197DBB">
        <w:t>hapter</w:t>
      </w:r>
      <w:r w:rsidRPr="008A6B85">
        <w:t xml:space="preserve"> 6 of this report</w:t>
      </w:r>
      <w:r w:rsidRPr="0092640B">
        <w:t>.</w:t>
      </w:r>
    </w:p>
    <w:p w14:paraId="1497A800" w14:textId="20A19042" w:rsidR="008D376E" w:rsidRPr="008D4328" w:rsidRDefault="001A17CC" w:rsidP="008D376E">
      <w:pPr>
        <w:pStyle w:val="Heading3"/>
      </w:pPr>
      <w:bookmarkStart w:id="127" w:name="_Toc62649329"/>
      <w:bookmarkStart w:id="128" w:name="_Toc62650270"/>
      <w:r>
        <w:lastRenderedPageBreak/>
        <w:t xml:space="preserve">3.8.5 </w:t>
      </w:r>
      <w:r w:rsidR="008D376E" w:rsidRPr="008D4328">
        <w:t>Industry</w:t>
      </w:r>
      <w:r w:rsidR="008D376E">
        <w:t xml:space="preserve"> and heat</w:t>
      </w:r>
      <w:bookmarkEnd w:id="127"/>
      <w:bookmarkEnd w:id="128"/>
    </w:p>
    <w:p w14:paraId="7D3A2F08" w14:textId="1AD48FBA" w:rsidR="008D376E" w:rsidRDefault="008D376E" w:rsidP="008D376E">
      <w:pPr>
        <w:rPr>
          <w:lang w:val="en-US"/>
        </w:rPr>
      </w:pPr>
      <w:r>
        <w:rPr>
          <w:lang w:val="en-US"/>
        </w:rPr>
        <w:t xml:space="preserve">There are proven options for </w:t>
      </w:r>
      <w:proofErr w:type="spellStart"/>
      <w:r>
        <w:rPr>
          <w:lang w:val="en-US"/>
        </w:rPr>
        <w:t>decarbonising</w:t>
      </w:r>
      <w:proofErr w:type="spellEnd"/>
      <w:r>
        <w:rPr>
          <w:lang w:val="en-US"/>
        </w:rPr>
        <w:t xml:space="preserve"> low and medium temperature process heat. </w:t>
      </w:r>
      <w:r w:rsidR="00944624">
        <w:rPr>
          <w:lang w:val="en-US"/>
        </w:rPr>
        <w:t>These</w:t>
      </w:r>
      <w:r>
        <w:rPr>
          <w:lang w:val="en-US"/>
        </w:rPr>
        <w:t xml:space="preserve"> include </w:t>
      </w:r>
      <w:r w:rsidR="00992B9B">
        <w:rPr>
          <w:lang w:val="en-US"/>
        </w:rPr>
        <w:t>switching</w:t>
      </w:r>
      <w:r>
        <w:rPr>
          <w:lang w:val="en-US"/>
        </w:rPr>
        <w:t xml:space="preserve"> fuel use from coal and natural gas to biomass and electricity. There are also opportunities to improve energy efficiency.</w:t>
      </w:r>
    </w:p>
    <w:p w14:paraId="5984F56A" w14:textId="3182F0FC" w:rsidR="00C64B17" w:rsidRPr="00C64B17" w:rsidRDefault="008D376E" w:rsidP="00C64B17">
      <w:pPr>
        <w:rPr>
          <w:lang w:val="en-US"/>
        </w:rPr>
      </w:pPr>
      <w:r>
        <w:t xml:space="preserve">Some coal boilers in the </w:t>
      </w:r>
      <w:r w:rsidRPr="006B68F5">
        <w:rPr>
          <w:lang w:val="en-US"/>
        </w:rPr>
        <w:t xml:space="preserve">the food processing sector </w:t>
      </w:r>
      <w:r>
        <w:t>are already being replaced with biomass or electricity. Our path assumes</w:t>
      </w:r>
      <w:r>
        <w:rPr>
          <w:lang w:val="en-US"/>
        </w:rPr>
        <w:t xml:space="preserve"> a steady</w:t>
      </w:r>
      <w:r w:rsidR="008C2C77">
        <w:rPr>
          <w:lang w:val="en-US"/>
        </w:rPr>
        <w:t>,</w:t>
      </w:r>
      <w:r>
        <w:rPr>
          <w:lang w:val="en-US"/>
        </w:rPr>
        <w:t xml:space="preserve"> </w:t>
      </w:r>
      <w:r w:rsidR="0012157B">
        <w:rPr>
          <w:lang w:val="en-US"/>
        </w:rPr>
        <w:t>but reasonably rapid</w:t>
      </w:r>
      <w:r w:rsidR="008C2C77">
        <w:rPr>
          <w:lang w:val="en-US"/>
        </w:rPr>
        <w:t>,</w:t>
      </w:r>
      <w:r w:rsidR="0012157B">
        <w:rPr>
          <w:lang w:val="en-US"/>
        </w:rPr>
        <w:t xml:space="preserve"> </w:t>
      </w:r>
      <w:r>
        <w:rPr>
          <w:lang w:val="en-US"/>
        </w:rPr>
        <w:t xml:space="preserve">rate of conversion to be on track to eliminate coal use for food processing by </w:t>
      </w:r>
      <w:r w:rsidR="003B0AEB">
        <w:rPr>
          <w:lang w:val="en-US"/>
        </w:rPr>
        <w:t>2037</w:t>
      </w:r>
      <w:r w:rsidR="005C17F8">
        <w:rPr>
          <w:lang w:val="en-US"/>
        </w:rPr>
        <w:t xml:space="preserve"> (</w:t>
      </w:r>
      <w:r w:rsidR="00370710">
        <w:rPr>
          <w:lang w:val="en-US"/>
        </w:rPr>
        <w:t>Figure 3.15</w:t>
      </w:r>
      <w:r w:rsidR="005C17F8">
        <w:rPr>
          <w:lang w:val="en-US"/>
        </w:rPr>
        <w:t>)</w:t>
      </w:r>
      <w:r w:rsidRPr="00885688">
        <w:rPr>
          <w:lang w:val="en-US"/>
        </w:rPr>
        <w:t xml:space="preserve">. This is roughly equivalent to converting one </w:t>
      </w:r>
      <w:r>
        <w:rPr>
          <w:lang w:val="en-US"/>
        </w:rPr>
        <w:t xml:space="preserve">to two very </w:t>
      </w:r>
      <w:r w:rsidRPr="00891765">
        <w:rPr>
          <w:lang w:val="en-US"/>
        </w:rPr>
        <w:t>large dairy processing plant</w:t>
      </w:r>
      <w:r w:rsidR="008D46E0">
        <w:rPr>
          <w:lang w:val="en-US"/>
        </w:rPr>
        <w:t>s</w:t>
      </w:r>
      <w:r w:rsidRPr="00891765">
        <w:rPr>
          <w:lang w:val="en-US"/>
        </w:rPr>
        <w:t xml:space="preserve"> away</w:t>
      </w:r>
      <w:r w:rsidRPr="006E2613">
        <w:rPr>
          <w:lang w:val="en-US"/>
        </w:rPr>
        <w:t xml:space="preserve"> from coal each year</w:t>
      </w:r>
      <w:r>
        <w:rPr>
          <w:lang w:val="en-US"/>
        </w:rPr>
        <w:t xml:space="preserve"> or converting a larger number of smaller plants</w:t>
      </w:r>
      <w:r w:rsidRPr="006E2613">
        <w:rPr>
          <w:lang w:val="en-US"/>
        </w:rPr>
        <w:t>.</w:t>
      </w:r>
      <w:r>
        <w:rPr>
          <w:lang w:val="en-US"/>
        </w:rPr>
        <w:t xml:space="preserve"> Along with boiler conversion, our path assumes significant improvements in energy efficiency across the food processing sector.</w:t>
      </w:r>
    </w:p>
    <w:p w14:paraId="65D28C9E" w14:textId="61227618" w:rsidR="005C17F8" w:rsidRDefault="00400EA5" w:rsidP="00984262">
      <w:pPr>
        <w:keepNext/>
        <w:jc w:val="center"/>
      </w:pPr>
      <w:r>
        <w:rPr>
          <w:noProof/>
        </w:rPr>
        <w:drawing>
          <wp:inline distT="0" distB="0" distL="0" distR="0" wp14:anchorId="0C44A149" wp14:editId="3E28E462">
            <wp:extent cx="5749290" cy="3569108"/>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rotWithShape="1">
                    <a:blip r:embed="rId42">
                      <a:extLst>
                        <a:ext uri="{28A0092B-C50C-407E-A947-70E740481C1C}">
                          <a14:useLocalDpi xmlns:a14="http://schemas.microsoft.com/office/drawing/2010/main" val="0"/>
                        </a:ext>
                      </a:extLst>
                    </a:blip>
                    <a:srcRect t="6773"/>
                    <a:stretch/>
                  </pic:blipFill>
                  <pic:spPr bwMode="auto">
                    <a:xfrm>
                      <a:off x="0" y="0"/>
                      <a:ext cx="5749290" cy="3569108"/>
                    </a:xfrm>
                    <a:prstGeom prst="rect">
                      <a:avLst/>
                    </a:prstGeom>
                    <a:ln>
                      <a:noFill/>
                    </a:ln>
                    <a:extLst>
                      <a:ext uri="{53640926-AAD7-44D8-BBD7-CCE9431645EC}">
                        <a14:shadowObscured xmlns:a14="http://schemas.microsoft.com/office/drawing/2010/main"/>
                      </a:ext>
                    </a:extLst>
                  </pic:spPr>
                </pic:pic>
              </a:graphicData>
            </a:graphic>
          </wp:inline>
        </w:drawing>
      </w:r>
    </w:p>
    <w:p w14:paraId="1190AEA9" w14:textId="62032038" w:rsidR="00463F27" w:rsidRDefault="005C17F8" w:rsidP="00984262">
      <w:pPr>
        <w:pStyle w:val="Caption"/>
      </w:pPr>
      <w:bookmarkStart w:id="129" w:name="_Ref61270608"/>
      <w:r>
        <w:t xml:space="preserve">Figure </w:t>
      </w:r>
      <w:bookmarkEnd w:id="129"/>
      <w:r w:rsidR="00D81577">
        <w:t>3.15</w:t>
      </w:r>
      <w:r>
        <w:t xml:space="preserve">: </w:t>
      </w:r>
      <w:r w:rsidRPr="004C1FAC">
        <w:t>Food processing energy use in our path</w:t>
      </w:r>
      <w:r w:rsidR="00AA1AA3">
        <w:t>.</w:t>
      </w:r>
    </w:p>
    <w:p w14:paraId="60F5690D" w14:textId="77777777" w:rsidR="00AA1AA3" w:rsidRPr="00295A62" w:rsidRDefault="00AA1AA3" w:rsidP="00AA1AA3">
      <w:pPr>
        <w:spacing w:before="0"/>
        <w:jc w:val="right"/>
      </w:pPr>
      <w:r w:rsidRPr="00295A62">
        <w:t>Source: Commission analysis</w:t>
      </w:r>
      <w:r>
        <w:t>.</w:t>
      </w:r>
    </w:p>
    <w:p w14:paraId="74D532E2" w14:textId="0900A120" w:rsidR="008D376E" w:rsidRDefault="008D376E" w:rsidP="008D376E">
      <w:pPr>
        <w:rPr>
          <w:lang w:val="en-US"/>
        </w:rPr>
      </w:pPr>
      <w:r>
        <w:rPr>
          <w:lang w:val="en-US"/>
        </w:rPr>
        <w:t>Where available, biomass from forestry and wood processing residues</w:t>
      </w:r>
      <w:r w:rsidR="00BB7633">
        <w:rPr>
          <w:lang w:val="en-US"/>
        </w:rPr>
        <w:t xml:space="preserve"> </w:t>
      </w:r>
      <w:r>
        <w:rPr>
          <w:lang w:val="en-US"/>
        </w:rPr>
        <w:t>are a low</w:t>
      </w:r>
      <w:r w:rsidR="00C417F3">
        <w:rPr>
          <w:lang w:val="en-US"/>
        </w:rPr>
        <w:t xml:space="preserve"> </w:t>
      </w:r>
      <w:r>
        <w:rPr>
          <w:lang w:val="en-US"/>
        </w:rPr>
        <w:t xml:space="preserve">cost fuel switching opportunity. There may be constraints on biomass supply in some regions where there is not significant </w:t>
      </w:r>
      <w:r w:rsidRPr="624A6691">
        <w:rPr>
          <w:lang w:val="en-US"/>
        </w:rPr>
        <w:t>forestry.</w:t>
      </w:r>
      <w:r>
        <w:rPr>
          <w:lang w:val="en-US"/>
        </w:rPr>
        <w:t xml:space="preserve"> In these regions, electri</w:t>
      </w:r>
      <w:r w:rsidR="004B29AB">
        <w:rPr>
          <w:lang w:val="en-US"/>
        </w:rPr>
        <w:t>c</w:t>
      </w:r>
      <w:r w:rsidR="00EC35D6">
        <w:rPr>
          <w:lang w:val="en-US"/>
        </w:rPr>
        <w:t xml:space="preserve"> </w:t>
      </w:r>
      <w:r>
        <w:rPr>
          <w:lang w:val="en-US"/>
        </w:rPr>
        <w:t xml:space="preserve">boilers will be needed, but at a significantly higher operational cost. Electrification of process heat will also require expansion of the electricity transmission and distribution grids. This will </w:t>
      </w:r>
      <w:r w:rsidR="009A4E22">
        <w:rPr>
          <w:lang w:val="en-US"/>
        </w:rPr>
        <w:t>add to</w:t>
      </w:r>
      <w:r>
        <w:rPr>
          <w:lang w:val="en-US"/>
        </w:rPr>
        <w:t xml:space="preserve"> the </w:t>
      </w:r>
      <w:r w:rsidR="00274EF8">
        <w:rPr>
          <w:lang w:val="en-US"/>
        </w:rPr>
        <w:t xml:space="preserve">total </w:t>
      </w:r>
      <w:r>
        <w:rPr>
          <w:lang w:val="en-US"/>
        </w:rPr>
        <w:t>cost.</w:t>
      </w:r>
    </w:p>
    <w:p w14:paraId="7938A8A7" w14:textId="178224A2" w:rsidR="008D376E" w:rsidRDefault="008D376E" w:rsidP="008D376E">
      <w:pPr>
        <w:rPr>
          <w:lang w:val="en-US"/>
        </w:rPr>
      </w:pPr>
      <w:r>
        <w:rPr>
          <w:lang w:val="en-US"/>
        </w:rPr>
        <w:t xml:space="preserve">In our path, </w:t>
      </w:r>
      <w:r w:rsidR="008A56F5">
        <w:rPr>
          <w:lang w:val="en-US"/>
        </w:rPr>
        <w:t xml:space="preserve">fuel switching to </w:t>
      </w:r>
      <w:r>
        <w:rPr>
          <w:lang w:val="en-US"/>
        </w:rPr>
        <w:t xml:space="preserve">biomass </w:t>
      </w:r>
      <w:r w:rsidR="008A56F5">
        <w:rPr>
          <w:lang w:val="en-US"/>
        </w:rPr>
        <w:t>also occurs in some</w:t>
      </w:r>
      <w:r>
        <w:rPr>
          <w:lang w:val="en-US"/>
        </w:rPr>
        <w:t xml:space="preserve"> other energy</w:t>
      </w:r>
      <w:r w:rsidR="008A56F5">
        <w:rPr>
          <w:lang w:val="en-US"/>
        </w:rPr>
        <w:t>-</w:t>
      </w:r>
      <w:r>
        <w:rPr>
          <w:lang w:val="en-US"/>
        </w:rPr>
        <w:t>intensive industries such as</w:t>
      </w:r>
      <w:r w:rsidR="00AE1229">
        <w:rPr>
          <w:lang w:val="en-US"/>
        </w:rPr>
        <w:t xml:space="preserve"> </w:t>
      </w:r>
      <w:r w:rsidR="005A7669">
        <w:rPr>
          <w:lang w:val="en-US"/>
        </w:rPr>
        <w:t>pulp and paper</w:t>
      </w:r>
      <w:r>
        <w:rPr>
          <w:lang w:val="en-US"/>
        </w:rPr>
        <w:t xml:space="preserve"> </w:t>
      </w:r>
      <w:r w:rsidR="0053467C">
        <w:rPr>
          <w:lang w:val="en-US"/>
        </w:rPr>
        <w:t>production</w:t>
      </w:r>
      <w:r>
        <w:rPr>
          <w:lang w:val="en-US"/>
        </w:rPr>
        <w:t xml:space="preserve">. </w:t>
      </w:r>
    </w:p>
    <w:p w14:paraId="36AD3B1A" w14:textId="3A2CAA50" w:rsidR="008A56F5" w:rsidRDefault="008D376E" w:rsidP="007A2586">
      <w:pPr>
        <w:rPr>
          <w:lang w:val="en-US"/>
        </w:rPr>
      </w:pPr>
      <w:r>
        <w:rPr>
          <w:lang w:val="en-US"/>
        </w:rPr>
        <w:t xml:space="preserve">Overall, our path </w:t>
      </w:r>
      <w:r w:rsidRPr="006E0162">
        <w:rPr>
          <w:lang w:val="en-US"/>
        </w:rPr>
        <w:t>takes advantage of</w:t>
      </w:r>
      <w:r w:rsidR="00527D05">
        <w:rPr>
          <w:lang w:val="en-US"/>
        </w:rPr>
        <w:t xml:space="preserve"> the country’s</w:t>
      </w:r>
      <w:r w:rsidRPr="006E0162" w:rsidDel="00527D05">
        <w:rPr>
          <w:lang w:val="en-US"/>
        </w:rPr>
        <w:t xml:space="preserve"> </w:t>
      </w:r>
      <w:r w:rsidR="00802416" w:rsidRPr="006E0162">
        <w:rPr>
          <w:lang w:val="en-US"/>
        </w:rPr>
        <w:t>currently under-used</w:t>
      </w:r>
      <w:r w:rsidRPr="006E0162">
        <w:rPr>
          <w:lang w:val="en-US"/>
        </w:rPr>
        <w:t xml:space="preserve"> biomass resource</w:t>
      </w:r>
      <w:r w:rsidR="000B0E82" w:rsidRPr="006E0162">
        <w:rPr>
          <w:lang w:val="en-US"/>
        </w:rPr>
        <w:t>,</w:t>
      </w:r>
      <w:r w:rsidR="00802416" w:rsidRPr="006E0162">
        <w:rPr>
          <w:lang w:val="en-US"/>
        </w:rPr>
        <w:t xml:space="preserve"> mov</w:t>
      </w:r>
      <w:r w:rsidR="000B0E82" w:rsidRPr="006E0162">
        <w:rPr>
          <w:lang w:val="en-US"/>
        </w:rPr>
        <w:t xml:space="preserve">ing </w:t>
      </w:r>
      <w:r w:rsidR="00802416" w:rsidRPr="006E0162">
        <w:rPr>
          <w:lang w:val="en-US"/>
        </w:rPr>
        <w:t xml:space="preserve">towards a </w:t>
      </w:r>
      <w:r w:rsidR="000B0E82" w:rsidRPr="006E0162">
        <w:rPr>
          <w:lang w:val="en-US"/>
        </w:rPr>
        <w:t xml:space="preserve">more </w:t>
      </w:r>
      <w:r w:rsidR="00802416" w:rsidRPr="006E0162">
        <w:rPr>
          <w:lang w:val="en-US"/>
        </w:rPr>
        <w:t>circular economy</w:t>
      </w:r>
      <w:r w:rsidRPr="006E0162">
        <w:rPr>
          <w:lang w:val="en-US"/>
        </w:rPr>
        <w:t>.</w:t>
      </w:r>
      <w:r w:rsidR="006E0162" w:rsidRPr="006E0162">
        <w:rPr>
          <w:lang w:val="en-US"/>
        </w:rPr>
        <w:t xml:space="preserve"> A</w:t>
      </w:r>
      <w:r w:rsidR="000B0E82" w:rsidRPr="006E0162">
        <w:rPr>
          <w:lang w:val="en-US"/>
        </w:rPr>
        <w:t>chiev</w:t>
      </w:r>
      <w:r w:rsidR="006E0162" w:rsidRPr="006E0162">
        <w:rPr>
          <w:lang w:val="en-US"/>
        </w:rPr>
        <w:t>ing</w:t>
      </w:r>
      <w:r w:rsidR="000B0E82" w:rsidRPr="006E0162">
        <w:rPr>
          <w:lang w:val="en-US"/>
        </w:rPr>
        <w:t xml:space="preserve"> this uptake</w:t>
      </w:r>
      <w:r w:rsidR="006E0162" w:rsidRPr="006E0162">
        <w:rPr>
          <w:lang w:val="en-US"/>
        </w:rPr>
        <w:t xml:space="preserve"> will require the</w:t>
      </w:r>
      <w:r w:rsidRPr="006E0162">
        <w:rPr>
          <w:lang w:val="en-US"/>
        </w:rPr>
        <w:t xml:space="preserve"> </w:t>
      </w:r>
      <w:r w:rsidR="006E0162" w:rsidRPr="006E0162">
        <w:rPr>
          <w:lang w:val="en-US"/>
        </w:rPr>
        <w:t xml:space="preserve">development of </w:t>
      </w:r>
      <w:r w:rsidRPr="006E0162">
        <w:rPr>
          <w:lang w:val="en-US"/>
        </w:rPr>
        <w:t>supply chain</w:t>
      </w:r>
      <w:r w:rsidR="006E0162" w:rsidRPr="006E0162">
        <w:rPr>
          <w:lang w:val="en-US"/>
        </w:rPr>
        <w:t>s</w:t>
      </w:r>
      <w:r w:rsidRPr="006E0162">
        <w:rPr>
          <w:lang w:val="en-US"/>
        </w:rPr>
        <w:t xml:space="preserve"> for gathering and processing biomass along with the </w:t>
      </w:r>
      <w:r w:rsidR="006E0162" w:rsidRPr="006E0162">
        <w:rPr>
          <w:lang w:val="en-US"/>
        </w:rPr>
        <w:t>establishment</w:t>
      </w:r>
      <w:r w:rsidRPr="006E0162">
        <w:rPr>
          <w:lang w:val="en-US"/>
        </w:rPr>
        <w:t xml:space="preserve"> of local markets</w:t>
      </w:r>
      <w:r w:rsidR="006E0162" w:rsidRPr="006E0162">
        <w:rPr>
          <w:lang w:val="en-US"/>
        </w:rPr>
        <w:t>.</w:t>
      </w:r>
    </w:p>
    <w:p w14:paraId="01D79502" w14:textId="5E8E97A0" w:rsidR="008D376E" w:rsidRPr="006F55C1" w:rsidRDefault="007A2586" w:rsidP="008D376E">
      <w:pPr>
        <w:rPr>
          <w:lang w:val="en-US"/>
        </w:rPr>
      </w:pPr>
      <w:r w:rsidRPr="006E0162">
        <w:lastRenderedPageBreak/>
        <w:t xml:space="preserve">In our path, we assume all </w:t>
      </w:r>
      <w:r w:rsidR="00527D05">
        <w:t>of the country’s</w:t>
      </w:r>
      <w:r w:rsidRPr="006E0162">
        <w:t xml:space="preserve"> heavy industries continue to produce at current levels, except aluminium and methanol production which are assumed to close in our reference case.</w:t>
      </w:r>
      <w:r w:rsidR="006F55C1">
        <w:t xml:space="preserve"> </w:t>
      </w:r>
      <w:r w:rsidR="006F55C1">
        <w:rPr>
          <w:lang w:val="en-US"/>
        </w:rPr>
        <w:t xml:space="preserve">High temperature process heat is more challenging to </w:t>
      </w:r>
      <w:proofErr w:type="spellStart"/>
      <w:r w:rsidR="006F55C1">
        <w:rPr>
          <w:lang w:val="en-US"/>
        </w:rPr>
        <w:t>decarbonise</w:t>
      </w:r>
      <w:proofErr w:type="spellEnd"/>
      <w:r w:rsidR="006F55C1">
        <w:rPr>
          <w:lang w:val="en-US"/>
        </w:rPr>
        <w:t xml:space="preserve"> and our path </w:t>
      </w:r>
      <w:r w:rsidR="00710799">
        <w:rPr>
          <w:lang w:val="en-US"/>
        </w:rPr>
        <w:t>sees continued use of</w:t>
      </w:r>
      <w:r w:rsidR="006F55C1">
        <w:rPr>
          <w:lang w:val="en-US"/>
        </w:rPr>
        <w:t xml:space="preserve"> gas</w:t>
      </w:r>
      <w:r w:rsidR="00710799">
        <w:rPr>
          <w:lang w:val="en-US"/>
        </w:rPr>
        <w:t xml:space="preserve"> and coal in these sectors</w:t>
      </w:r>
      <w:r w:rsidR="006F55C1">
        <w:rPr>
          <w:lang w:val="en-US"/>
        </w:rPr>
        <w:t xml:space="preserve">. </w:t>
      </w:r>
      <w:r w:rsidR="006F55C1">
        <w:t>While there is potential to further decarbonise a range of industrial processes through emerging technologies, we do not assume these are available for uptake before 2035.</w:t>
      </w:r>
    </w:p>
    <w:p w14:paraId="38429406" w14:textId="31AE551E" w:rsidR="008D376E" w:rsidRDefault="001A17CC" w:rsidP="008D376E">
      <w:pPr>
        <w:pStyle w:val="Heading3"/>
      </w:pPr>
      <w:bookmarkStart w:id="130" w:name="_Toc62649330"/>
      <w:bookmarkStart w:id="131" w:name="_Toc62650271"/>
      <w:r>
        <w:t xml:space="preserve">3.8.6 </w:t>
      </w:r>
      <w:r w:rsidR="008D376E" w:rsidRPr="00DC70D9">
        <w:t>Agriculture</w:t>
      </w:r>
      <w:bookmarkEnd w:id="130"/>
      <w:bookmarkEnd w:id="131"/>
    </w:p>
    <w:p w14:paraId="7622B0A2" w14:textId="4DCB51C5" w:rsidR="00ED0AC7" w:rsidRPr="00710799" w:rsidRDefault="004205A0" w:rsidP="007A2586">
      <w:r>
        <w:t xml:space="preserve">The two main agricultural greenhouse gases are biogenic methane and nitrous oxide. </w:t>
      </w:r>
      <w:r w:rsidR="00655E55" w:rsidRPr="00710799">
        <w:t>Biogenic methane has a different target</w:t>
      </w:r>
      <w:r w:rsidR="00ED0AC7" w:rsidRPr="00710799">
        <w:t xml:space="preserve"> to </w:t>
      </w:r>
      <w:r w:rsidR="00903D57" w:rsidRPr="00710799">
        <w:t>other gases</w:t>
      </w:r>
      <w:r>
        <w:t>, while nitrous oxide is included in the long-lived greenhouse gas target</w:t>
      </w:r>
      <w:r w:rsidR="00903D57" w:rsidRPr="00710799">
        <w:t>.</w:t>
      </w:r>
      <w:r w:rsidR="00655E55" w:rsidRPr="00710799">
        <w:t xml:space="preserve"> </w:t>
      </w:r>
      <w:r w:rsidR="00A84E63" w:rsidRPr="00710799">
        <w:t xml:space="preserve">The agriculture sector </w:t>
      </w:r>
      <w:r w:rsidR="00ED0AC7" w:rsidRPr="00710799">
        <w:t>has</w:t>
      </w:r>
      <w:r w:rsidR="00A84E63" w:rsidRPr="00710799">
        <w:t xml:space="preserve"> </w:t>
      </w:r>
      <w:r w:rsidR="008854AD">
        <w:t>focus</w:t>
      </w:r>
      <w:r w:rsidR="00A84E63" w:rsidRPr="00710799">
        <w:t>ed in recent years on</w:t>
      </w:r>
      <w:r w:rsidR="0004056F" w:rsidRPr="00710799">
        <w:t xml:space="preserve"> making </w:t>
      </w:r>
      <w:r w:rsidR="005F5201" w:rsidRPr="00710799">
        <w:t>productivity</w:t>
      </w:r>
      <w:r w:rsidR="0004056F" w:rsidRPr="00710799">
        <w:t xml:space="preserve"> improvements that </w:t>
      </w:r>
      <w:r w:rsidR="00ED0AC7" w:rsidRPr="00710799">
        <w:t xml:space="preserve">have </w:t>
      </w:r>
      <w:r w:rsidR="005F5201" w:rsidRPr="00710799">
        <w:t>also</w:t>
      </w:r>
      <w:r w:rsidR="00ED0AC7" w:rsidRPr="00710799">
        <w:t xml:space="preserve"> decreased their emissions intensity. </w:t>
      </w:r>
      <w:r w:rsidR="005F5201" w:rsidRPr="00710799">
        <w:t xml:space="preserve">The sector is </w:t>
      </w:r>
      <w:r w:rsidR="00475721" w:rsidRPr="00710799">
        <w:t>ad</w:t>
      </w:r>
      <w:r w:rsidR="00493B0B" w:rsidRPr="00710799">
        <w:t>dressing water quality issues through actions that</w:t>
      </w:r>
      <w:r w:rsidR="00AF616C">
        <w:t xml:space="preserve"> can</w:t>
      </w:r>
      <w:r w:rsidR="00493B0B" w:rsidRPr="00710799">
        <w:t xml:space="preserve"> </w:t>
      </w:r>
      <w:r w:rsidR="008820F2">
        <w:t xml:space="preserve">also </w:t>
      </w:r>
      <w:r w:rsidR="00493B0B" w:rsidRPr="00710799">
        <w:t>reduce emissions.</w:t>
      </w:r>
      <w:r w:rsidR="00493B0B">
        <w:t xml:space="preserve"> </w:t>
      </w:r>
      <w:r w:rsidR="00AF77A0">
        <w:t>The</w:t>
      </w:r>
      <w:r w:rsidR="00744CB2">
        <w:t>se</w:t>
      </w:r>
      <w:r w:rsidR="00AF77A0">
        <w:t xml:space="preserve"> </w:t>
      </w:r>
      <w:r w:rsidR="00744CB2">
        <w:t xml:space="preserve">efforts </w:t>
      </w:r>
      <w:r w:rsidR="00AF77A0">
        <w:t xml:space="preserve">need </w:t>
      </w:r>
      <w:r w:rsidR="00CE4C3F">
        <w:t xml:space="preserve">to increase to reach the </w:t>
      </w:r>
      <w:r w:rsidR="00E77420">
        <w:t xml:space="preserve">2030 and </w:t>
      </w:r>
      <w:r w:rsidR="00CE4C3F">
        <w:t xml:space="preserve">2050 </w:t>
      </w:r>
      <w:r w:rsidR="00E77420">
        <w:t xml:space="preserve">emissions </w:t>
      </w:r>
      <w:r w:rsidR="00CE4C3F">
        <w:t>targets.</w:t>
      </w:r>
    </w:p>
    <w:p w14:paraId="4FD995A0" w14:textId="1F591D1B" w:rsidR="007A2586" w:rsidRPr="00B76186" w:rsidRDefault="007A2586" w:rsidP="007A2586">
      <w:r w:rsidRPr="00B76186">
        <w:t>There are changes that farmers can make</w:t>
      </w:r>
      <w:r w:rsidR="0042185D">
        <w:t xml:space="preserve"> now</w:t>
      </w:r>
      <w:r w:rsidRPr="00B76186">
        <w:t xml:space="preserve"> to reduce emissions on their farms</w:t>
      </w:r>
      <w:r w:rsidR="009844EE">
        <w:t>, if given sufficient support</w:t>
      </w:r>
      <w:r w:rsidRPr="00B76186">
        <w:t xml:space="preserve">. These </w:t>
      </w:r>
      <w:r w:rsidR="00750426">
        <w:t>can</w:t>
      </w:r>
      <w:r w:rsidRPr="00B76186">
        <w:t xml:space="preserve"> improve animal performance while reducing stock numbers, reducing the number of breeding animals required, and moving to lower input farm systems. </w:t>
      </w:r>
      <w:r w:rsidR="007E45C5">
        <w:t>The Biological Emissions Reference Group found that, w</w:t>
      </w:r>
      <w:r w:rsidRPr="00B76186">
        <w:t xml:space="preserve">hen successfully implemented, these changes </w:t>
      </w:r>
      <w:r w:rsidR="007E45C5">
        <w:t>could</w:t>
      </w:r>
      <w:r w:rsidR="007E45C5" w:rsidRPr="00B76186">
        <w:t xml:space="preserve"> </w:t>
      </w:r>
      <w:r w:rsidRPr="00B76186">
        <w:t>be made while not significantly reducing production and while maintaining or even improving profitability.</w:t>
      </w:r>
    </w:p>
    <w:p w14:paraId="694DED2B" w14:textId="43CD698C" w:rsidR="007A2586" w:rsidRPr="00B76186" w:rsidRDefault="007A2586" w:rsidP="007A2586">
      <w:r w:rsidRPr="00B76186">
        <w:t xml:space="preserve">In setting our path and emissions budget levels, we have conservatively assumed that no new technologies to reduce methane emissions from agriculture are available before 2035. As a result, our path involves changes in farming practices </w:t>
      </w:r>
      <w:r w:rsidR="00664F4F" w:rsidRPr="00B76186">
        <w:t xml:space="preserve">that start </w:t>
      </w:r>
      <w:r w:rsidRPr="00B76186">
        <w:t>pushing towards the limit of what we are confident can be delivered.</w:t>
      </w:r>
    </w:p>
    <w:p w14:paraId="6D9086DA" w14:textId="68F12E50" w:rsidR="00193431" w:rsidRPr="00193431" w:rsidRDefault="007A2586" w:rsidP="00193431">
      <w:r w:rsidRPr="00B76186">
        <w:t xml:space="preserve">Overall, our path would see dairy and sheep and beef animal numbers </w:t>
      </w:r>
      <w:r w:rsidR="008C49E8">
        <w:t>each</w:t>
      </w:r>
      <w:r w:rsidRPr="00B76186">
        <w:t xml:space="preserve"> reduced by around 15% from 2018 levels by 2030. This compares with an 8</w:t>
      </w:r>
      <w:r w:rsidRPr="00B76186">
        <w:softHyphen/>
      </w:r>
      <w:r w:rsidRPr="00B76186">
        <w:softHyphen/>
        <w:t xml:space="preserve">-10% reduction projected under current policies. In this, we have included </w:t>
      </w:r>
      <w:r w:rsidR="00462FAA">
        <w:t>transforming</w:t>
      </w:r>
      <w:r w:rsidR="00783138">
        <w:t xml:space="preserve"> </w:t>
      </w:r>
      <w:r w:rsidRPr="00B76186">
        <w:t>a small amount of dairy land into horticulture, at a rate of 2,000 hectares per year from 2025</w:t>
      </w:r>
      <w:r w:rsidR="0087759E">
        <w:t xml:space="preserve"> (Figure 3.17)</w:t>
      </w:r>
      <w:r w:rsidR="006F3962">
        <w:t>.</w:t>
      </w:r>
      <w:r w:rsidRPr="00B76186">
        <w:t xml:space="preserve"> With these changes, the 2030 biogenic methane target </w:t>
      </w:r>
      <w:r w:rsidR="007A5406">
        <w:t>c</w:t>
      </w:r>
      <w:r w:rsidR="007A5406" w:rsidRPr="00B76186">
        <w:t xml:space="preserve">ould </w:t>
      </w:r>
      <w:r w:rsidRPr="00B76186">
        <w:t>be met without relying on new technologies. If farmers can continue to achieve productivity improvements in line with historic trends, these outcomes could be achieved while maintaining total production at a similar level to today</w:t>
      </w:r>
      <w:r w:rsidR="004B2266">
        <w:t xml:space="preserve"> (</w:t>
      </w:r>
      <w:r w:rsidR="0087759E">
        <w:t>Figure 3.16</w:t>
      </w:r>
      <w:r w:rsidR="004B2266">
        <w:t>)</w:t>
      </w:r>
      <w:r w:rsidRPr="00B76186">
        <w:t>.</w:t>
      </w:r>
    </w:p>
    <w:p w14:paraId="5C92392D" w14:textId="1B9DE442" w:rsidR="007A2586" w:rsidRDefault="007A2586" w:rsidP="007A2586">
      <w:r w:rsidRPr="00B76186">
        <w:t xml:space="preserve">Selective breeding for lower emissions sheep is a proven option which is in the early stages of commercial deployment. Our path assumes that this can be progressively adopted, reducing total </w:t>
      </w:r>
      <w:r w:rsidR="00F46231">
        <w:t>biogenic</w:t>
      </w:r>
      <w:r w:rsidRPr="00B76186">
        <w:t xml:space="preserve"> methane emissions from sheep and beef farming by 1.5% by 2030 and 3% by 2035. No adoption has been assumed for the first budget period. Breeding for low emissions cattle is a future possibility but the research is in an earlier stage. We have not assumed any contribution from this by 2035.</w:t>
      </w:r>
    </w:p>
    <w:p w14:paraId="70A86769" w14:textId="77777777" w:rsidR="007A2586" w:rsidRDefault="007A2586" w:rsidP="007A2586">
      <w:r w:rsidRPr="00B76186">
        <w:t>Methane inhibitors and vaccines are being researched. These could reduce the amount of methane that is released from cattle and sheep. While there has been progress on inhibitors, these are not yet commercially available. There is uncertainty around when inhibitors will be available, what their costs could be and how effectively they could reduce emissions. Therefore, as mentioned, our path has been set so that the budgets can be achieved without the use of either methane inhibitors or vaccines.</w:t>
      </w:r>
    </w:p>
    <w:p w14:paraId="244C41A7" w14:textId="27C7940B" w:rsidR="00193431" w:rsidRDefault="007A2586" w:rsidP="00193431">
      <w:pPr>
        <w:pStyle w:val="Content"/>
      </w:pPr>
      <w:r>
        <w:lastRenderedPageBreak/>
        <w:t xml:space="preserve">However, if any of these technologies could be brought to market before 2035, they would provide additional options for meeting the emissions budgets. We will be reviewing progress on the </w:t>
      </w:r>
      <w:r w:rsidR="005D24BC">
        <w:t>developing</w:t>
      </w:r>
      <w:r>
        <w:t xml:space="preserve"> these technologies and will consider changes to the emissions budgets if we believe they can be widely adopted in the future. </w:t>
      </w:r>
    </w:p>
    <w:p w14:paraId="2E872903" w14:textId="77777777" w:rsidR="0063588C" w:rsidRPr="00193431" w:rsidRDefault="0063588C" w:rsidP="00193431">
      <w:pPr>
        <w:pStyle w:val="Content"/>
      </w:pPr>
    </w:p>
    <w:p w14:paraId="1F94AB17" w14:textId="021953C9" w:rsidR="008256A0" w:rsidRDefault="0033006A" w:rsidP="001B3A8A">
      <w:pPr>
        <w:pStyle w:val="Content"/>
        <w:keepNext/>
      </w:pPr>
      <w:r>
        <w:rPr>
          <w:noProof/>
        </w:rPr>
        <w:drawing>
          <wp:inline distT="0" distB="0" distL="0" distR="0" wp14:anchorId="434593C6" wp14:editId="2064F19F">
            <wp:extent cx="5730240" cy="6844427"/>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rotWithShape="1">
                    <a:blip r:embed="rId43">
                      <a:extLst>
                        <a:ext uri="{28A0092B-C50C-407E-A947-70E740481C1C}">
                          <a14:useLocalDpi xmlns:a14="http://schemas.microsoft.com/office/drawing/2010/main" val="0"/>
                        </a:ext>
                      </a:extLst>
                    </a:blip>
                    <a:srcRect t="2621"/>
                    <a:stretch/>
                  </pic:blipFill>
                  <pic:spPr bwMode="auto">
                    <a:xfrm>
                      <a:off x="0" y="0"/>
                      <a:ext cx="5730874" cy="6845184"/>
                    </a:xfrm>
                    <a:prstGeom prst="rect">
                      <a:avLst/>
                    </a:prstGeom>
                    <a:ln>
                      <a:noFill/>
                    </a:ln>
                    <a:extLst>
                      <a:ext uri="{53640926-AAD7-44D8-BBD7-CCE9431645EC}">
                        <a14:shadowObscured xmlns:a14="http://schemas.microsoft.com/office/drawing/2010/main"/>
                      </a:ext>
                    </a:extLst>
                  </pic:spPr>
                </pic:pic>
              </a:graphicData>
            </a:graphic>
          </wp:inline>
        </w:drawing>
      </w:r>
    </w:p>
    <w:p w14:paraId="7882D9A4" w14:textId="28E04BCA" w:rsidR="001F2C9D" w:rsidRDefault="008256A0" w:rsidP="00D81577">
      <w:pPr>
        <w:pStyle w:val="Caption"/>
      </w:pPr>
      <w:bookmarkStart w:id="132" w:name="_Ref61344458"/>
      <w:r>
        <w:t xml:space="preserve">Figure </w:t>
      </w:r>
      <w:bookmarkEnd w:id="132"/>
      <w:r w:rsidR="00F24A23">
        <w:t>3.16</w:t>
      </w:r>
      <w:r>
        <w:t xml:space="preserve">: </w:t>
      </w:r>
      <w:r w:rsidRPr="00160AEF">
        <w:t xml:space="preserve">Changes in </w:t>
      </w:r>
      <w:r>
        <w:t>livestock numbers,</w:t>
      </w:r>
      <w:r w:rsidRPr="00160AEF">
        <w:t xml:space="preserve"> production and emissions since 1990 and in our path</w:t>
      </w:r>
      <w:r>
        <w:t xml:space="preserve"> for dairy farming (top) and sheep and beef farming (bottom)</w:t>
      </w:r>
      <w:r w:rsidR="00AA1AA3">
        <w:t>.</w:t>
      </w:r>
    </w:p>
    <w:p w14:paraId="19379CD8" w14:textId="77777777" w:rsidR="00AA1AA3" w:rsidRPr="00295A62" w:rsidRDefault="00AA1AA3" w:rsidP="00AA1AA3">
      <w:pPr>
        <w:spacing w:before="0"/>
        <w:jc w:val="right"/>
      </w:pPr>
      <w:r w:rsidRPr="00295A62">
        <w:t>Source: Commission analysis</w:t>
      </w:r>
      <w:r>
        <w:t>.</w:t>
      </w:r>
    </w:p>
    <w:p w14:paraId="768B62D5" w14:textId="7F0D6687" w:rsidR="00AA1AA3" w:rsidRPr="00AA1AA3" w:rsidRDefault="00AA1AA3" w:rsidP="00E43A28"/>
    <w:p w14:paraId="6831E85F" w14:textId="4187B9D1" w:rsidR="009D6FF9" w:rsidRDefault="606D55EF" w:rsidP="007F65BA">
      <w:pPr>
        <w:keepNext/>
        <w:jc w:val="center"/>
      </w:pPr>
      <w:r>
        <w:rPr>
          <w:noProof/>
        </w:rPr>
        <w:drawing>
          <wp:inline distT="0" distB="0" distL="0" distR="0" wp14:anchorId="7620E5AA" wp14:editId="6D9A67A7">
            <wp:extent cx="5889009" cy="3325838"/>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rotWithShape="1">
                    <a:blip r:embed="rId44">
                      <a:extLst>
                        <a:ext uri="{28A0092B-C50C-407E-A947-70E740481C1C}">
                          <a14:useLocalDpi xmlns:a14="http://schemas.microsoft.com/office/drawing/2010/main" val="0"/>
                        </a:ext>
                      </a:extLst>
                    </a:blip>
                    <a:srcRect t="8377" b="6633"/>
                    <a:stretch/>
                  </pic:blipFill>
                  <pic:spPr bwMode="auto">
                    <a:xfrm>
                      <a:off x="0" y="0"/>
                      <a:ext cx="5898356" cy="3331117"/>
                    </a:xfrm>
                    <a:prstGeom prst="rect">
                      <a:avLst/>
                    </a:prstGeom>
                    <a:ln>
                      <a:noFill/>
                    </a:ln>
                    <a:extLst>
                      <a:ext uri="{53640926-AAD7-44D8-BBD7-CCE9431645EC}">
                        <a14:shadowObscured xmlns:a14="http://schemas.microsoft.com/office/drawing/2010/main"/>
                      </a:ext>
                    </a:extLst>
                  </pic:spPr>
                </pic:pic>
              </a:graphicData>
            </a:graphic>
          </wp:inline>
        </w:drawing>
      </w:r>
    </w:p>
    <w:p w14:paraId="269085B9" w14:textId="22300782" w:rsidR="00AA1AA3" w:rsidRPr="00AA1AA3" w:rsidRDefault="009D6FF9" w:rsidP="007F65BA">
      <w:pPr>
        <w:pStyle w:val="Caption"/>
      </w:pPr>
      <w:bookmarkStart w:id="133" w:name="_Ref61344210"/>
      <w:bookmarkStart w:id="134" w:name="_Ref61344572"/>
      <w:r>
        <w:t xml:space="preserve">Figure </w:t>
      </w:r>
      <w:bookmarkEnd w:id="133"/>
      <w:r w:rsidR="007F65BA">
        <w:t>3.17</w:t>
      </w:r>
      <w:r>
        <w:t>: Land use for agriculture and forestry in our path</w:t>
      </w:r>
      <w:bookmarkEnd w:id="134"/>
    </w:p>
    <w:p w14:paraId="333D88E5" w14:textId="10A4A1CC" w:rsidR="008015A5" w:rsidRPr="008015A5" w:rsidRDefault="008015A5" w:rsidP="00730459">
      <w:pPr>
        <w:spacing w:before="0"/>
        <w:jc w:val="right"/>
      </w:pPr>
      <w:r w:rsidRPr="00295A62">
        <w:t>Source: Commission analysis</w:t>
      </w:r>
      <w:r>
        <w:t>.</w:t>
      </w:r>
    </w:p>
    <w:p w14:paraId="5966570C" w14:textId="42E5DBAC" w:rsidR="008D376E" w:rsidRPr="002F418C" w:rsidRDefault="005A71CD" w:rsidP="008D376E">
      <w:pPr>
        <w:pStyle w:val="Heading3"/>
      </w:pPr>
      <w:bookmarkStart w:id="135" w:name="_Toc62649331"/>
      <w:bookmarkStart w:id="136" w:name="_Toc62650272"/>
      <w:r>
        <w:t xml:space="preserve">3.8.7 </w:t>
      </w:r>
      <w:r w:rsidR="008D376E" w:rsidRPr="002F418C">
        <w:t>Forestry</w:t>
      </w:r>
      <w:bookmarkEnd w:id="135"/>
      <w:bookmarkEnd w:id="136"/>
    </w:p>
    <w:p w14:paraId="3BA95027" w14:textId="49FE3C00" w:rsidR="008D376E" w:rsidRDefault="725E0CE5" w:rsidP="008D376E">
      <w:r>
        <w:t>O</w:t>
      </w:r>
      <w:r w:rsidR="008D376E">
        <w:t xml:space="preserve">ur path would see a significant increase in new native forests established on less productive land. </w:t>
      </w:r>
      <w:r w:rsidR="003C5664">
        <w:t xml:space="preserve">The </w:t>
      </w:r>
      <w:r w:rsidR="00DA0B29">
        <w:t>Ministry for Primary Industries</w:t>
      </w:r>
      <w:r w:rsidR="008D376E">
        <w:t xml:space="preserve"> forecast</w:t>
      </w:r>
      <w:r w:rsidR="003C5664">
        <w:t>s</w:t>
      </w:r>
      <w:r w:rsidR="008D376E">
        <w:t xml:space="preserve"> that there will be around 12,000 hectares of new native forests established in 2021. Our path would see this ramp up to 25,000 hectares per year from 203</w:t>
      </w:r>
      <w:r w:rsidR="00C85721">
        <w:t>0</w:t>
      </w:r>
      <w:r w:rsidR="00712F20">
        <w:t xml:space="preserve"> (</w:t>
      </w:r>
      <w:r w:rsidR="000F7EE8">
        <w:t>Figure 3</w:t>
      </w:r>
      <w:r w:rsidR="009B5138">
        <w:t>.18</w:t>
      </w:r>
      <w:r w:rsidR="00712F20">
        <w:t>)</w:t>
      </w:r>
      <w:r w:rsidR="008D376E">
        <w:t>. In total, close to 300,000 hectares of new native forests would be established by 2035</w:t>
      </w:r>
      <w:r w:rsidR="00C04232">
        <w:t xml:space="preserve"> (</w:t>
      </w:r>
      <w:r w:rsidR="0098525C">
        <w:t>Figure 3.17</w:t>
      </w:r>
      <w:r w:rsidR="005549BC">
        <w:t xml:space="preserve"> </w:t>
      </w:r>
      <w:r>
        <w:fldChar w:fldCharType="begin"/>
      </w:r>
      <w:r>
        <w:instrText>REF _Ref61344572 \p</w:instrText>
      </w:r>
      <w:r>
        <w:fldChar w:fldCharType="separate"/>
      </w:r>
      <w:r w:rsidR="00A22B54">
        <w:t>above</w:t>
      </w:r>
      <w:r>
        <w:fldChar w:fldCharType="end"/>
      </w:r>
      <w:r w:rsidR="00C04232">
        <w:t>)</w:t>
      </w:r>
      <w:r w:rsidR="008D376E">
        <w:t xml:space="preserve">. </w:t>
      </w:r>
      <w:r w:rsidR="005567F9">
        <w:t xml:space="preserve">The rate that we can plant or revert native forest </w:t>
      </w:r>
      <w:r w:rsidR="004F0F81">
        <w:t>would likely be</w:t>
      </w:r>
      <w:r w:rsidR="005567F9">
        <w:t xml:space="preserve"> limited by </w:t>
      </w:r>
      <w:r w:rsidR="00016B1D">
        <w:t>nursery capacity</w:t>
      </w:r>
      <w:r w:rsidR="00890A27">
        <w:t>, pest control and fencing.</w:t>
      </w:r>
    </w:p>
    <w:p w14:paraId="6974B0D9" w14:textId="11DC926E" w:rsidR="008D376E" w:rsidRDefault="008D376E" w:rsidP="008D376E">
      <w:r>
        <w:t>Estimates from recent studies suggest there is on the order of 1,150,000 to 1,</w:t>
      </w:r>
      <w:r w:rsidR="00890A27">
        <w:t>4</w:t>
      </w:r>
      <w:r>
        <w:t>00,000 hectares of marginal land that could be planted in forestry. As much of this land is steep and prone to erosion, we consider that it would be more suitable for permanent forests, particular</w:t>
      </w:r>
      <w:r w:rsidR="009B5590">
        <w:t>ly</w:t>
      </w:r>
      <w:r>
        <w:t xml:space="preserve"> native forests.</w:t>
      </w:r>
    </w:p>
    <w:p w14:paraId="50161E18" w14:textId="6849275D" w:rsidR="00774980" w:rsidRPr="00774980" w:rsidRDefault="008D376E" w:rsidP="00774980">
      <w:r>
        <w:t xml:space="preserve">In our path, exotic afforestation would continue the trajectory expected under current policies up until 2030, averaging around 25,000 hectares per year. From 2030 onwards, the rate of afforestation </w:t>
      </w:r>
      <w:r w:rsidR="00C04D63">
        <w:t>for carbon removals</w:t>
      </w:r>
      <w:r>
        <w:t xml:space="preserve"> would reduce. In total, around 380,000 hectares of new exotic forestry </w:t>
      </w:r>
      <w:r w:rsidR="003C5664">
        <w:t>would be</w:t>
      </w:r>
      <w:r>
        <w:t xml:space="preserve"> established by 2035. </w:t>
      </w:r>
    </w:p>
    <w:p w14:paraId="4B7BFB0B" w14:textId="15E87861" w:rsidR="00774980" w:rsidRPr="00774980" w:rsidRDefault="00890A27" w:rsidP="00774980">
      <w:r>
        <w:t xml:space="preserve">We have not assumed any change in the </w:t>
      </w:r>
      <w:r w:rsidR="006303CE">
        <w:t>percent</w:t>
      </w:r>
      <w:r w:rsidR="004A0607">
        <w:t>age</w:t>
      </w:r>
      <w:r>
        <w:t xml:space="preserve"> of permanent exotic forest above</w:t>
      </w:r>
      <w:r w:rsidR="006A4C35">
        <w:t xml:space="preserve"> Ministry </w:t>
      </w:r>
      <w:r w:rsidR="00DA0B29">
        <w:t>for</w:t>
      </w:r>
      <w:r w:rsidR="006A4C35">
        <w:t xml:space="preserve"> Primary Industries projections </w:t>
      </w:r>
      <w:r w:rsidR="00472F63">
        <w:t>as this is not required to reach emissions targets.</w:t>
      </w:r>
    </w:p>
    <w:p w14:paraId="269928EF" w14:textId="2B7A9381" w:rsidR="00AA19CE" w:rsidRPr="00AA19CE" w:rsidRDefault="00FB2366" w:rsidP="00AA19CE">
      <w:r>
        <w:t xml:space="preserve">As well as planting new </w:t>
      </w:r>
      <w:r w:rsidR="009B23D6">
        <w:t xml:space="preserve">forests our path would </w:t>
      </w:r>
      <w:r w:rsidR="00F76436">
        <w:t>reduce</w:t>
      </w:r>
      <w:r w:rsidR="00F6332B">
        <w:t xml:space="preserve"> deforestation, which </w:t>
      </w:r>
      <w:r w:rsidR="00B352C1">
        <w:t>is still a</w:t>
      </w:r>
      <w:r w:rsidR="00594701">
        <w:t xml:space="preserve"> considerable</w:t>
      </w:r>
      <w:r w:rsidR="00B352C1">
        <w:t xml:space="preserve"> source of </w:t>
      </w:r>
      <w:r w:rsidR="00594701">
        <w:t>emissions in Aotearoa.</w:t>
      </w:r>
      <w:r w:rsidR="00F6332B">
        <w:t xml:space="preserve"> </w:t>
      </w:r>
      <w:r w:rsidR="00594701">
        <w:t>Our</w:t>
      </w:r>
      <w:r w:rsidR="001878F2">
        <w:t xml:space="preserve"> path assumes that no further native deforestation occurs after 2025.</w:t>
      </w:r>
      <w:r w:rsidR="001878F2" w:rsidRPr="008C1061">
        <w:t xml:space="preserve"> </w:t>
      </w:r>
    </w:p>
    <w:p w14:paraId="16F9D81F" w14:textId="0EF067D0" w:rsidR="00C04232" w:rsidRDefault="0F05FAB7" w:rsidP="00C04232">
      <w:pPr>
        <w:keepNext/>
      </w:pPr>
      <w:r>
        <w:rPr>
          <w:noProof/>
        </w:rPr>
        <w:lastRenderedPageBreak/>
        <w:drawing>
          <wp:inline distT="0" distB="0" distL="0" distR="0" wp14:anchorId="4F1F232D" wp14:editId="23EEF3AB">
            <wp:extent cx="5761274" cy="321001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rotWithShape="1">
                    <a:blip r:embed="rId45">
                      <a:extLst>
                        <a:ext uri="{28A0092B-C50C-407E-A947-70E740481C1C}">
                          <a14:useLocalDpi xmlns:a14="http://schemas.microsoft.com/office/drawing/2010/main" val="0"/>
                        </a:ext>
                      </a:extLst>
                    </a:blip>
                    <a:srcRect t="6830" b="3919"/>
                    <a:stretch/>
                  </pic:blipFill>
                  <pic:spPr bwMode="auto">
                    <a:xfrm>
                      <a:off x="0" y="0"/>
                      <a:ext cx="5761356" cy="3210056"/>
                    </a:xfrm>
                    <a:prstGeom prst="rect">
                      <a:avLst/>
                    </a:prstGeom>
                    <a:ln>
                      <a:noFill/>
                    </a:ln>
                    <a:extLst>
                      <a:ext uri="{53640926-AAD7-44D8-BBD7-CCE9431645EC}">
                        <a14:shadowObscured xmlns:a14="http://schemas.microsoft.com/office/drawing/2010/main"/>
                      </a:ext>
                    </a:extLst>
                  </pic:spPr>
                </pic:pic>
              </a:graphicData>
            </a:graphic>
          </wp:inline>
        </w:drawing>
      </w:r>
    </w:p>
    <w:p w14:paraId="09E4E63F" w14:textId="20A835DC" w:rsidR="00C04232" w:rsidRDefault="00C04232" w:rsidP="004566C1">
      <w:pPr>
        <w:pStyle w:val="Caption"/>
      </w:pPr>
      <w:r>
        <w:t>Figure</w:t>
      </w:r>
      <w:r w:rsidR="00CF3B6F">
        <w:t xml:space="preserve"> 3.18</w:t>
      </w:r>
      <w:r>
        <w:t>: Afforestation and deforestation by year in our path</w:t>
      </w:r>
      <w:r w:rsidR="00AA1AA3">
        <w:t>.</w:t>
      </w:r>
    </w:p>
    <w:p w14:paraId="53FB1083" w14:textId="77777777" w:rsidR="00AA1AA3" w:rsidRPr="00295A62" w:rsidRDefault="00AA1AA3" w:rsidP="00AA1AA3">
      <w:pPr>
        <w:spacing w:before="0"/>
        <w:jc w:val="right"/>
      </w:pPr>
      <w:r w:rsidRPr="00295A62">
        <w:t>Source: Commission analysis</w:t>
      </w:r>
      <w:r>
        <w:t>.</w:t>
      </w:r>
    </w:p>
    <w:p w14:paraId="229A5476" w14:textId="3A1BEC53" w:rsidR="00BC109D" w:rsidRDefault="00BC109D" w:rsidP="00BC109D">
      <w:r>
        <w:t xml:space="preserve">Trees can help in the transition a low emissions Aotearoa in </w:t>
      </w:r>
      <w:r w:rsidR="00441CF9">
        <w:t>other</w:t>
      </w:r>
      <w:r>
        <w:t xml:space="preserve"> ways. </w:t>
      </w:r>
    </w:p>
    <w:p w14:paraId="15A6F5A2" w14:textId="505D1566" w:rsidR="00BC109D" w:rsidRDefault="00BC109D" w:rsidP="00BC109D">
      <w:r w:rsidRPr="0092640B">
        <w:t>Bioenergy offers a low</w:t>
      </w:r>
      <w:r w:rsidR="00AA1888">
        <w:t xml:space="preserve"> </w:t>
      </w:r>
      <w:r w:rsidRPr="0092640B">
        <w:t xml:space="preserve">cost route </w:t>
      </w:r>
      <w:r>
        <w:t>for</w:t>
      </w:r>
      <w:r w:rsidRPr="0092640B">
        <w:t xml:space="preserve"> decarbonising some sectors, including process heat. </w:t>
      </w:r>
      <w:r>
        <w:t>Overall,</w:t>
      </w:r>
      <w:r w:rsidRPr="0092640B">
        <w:t xml:space="preserve"> there appears to be a large potential biomass supply from collecting and using waste from forestry and wood processing</w:t>
      </w:r>
      <w:r>
        <w:t>. However, the availability is likely to vary across the country due to</w:t>
      </w:r>
      <w:r w:rsidRPr="00F90E58">
        <w:t xml:space="preserve"> regional mismatches in supp</w:t>
      </w:r>
      <w:r w:rsidRPr="0092640B">
        <w:t xml:space="preserve">ly and demand </w:t>
      </w:r>
      <w:r>
        <w:t xml:space="preserve">of biomass, and the cost of </w:t>
      </w:r>
      <w:r w:rsidRPr="0092640B">
        <w:t>transport</w:t>
      </w:r>
      <w:r>
        <w:t>ing biomass. W</w:t>
      </w:r>
      <w:r w:rsidRPr="0092640B">
        <w:t>hile the supply of biomass residues may appear to be abundant in some regions, trade-offs may</w:t>
      </w:r>
      <w:r>
        <w:t xml:space="preserve"> also</w:t>
      </w:r>
      <w:r w:rsidRPr="0092640B">
        <w:t xml:space="preserve"> need to be made when deciding what parts of the economy </w:t>
      </w:r>
      <w:r>
        <w:t>to</w:t>
      </w:r>
      <w:r w:rsidRPr="0092640B">
        <w:t xml:space="preserve"> decarbonise</w:t>
      </w:r>
      <w:r>
        <w:t xml:space="preserve"> using biomass first</w:t>
      </w:r>
      <w:r w:rsidRPr="0092640B">
        <w:t>.</w:t>
      </w:r>
      <w:r>
        <w:t xml:space="preserve"> </w:t>
      </w:r>
    </w:p>
    <w:p w14:paraId="6936123B" w14:textId="4CFEE2E3" w:rsidR="00BC109D" w:rsidRDefault="00BC109D" w:rsidP="00BC109D">
      <w:r>
        <w:t xml:space="preserve">Timber can displace emissions intensive materials such as steel and cement in buildings. This reduces embodied </w:t>
      </w:r>
      <w:r w:rsidR="00201012">
        <w:t>emissions</w:t>
      </w:r>
      <w:r>
        <w:t xml:space="preserve"> and can lock up carbon for several decades.</w:t>
      </w:r>
    </w:p>
    <w:p w14:paraId="4561D4FE" w14:textId="25DFD831" w:rsidR="008D376E" w:rsidRPr="002F418C" w:rsidRDefault="0055078E" w:rsidP="008D376E">
      <w:pPr>
        <w:pStyle w:val="Heading3"/>
      </w:pPr>
      <w:bookmarkStart w:id="137" w:name="_Toc62649332"/>
      <w:bookmarkStart w:id="138" w:name="_Toc62650273"/>
      <w:r>
        <w:t xml:space="preserve">3.8.8 </w:t>
      </w:r>
      <w:r w:rsidR="008D376E" w:rsidRPr="002F418C">
        <w:t>Waste</w:t>
      </w:r>
      <w:bookmarkEnd w:id="137"/>
      <w:bookmarkEnd w:id="138"/>
    </w:p>
    <w:p w14:paraId="4569A41D" w14:textId="46B6F3A3" w:rsidR="008D376E" w:rsidRDefault="00472F63" w:rsidP="008D376E">
      <w:r>
        <w:t>Reusing and recovering</w:t>
      </w:r>
      <w:r w:rsidR="008D376E">
        <w:t xml:space="preserve"> waste materials is a key part of a circular economy. Our path would see a reduction in the amount of waste generated and a focus on reducing the amount of organic waste, such as food, wood and paper, that go into landfills. Our path would see the</w:t>
      </w:r>
      <w:r w:rsidR="009D1362">
        <w:t xml:space="preserve"> total</w:t>
      </w:r>
      <w:r w:rsidR="008D376E">
        <w:t xml:space="preserve"> amount </w:t>
      </w:r>
      <w:r w:rsidR="007A2586" w:rsidRPr="007A2586">
        <w:t xml:space="preserve">of </w:t>
      </w:r>
      <w:r w:rsidR="008D376E">
        <w:t xml:space="preserve">organic waste going to landfills decrease by </w:t>
      </w:r>
      <w:r w:rsidR="008D376E" w:rsidRPr="007A2586">
        <w:t xml:space="preserve">at least </w:t>
      </w:r>
      <w:r w:rsidR="009D1362">
        <w:t>23</w:t>
      </w:r>
      <w:r w:rsidR="007A2586" w:rsidRPr="007A2586">
        <w:t xml:space="preserve">% </w:t>
      </w:r>
      <w:r w:rsidR="00984974">
        <w:t xml:space="preserve">from 2018 to </w:t>
      </w:r>
      <w:r w:rsidR="008D376E" w:rsidRPr="007A2586">
        <w:t>2030</w:t>
      </w:r>
      <w:r w:rsidR="001A29DB">
        <w:t xml:space="preserve"> (</w:t>
      </w:r>
      <w:r w:rsidR="001A29DB">
        <w:fldChar w:fldCharType="begin"/>
      </w:r>
      <w:r w:rsidR="001A29DB">
        <w:instrText xml:space="preserve"> REF _Ref61420715 \h </w:instrText>
      </w:r>
      <w:r w:rsidR="001A29DB">
        <w:fldChar w:fldCharType="separate"/>
      </w:r>
      <w:r w:rsidR="00A22B54">
        <w:t>Figure</w:t>
      </w:r>
      <w:r w:rsidR="001A29DB">
        <w:fldChar w:fldCharType="end"/>
      </w:r>
      <w:r w:rsidR="00906487">
        <w:t xml:space="preserve"> </w:t>
      </w:r>
      <w:r w:rsidR="00563C72">
        <w:t>3.19</w:t>
      </w:r>
      <w:r w:rsidR="001A29DB">
        <w:t>)</w:t>
      </w:r>
      <w:r w:rsidR="008D376E" w:rsidRPr="007A2586">
        <w:t>.</w:t>
      </w:r>
      <w:r w:rsidR="008D376E">
        <w:t xml:space="preserve"> </w:t>
      </w:r>
    </w:p>
    <w:p w14:paraId="366DE6BC" w14:textId="7BE3BC45" w:rsidR="005E02F3" w:rsidRDefault="008D376E" w:rsidP="008D376E">
      <w:r>
        <w:t xml:space="preserve">Waste emissions can also be reduced by increasing the amount of biogenic methane which is captured and destroyed from landfills, through either upgrading landfill gas capture systems, or diverting </w:t>
      </w:r>
      <w:r w:rsidR="00D11DEE">
        <w:t xml:space="preserve">organic </w:t>
      </w:r>
      <w:r>
        <w:t xml:space="preserve">waste from sites without landfill gas capture to those with capture. </w:t>
      </w:r>
      <w:r w:rsidR="007A2586" w:rsidRPr="007A2586">
        <w:t xml:space="preserve">In our path we assume </w:t>
      </w:r>
      <w:r w:rsidR="00FE19FA">
        <w:t>minor</w:t>
      </w:r>
      <w:r w:rsidR="007A2586" w:rsidRPr="007A2586">
        <w:t xml:space="preserve"> improvements in landfill gas capture </w:t>
      </w:r>
      <w:r w:rsidR="00420C63">
        <w:t xml:space="preserve">through increasing </w:t>
      </w:r>
      <w:r w:rsidR="002C4B7B">
        <w:t xml:space="preserve">site </w:t>
      </w:r>
      <w:r w:rsidR="00420C63">
        <w:t xml:space="preserve">coverage and efficiency </w:t>
      </w:r>
      <w:r w:rsidR="007A2586" w:rsidRPr="007A2586">
        <w:t>reduce total methane emissions from waste by an additional 4% by 2030.</w:t>
      </w:r>
    </w:p>
    <w:p w14:paraId="183AA52B" w14:textId="4F4A161D" w:rsidR="008A586C" w:rsidRDefault="00232D99" w:rsidP="000108D8">
      <w:pPr>
        <w:keepNext/>
        <w:jc w:val="center"/>
      </w:pPr>
      <w:r>
        <w:rPr>
          <w:noProof/>
        </w:rPr>
        <w:lastRenderedPageBreak/>
        <w:drawing>
          <wp:inline distT="0" distB="0" distL="0" distR="0" wp14:anchorId="3E65C295" wp14:editId="6063142F">
            <wp:extent cx="5785485" cy="3364627"/>
            <wp:effectExtent l="0" t="0" r="5715"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rotWithShape="1">
                    <a:blip r:embed="rId46">
                      <a:extLst>
                        <a:ext uri="{28A0092B-C50C-407E-A947-70E740481C1C}">
                          <a14:useLocalDpi xmlns:a14="http://schemas.microsoft.com/office/drawing/2010/main" val="0"/>
                        </a:ext>
                      </a:extLst>
                    </a:blip>
                    <a:srcRect t="6451"/>
                    <a:stretch/>
                  </pic:blipFill>
                  <pic:spPr bwMode="auto">
                    <a:xfrm>
                      <a:off x="0" y="0"/>
                      <a:ext cx="5785486" cy="3364628"/>
                    </a:xfrm>
                    <a:prstGeom prst="rect">
                      <a:avLst/>
                    </a:prstGeom>
                    <a:ln>
                      <a:noFill/>
                    </a:ln>
                    <a:extLst>
                      <a:ext uri="{53640926-AAD7-44D8-BBD7-CCE9431645EC}">
                        <a14:shadowObscured xmlns:a14="http://schemas.microsoft.com/office/drawing/2010/main"/>
                      </a:ext>
                    </a:extLst>
                  </pic:spPr>
                </pic:pic>
              </a:graphicData>
            </a:graphic>
          </wp:inline>
        </w:drawing>
      </w:r>
    </w:p>
    <w:p w14:paraId="578B908B" w14:textId="3F534C38" w:rsidR="008D376E" w:rsidRDefault="008A586C" w:rsidP="000108D8">
      <w:pPr>
        <w:pStyle w:val="Caption"/>
      </w:pPr>
      <w:bookmarkStart w:id="139" w:name="_Ref61420715"/>
      <w:r>
        <w:t>Figure</w:t>
      </w:r>
      <w:bookmarkEnd w:id="139"/>
      <w:r w:rsidR="00CF3B6F">
        <w:t xml:space="preserve"> 3.19</w:t>
      </w:r>
      <w:r>
        <w:t xml:space="preserve">: </w:t>
      </w:r>
      <w:r w:rsidRPr="00DA074D">
        <w:t>Total organic waste sent to landfill in our path</w:t>
      </w:r>
      <w:r w:rsidR="00AA1AA3">
        <w:t>.</w:t>
      </w:r>
    </w:p>
    <w:p w14:paraId="2FC0405F" w14:textId="77777777" w:rsidR="00AA1AA3" w:rsidRPr="00295A62" w:rsidRDefault="00AA1AA3" w:rsidP="00AA1AA3">
      <w:pPr>
        <w:spacing w:before="0"/>
        <w:jc w:val="right"/>
      </w:pPr>
      <w:r w:rsidRPr="00295A62">
        <w:t>Source: Commission analysis</w:t>
      </w:r>
      <w:r>
        <w:t>.</w:t>
      </w:r>
    </w:p>
    <w:p w14:paraId="58D20F27" w14:textId="7FAAA310" w:rsidR="008D376E" w:rsidRPr="00DC70D9" w:rsidRDefault="001D7E86" w:rsidP="008D376E">
      <w:pPr>
        <w:pStyle w:val="Heading3"/>
      </w:pPr>
      <w:bookmarkStart w:id="140" w:name="_Toc62649333"/>
      <w:bookmarkStart w:id="141" w:name="_Toc62650274"/>
      <w:bookmarkStart w:id="142" w:name="_Toc56111274"/>
      <w:bookmarkStart w:id="143" w:name="_Toc56111429"/>
      <w:bookmarkStart w:id="144" w:name="_Toc56111524"/>
      <w:r>
        <w:t xml:space="preserve">3.8.9 </w:t>
      </w:r>
      <w:r w:rsidR="008D376E">
        <w:t>F-gases</w:t>
      </w:r>
      <w:bookmarkEnd w:id="140"/>
      <w:bookmarkEnd w:id="141"/>
    </w:p>
    <w:p w14:paraId="2C837D73" w14:textId="45821F10" w:rsidR="00484CE4" w:rsidRDefault="009176DD" w:rsidP="00F3235F">
      <w:r w:rsidRPr="009176DD">
        <w:t xml:space="preserve">Fluorinated gases, including hydrofluorocarbons (HFCs), are greenhouse gases that are primarily used as refrigerants in fridges, freezers and air conditioning systems. Our path assumes emissions from HFCs reduce by at least 18% by 2030 and 33% by 2035 in line with </w:t>
      </w:r>
      <w:r w:rsidR="00527D05">
        <w:t>the</w:t>
      </w:r>
      <w:r w:rsidR="00527D05" w:rsidRPr="009176DD">
        <w:t xml:space="preserve"> </w:t>
      </w:r>
      <w:r w:rsidRPr="009176DD">
        <w:t xml:space="preserve">actions </w:t>
      </w:r>
      <w:r w:rsidR="00527D05">
        <w:t>Aotearoa tak</w:t>
      </w:r>
      <w:r w:rsidR="00835812">
        <w:t>es</w:t>
      </w:r>
      <w:r w:rsidR="00527D05">
        <w:t xml:space="preserve"> </w:t>
      </w:r>
      <w:r w:rsidRPr="009176DD">
        <w:t xml:space="preserve">under the Kigali amendment to the Montreal Protocol. This can be achieved through reducing the import of </w:t>
      </w:r>
      <w:r w:rsidR="008D376E" w:rsidRPr="00064EAA">
        <w:t>HFC</w:t>
      </w:r>
      <w:r w:rsidR="00126B3D">
        <w:t>s</w:t>
      </w:r>
      <w:r w:rsidRPr="009176DD">
        <w:t xml:space="preserve"> in second-hand products, reducing equipment leakage and increasing end-of-life recovery of products that contain these gases.</w:t>
      </w:r>
      <w:bookmarkEnd w:id="142"/>
      <w:bookmarkEnd w:id="143"/>
      <w:bookmarkEnd w:id="144"/>
    </w:p>
    <w:p w14:paraId="16ED48FD" w14:textId="23F745C0" w:rsidR="009B5590" w:rsidRDefault="00333255">
      <w:pPr>
        <w:spacing w:before="0" w:after="160"/>
      </w:pPr>
      <w:r>
        <w:br w:type="page"/>
      </w:r>
    </w:p>
    <w:p w14:paraId="603BABA4" w14:textId="77777777" w:rsidR="009B5590" w:rsidRDefault="009B5590" w:rsidP="00F3235F"/>
    <w:tbl>
      <w:tblPr>
        <w:tblStyle w:val="GridTable4-Accent61"/>
        <w:tblW w:w="0" w:type="auto"/>
        <w:tblLook w:val="04A0" w:firstRow="1" w:lastRow="0" w:firstColumn="1" w:lastColumn="0" w:noHBand="0" w:noVBand="1"/>
      </w:tblPr>
      <w:tblGrid>
        <w:gridCol w:w="9016"/>
      </w:tblGrid>
      <w:tr w:rsidR="00BD37D1" w:rsidRPr="00FC053E" w14:paraId="6F19FFDE" w14:textId="77777777" w:rsidTr="00B605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4B14112" w14:textId="75002E9F" w:rsidR="00BD37D1" w:rsidRPr="00FC053E" w:rsidRDefault="00BD37D1" w:rsidP="00B60575">
            <w:pPr>
              <w:spacing w:before="0" w:after="0" w:line="259" w:lineRule="auto"/>
              <w:jc w:val="center"/>
              <w:rPr>
                <w:bCs w:val="0"/>
                <w:color w:val="auto"/>
                <w:sz w:val="28"/>
                <w:szCs w:val="28"/>
              </w:rPr>
            </w:pPr>
            <w:r w:rsidRPr="00FC053E">
              <w:rPr>
                <w:b w:val="0"/>
                <w:bCs w:val="0"/>
                <w:color w:val="auto"/>
                <w:sz w:val="28"/>
                <w:szCs w:val="28"/>
                <w:lang w:val="en-US"/>
              </w:rPr>
              <w:t xml:space="preserve">Box </w:t>
            </w:r>
            <w:r w:rsidR="001D4F28">
              <w:rPr>
                <w:b w:val="0"/>
                <w:bCs w:val="0"/>
                <w:color w:val="auto"/>
                <w:sz w:val="28"/>
                <w:szCs w:val="28"/>
                <w:lang w:val="en-US"/>
              </w:rPr>
              <w:t>3</w:t>
            </w:r>
            <w:r w:rsidRPr="00FC053E">
              <w:rPr>
                <w:b w:val="0"/>
                <w:bCs w:val="0"/>
                <w:color w:val="auto"/>
                <w:sz w:val="28"/>
                <w:szCs w:val="28"/>
                <w:lang w:val="en-US"/>
              </w:rPr>
              <w:t xml:space="preserve">.1: </w:t>
            </w:r>
            <w:r w:rsidR="001D4F28" w:rsidRPr="001D4F28">
              <w:rPr>
                <w:b w:val="0"/>
                <w:bCs w:val="0"/>
                <w:color w:val="auto"/>
                <w:sz w:val="28"/>
                <w:szCs w:val="28"/>
                <w:lang w:val="en-US"/>
              </w:rPr>
              <w:t>Different ways to meet our emissions budgets</w:t>
            </w:r>
          </w:p>
        </w:tc>
      </w:tr>
      <w:tr w:rsidR="00BD37D1" w:rsidRPr="00FC053E" w14:paraId="6B1FA489" w14:textId="77777777" w:rsidTr="00B60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3257257" w14:textId="77777777" w:rsidR="001D4F28" w:rsidRPr="001D4F28" w:rsidRDefault="001D4F28" w:rsidP="001D4F28">
            <w:pPr>
              <w:rPr>
                <w:b w:val="0"/>
                <w:bCs w:val="0"/>
              </w:rPr>
            </w:pPr>
            <w:r w:rsidRPr="001D4F28">
              <w:rPr>
                <w:b w:val="0"/>
                <w:bCs w:val="0"/>
              </w:rPr>
              <w:t xml:space="preserve">We are required to advise on emissions budgets that are ambitious but achievable. We have tested to understand whether it would be possible to meet our recommended emissions budgets in different ways. </w:t>
            </w:r>
          </w:p>
          <w:p w14:paraId="6EA03DA2" w14:textId="77777777" w:rsidR="001D4F28" w:rsidRPr="001D4F28" w:rsidRDefault="001D4F28" w:rsidP="001D4F28">
            <w:pPr>
              <w:rPr>
                <w:b w:val="0"/>
                <w:bCs w:val="0"/>
              </w:rPr>
            </w:pPr>
            <w:r w:rsidRPr="001D4F28">
              <w:rPr>
                <w:b w:val="0"/>
                <w:bCs w:val="0"/>
              </w:rPr>
              <w:t>Being able to meet the budgets in different ways gives us confidence that there is enough flexibility in how the proposed emissions budgets can be met. If we set the budgets so they are very easy to achieve, they would not have enough ambition to drive change. However, if we make them too hard, there is no flexibility if things do not turn out how we plan.</w:t>
            </w:r>
          </w:p>
          <w:p w14:paraId="146966E1" w14:textId="77777777" w:rsidR="001D4F28" w:rsidRPr="001D4F28" w:rsidRDefault="001D4F28" w:rsidP="001D4F28">
            <w:pPr>
              <w:rPr>
                <w:b w:val="0"/>
                <w:bCs w:val="0"/>
              </w:rPr>
            </w:pPr>
            <w:r w:rsidRPr="001D4F28">
              <w:rPr>
                <w:b w:val="0"/>
                <w:bCs w:val="0"/>
              </w:rPr>
              <w:t>We have tested whether our proposed emissions budgets could still be met through a slower uptake of electric vehicles and with less emissions reduction achieved through changes in farm management practices. In this case, the emissions budgets could be met through:</w:t>
            </w:r>
          </w:p>
          <w:p w14:paraId="2A9C7AB7" w14:textId="7807BE16" w:rsidR="001D4F28" w:rsidRPr="001D4F28" w:rsidRDefault="001D4F28" w:rsidP="001D4F28">
            <w:pPr>
              <w:pStyle w:val="ListParagraph"/>
              <w:numPr>
                <w:ilvl w:val="0"/>
                <w:numId w:val="7"/>
              </w:numPr>
              <w:spacing w:line="252" w:lineRule="auto"/>
              <w:rPr>
                <w:b w:val="0"/>
                <w:bCs w:val="0"/>
              </w:rPr>
            </w:pPr>
            <w:r w:rsidRPr="001D4F28">
              <w:rPr>
                <w:b w:val="0"/>
                <w:bCs w:val="0"/>
              </w:rPr>
              <w:t xml:space="preserve">further reducing travel or shifting to lower emissions </w:t>
            </w:r>
            <w:r w:rsidR="00D61EB1">
              <w:rPr>
                <w:b w:val="0"/>
                <w:bCs w:val="0"/>
              </w:rPr>
              <w:t>type</w:t>
            </w:r>
          </w:p>
          <w:p w14:paraId="501C8211" w14:textId="200EFD48" w:rsidR="001D4F28" w:rsidRPr="001D4F28" w:rsidRDefault="001D4F28" w:rsidP="001D4F28">
            <w:pPr>
              <w:pStyle w:val="ListParagraph"/>
              <w:numPr>
                <w:ilvl w:val="0"/>
                <w:numId w:val="7"/>
              </w:numPr>
              <w:spacing w:line="252" w:lineRule="auto"/>
              <w:rPr>
                <w:b w:val="0"/>
                <w:bCs w:val="0"/>
              </w:rPr>
            </w:pPr>
            <w:r w:rsidRPr="001D4F28">
              <w:rPr>
                <w:b w:val="0"/>
                <w:bCs w:val="0"/>
              </w:rPr>
              <w:t>further land use change from livestock agriculture into horticulture and exotic forestry</w:t>
            </w:r>
          </w:p>
          <w:p w14:paraId="70B699DE" w14:textId="4EEEA84B" w:rsidR="001D4F28" w:rsidRPr="001D4F28" w:rsidRDefault="001D4F28" w:rsidP="001D4F28">
            <w:pPr>
              <w:pStyle w:val="ListParagraph"/>
              <w:numPr>
                <w:ilvl w:val="0"/>
                <w:numId w:val="7"/>
              </w:numPr>
              <w:spacing w:line="252" w:lineRule="auto"/>
              <w:rPr>
                <w:b w:val="0"/>
                <w:bCs w:val="0"/>
              </w:rPr>
            </w:pPr>
            <w:r w:rsidRPr="001D4F28">
              <w:rPr>
                <w:b w:val="0"/>
                <w:bCs w:val="0"/>
              </w:rPr>
              <w:t>further reducing the amount of organic was</w:t>
            </w:r>
            <w:r w:rsidR="000A6F2A">
              <w:rPr>
                <w:b w:val="0"/>
                <w:bCs w:val="0"/>
              </w:rPr>
              <w:t>t</w:t>
            </w:r>
            <w:r w:rsidRPr="001D4F28">
              <w:rPr>
                <w:b w:val="0"/>
                <w:bCs w:val="0"/>
              </w:rPr>
              <w:t>e sent to landfill</w:t>
            </w:r>
          </w:p>
          <w:p w14:paraId="2839D5BB" w14:textId="34BB3411" w:rsidR="001D4F28" w:rsidRPr="001D4F28" w:rsidRDefault="001D4F28" w:rsidP="001D4F28">
            <w:pPr>
              <w:pStyle w:val="ListParagraph"/>
              <w:numPr>
                <w:ilvl w:val="0"/>
                <w:numId w:val="7"/>
              </w:numPr>
              <w:spacing w:line="252" w:lineRule="auto"/>
              <w:rPr>
                <w:b w:val="0"/>
                <w:bCs w:val="0"/>
              </w:rPr>
            </w:pPr>
            <w:r w:rsidRPr="001D4F28">
              <w:rPr>
                <w:b w:val="0"/>
                <w:bCs w:val="0"/>
              </w:rPr>
              <w:t>phasing out F-gas refrigerants faster</w:t>
            </w:r>
          </w:p>
          <w:p w14:paraId="4DC938FB" w14:textId="77777777" w:rsidR="001D4F28" w:rsidRPr="001D4F28" w:rsidRDefault="001D4F28" w:rsidP="001D4F28">
            <w:pPr>
              <w:pStyle w:val="ListParagraph"/>
              <w:numPr>
                <w:ilvl w:val="0"/>
                <w:numId w:val="7"/>
              </w:numPr>
              <w:spacing w:line="252" w:lineRule="auto"/>
              <w:rPr>
                <w:b w:val="0"/>
                <w:bCs w:val="0"/>
              </w:rPr>
            </w:pPr>
            <w:r w:rsidRPr="001D4F28">
              <w:rPr>
                <w:b w:val="0"/>
                <w:bCs w:val="0"/>
              </w:rPr>
              <w:t>an earlier switch away from gas use in the wood processing sector.</w:t>
            </w:r>
          </w:p>
          <w:p w14:paraId="3B9BCB0D" w14:textId="77777777" w:rsidR="001D4F28" w:rsidRPr="001D4F28" w:rsidRDefault="001D4F28" w:rsidP="001D4F28">
            <w:pPr>
              <w:rPr>
                <w:b w:val="0"/>
                <w:bCs w:val="0"/>
              </w:rPr>
            </w:pPr>
            <w:r w:rsidRPr="001D4F28">
              <w:rPr>
                <w:b w:val="0"/>
                <w:bCs w:val="0"/>
              </w:rPr>
              <w:t>We have also tested whether our proposed emissions budgets could be met if people do not change behaviour as fast as we have anticipated. In this case, the emissions budgets could be met through:</w:t>
            </w:r>
          </w:p>
          <w:p w14:paraId="2DE06D9D" w14:textId="77777777" w:rsidR="001D4F28" w:rsidRPr="001D4F28" w:rsidRDefault="001D4F28" w:rsidP="001D4F28">
            <w:pPr>
              <w:pStyle w:val="ListParagraph"/>
              <w:numPr>
                <w:ilvl w:val="0"/>
                <w:numId w:val="8"/>
              </w:numPr>
              <w:spacing w:line="252" w:lineRule="auto"/>
              <w:rPr>
                <w:b w:val="0"/>
                <w:bCs w:val="0"/>
                <w:lang w:val="en-US"/>
              </w:rPr>
            </w:pPr>
            <w:r w:rsidRPr="001D4F28">
              <w:rPr>
                <w:b w:val="0"/>
                <w:bCs w:val="0"/>
                <w:lang w:val="en-US"/>
              </w:rPr>
              <w:t>further accelerating uptake of electric vehicles so that by 2030 all new light vehicles entering the fleet are electric</w:t>
            </w:r>
          </w:p>
          <w:p w14:paraId="1B6C2A64" w14:textId="3724965C" w:rsidR="00BD37D1" w:rsidRPr="000A6F2A" w:rsidRDefault="001D4F28" w:rsidP="001D4F28">
            <w:pPr>
              <w:pStyle w:val="ListParagraph"/>
              <w:numPr>
                <w:ilvl w:val="0"/>
                <w:numId w:val="8"/>
              </w:numPr>
              <w:spacing w:line="252" w:lineRule="auto"/>
              <w:rPr>
                <w:b w:val="0"/>
                <w:bCs w:val="0"/>
                <w:lang w:val="en-US"/>
              </w:rPr>
            </w:pPr>
            <w:r w:rsidRPr="001D4F28">
              <w:rPr>
                <w:b w:val="0"/>
                <w:bCs w:val="0"/>
                <w:lang w:val="en-US"/>
              </w:rPr>
              <w:t>a methane inhibitor being widely adopted on dairy farms, reducing methane emissions from dairy cattle by around 5% in 2030 and 15% by 2035</w:t>
            </w:r>
          </w:p>
          <w:p w14:paraId="06F47455" w14:textId="613FDDF9" w:rsidR="000A6F2A" w:rsidRPr="001D4F28" w:rsidRDefault="00C17E20" w:rsidP="001D4F28">
            <w:pPr>
              <w:pStyle w:val="ListParagraph"/>
              <w:numPr>
                <w:ilvl w:val="0"/>
                <w:numId w:val="8"/>
              </w:numPr>
              <w:spacing w:line="252" w:lineRule="auto"/>
              <w:rPr>
                <w:b w:val="0"/>
                <w:bCs w:val="0"/>
                <w:lang w:val="en-US"/>
              </w:rPr>
            </w:pPr>
            <w:r>
              <w:rPr>
                <w:b w:val="0"/>
                <w:bCs w:val="0"/>
                <w:lang w:val="en-US"/>
              </w:rPr>
              <w:t>f</w:t>
            </w:r>
            <w:r w:rsidR="000A6F2A">
              <w:rPr>
                <w:b w:val="0"/>
                <w:bCs w:val="0"/>
                <w:lang w:val="en-US"/>
              </w:rPr>
              <w:t xml:space="preserve">urther increases to landfill gas capture. </w:t>
            </w:r>
          </w:p>
        </w:tc>
      </w:tr>
    </w:tbl>
    <w:p w14:paraId="021BFC2F" w14:textId="74D88A26" w:rsidR="00633F03" w:rsidDel="001D4F28" w:rsidRDefault="00633F03" w:rsidP="000C56DA">
      <w:pPr>
        <w:pStyle w:val="Content"/>
      </w:pPr>
    </w:p>
    <w:tbl>
      <w:tblPr>
        <w:tblStyle w:val="GridTable4-Accent2"/>
        <w:tblW w:w="0" w:type="auto"/>
        <w:shd w:val="clear" w:color="auto" w:fill="C6B1D1"/>
        <w:tblCellMar>
          <w:top w:w="57" w:type="dxa"/>
          <w:bottom w:w="57" w:type="dxa"/>
        </w:tblCellMar>
        <w:tblLook w:val="04A0" w:firstRow="1" w:lastRow="0" w:firstColumn="1" w:lastColumn="0" w:noHBand="0" w:noVBand="1"/>
      </w:tblPr>
      <w:tblGrid>
        <w:gridCol w:w="9016"/>
      </w:tblGrid>
      <w:tr w:rsidR="000C56DA" w:rsidRPr="00EA4071" w14:paraId="6B1E8F17" w14:textId="77777777" w:rsidTr="00923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9E76B3"/>
          </w:tcPr>
          <w:p w14:paraId="47C53B47" w14:textId="77777777" w:rsidR="000C56DA" w:rsidRPr="00BA7CD8" w:rsidRDefault="000C56DA" w:rsidP="009235FF">
            <w:pPr>
              <w:pStyle w:val="Content"/>
              <w:spacing w:before="0" w:after="0"/>
              <w:jc w:val="center"/>
              <w:rPr>
                <w:bCs w:val="0"/>
                <w:color w:val="000000" w:themeColor="text1"/>
                <w:sz w:val="24"/>
                <w:szCs w:val="24"/>
                <w:lang w:val="en-US"/>
              </w:rPr>
            </w:pPr>
            <w:r>
              <w:rPr>
                <w:bCs w:val="0"/>
                <w:sz w:val="28"/>
                <w:szCs w:val="28"/>
              </w:rPr>
              <w:t>Consultation questions 12</w:t>
            </w:r>
          </w:p>
          <w:p w14:paraId="747FEFC7" w14:textId="77777777" w:rsidR="000C56DA" w:rsidRPr="00EA4071" w:rsidRDefault="000C56DA" w:rsidP="009235FF">
            <w:pPr>
              <w:pStyle w:val="Content"/>
              <w:spacing w:before="0" w:after="0"/>
              <w:jc w:val="center"/>
              <w:rPr>
                <w:b w:val="0"/>
                <w:sz w:val="28"/>
                <w:szCs w:val="28"/>
              </w:rPr>
            </w:pPr>
            <w:r>
              <w:rPr>
                <w:b w:val="0"/>
                <w:sz w:val="28"/>
                <w:szCs w:val="28"/>
                <w:lang w:val="en-US"/>
              </w:rPr>
              <w:t>Our path to meeting the budgets</w:t>
            </w:r>
          </w:p>
        </w:tc>
      </w:tr>
      <w:tr w:rsidR="00BC7AB3" w:rsidRPr="00EA4071" w14:paraId="3996935B" w14:textId="77777777" w:rsidTr="00923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C6B1D1"/>
          </w:tcPr>
          <w:p w14:paraId="0E64517B" w14:textId="5D041585" w:rsidR="00BC7AB3" w:rsidRPr="00B72346" w:rsidRDefault="00BC7AB3" w:rsidP="00BC7AB3">
            <w:r w:rsidRPr="00400204">
              <w:t xml:space="preserve">Do you </w:t>
            </w:r>
            <w:r>
              <w:t xml:space="preserve">support </w:t>
            </w:r>
            <w:r w:rsidRPr="00400204">
              <w:t>the overall path that we have proposed to meet the first three budgets</w:t>
            </w:r>
            <w:r>
              <w:rPr>
                <w:bCs w:val="0"/>
              </w:rPr>
              <w:t>? Is there anything we should change, and why</w:t>
            </w:r>
            <w:r w:rsidRPr="00E5673C">
              <w:rPr>
                <w:bCs w:val="0"/>
              </w:rPr>
              <w:t>?</w:t>
            </w:r>
          </w:p>
        </w:tc>
      </w:tr>
    </w:tbl>
    <w:p w14:paraId="6E2CCC01" w14:textId="77777777" w:rsidR="000C56DA" w:rsidRDefault="000C56DA" w:rsidP="000C56DA">
      <w:pPr>
        <w:pStyle w:val="Content"/>
      </w:pPr>
    </w:p>
    <w:p w14:paraId="19B6DC51" w14:textId="4EC9D722" w:rsidR="00180FE4" w:rsidRPr="007A67B1" w:rsidRDefault="00180FE4" w:rsidP="00400204">
      <w:pPr>
        <w:keepNext/>
        <w:keepLines/>
        <w:pageBreakBefore/>
        <w:spacing w:after="0"/>
        <w:outlineLvl w:val="0"/>
        <w:rPr>
          <w:rFonts w:asciiTheme="majorHAnsi" w:eastAsiaTheme="majorEastAsia" w:hAnsiTheme="majorHAnsi" w:cstheme="majorBidi"/>
          <w:color w:val="2F5496" w:themeColor="accent1" w:themeShade="BF"/>
          <w:sz w:val="32"/>
          <w:szCs w:val="32"/>
        </w:rPr>
      </w:pPr>
      <w:bookmarkStart w:id="145" w:name="_Toc62650275"/>
      <w:r w:rsidRPr="007A67B1">
        <w:rPr>
          <w:rFonts w:asciiTheme="majorHAnsi" w:eastAsia="Calibri Light" w:hAnsiTheme="majorHAnsi" w:cstheme="majorBidi"/>
          <w:color w:val="2F5496" w:themeColor="accent1" w:themeShade="BF"/>
          <w:sz w:val="32"/>
          <w:szCs w:val="32"/>
        </w:rPr>
        <w:lastRenderedPageBreak/>
        <w:t xml:space="preserve">Chapter 4: </w:t>
      </w:r>
      <w:r>
        <w:rPr>
          <w:rFonts w:asciiTheme="majorHAnsi" w:eastAsia="Calibri Light" w:hAnsiTheme="majorHAnsi" w:cstheme="majorBidi"/>
          <w:color w:val="2F5496" w:themeColor="accent1" w:themeShade="BF"/>
          <w:sz w:val="32"/>
          <w:szCs w:val="32"/>
        </w:rPr>
        <w:t>C</w:t>
      </w:r>
      <w:r w:rsidRPr="007A67B1">
        <w:rPr>
          <w:rFonts w:asciiTheme="majorHAnsi" w:eastAsia="Calibri Light" w:hAnsiTheme="majorHAnsi" w:cstheme="majorBidi"/>
          <w:color w:val="2F5496" w:themeColor="accent1" w:themeShade="BF"/>
          <w:sz w:val="32"/>
          <w:szCs w:val="32"/>
        </w:rPr>
        <w:t>ontributi</w:t>
      </w:r>
      <w:r>
        <w:rPr>
          <w:rFonts w:asciiTheme="majorHAnsi" w:eastAsia="Calibri Light" w:hAnsiTheme="majorHAnsi" w:cstheme="majorBidi"/>
          <w:color w:val="2F5496" w:themeColor="accent1" w:themeShade="BF"/>
          <w:sz w:val="32"/>
          <w:szCs w:val="32"/>
        </w:rPr>
        <w:t>ng</w:t>
      </w:r>
      <w:r w:rsidRPr="007A67B1">
        <w:rPr>
          <w:rFonts w:asciiTheme="majorHAnsi" w:eastAsia="Calibri Light" w:hAnsiTheme="majorHAnsi" w:cstheme="majorBidi"/>
          <w:color w:val="2F5496" w:themeColor="accent1" w:themeShade="BF"/>
          <w:sz w:val="32"/>
          <w:szCs w:val="32"/>
        </w:rPr>
        <w:t xml:space="preserve"> to the global 1.5°C goal</w:t>
      </w:r>
      <w:bookmarkEnd w:id="145"/>
    </w:p>
    <w:p w14:paraId="172EDA82" w14:textId="7A8E8FF9" w:rsidR="00180FE4" w:rsidRDefault="00180FE4" w:rsidP="00180FE4">
      <w:r w:rsidRPr="007A67B1">
        <w:t>A key purpose of the Climate Change Response Act is for Aotearoa to contribute to the global effort</w:t>
      </w:r>
      <w:r w:rsidR="007E45C5">
        <w:t xml:space="preserve"> under the Paris Agreement</w:t>
      </w:r>
      <w:r w:rsidRPr="007A67B1">
        <w:t xml:space="preserve"> to limit the global average temperature increase to 1.5</w:t>
      </w:r>
      <w:r w:rsidRPr="007A67B1">
        <w:rPr>
          <w:rFonts w:cstheme="minorHAnsi"/>
        </w:rPr>
        <w:t>°</w:t>
      </w:r>
      <w:r w:rsidRPr="007A67B1">
        <w:t>C above pre-industrial levels.</w:t>
      </w:r>
    </w:p>
    <w:p w14:paraId="1989A08F" w14:textId="21F4A3FB" w:rsidR="007E45C5" w:rsidRDefault="007E45C5" w:rsidP="00180FE4">
      <w:r>
        <w:t xml:space="preserve">Under the Paris Agreement, Aotearoa has committed alongside other nations to: </w:t>
      </w:r>
    </w:p>
    <w:p w14:paraId="0FA74C9C" w14:textId="4DFDB65B" w:rsidR="007E45C5" w:rsidRDefault="007E45C5" w:rsidP="00655722">
      <w:pPr>
        <w:pStyle w:val="ListParagraph"/>
        <w:numPr>
          <w:ilvl w:val="0"/>
          <w:numId w:val="49"/>
        </w:numPr>
        <w:ind w:left="714" w:hanging="357"/>
        <w:contextualSpacing w:val="0"/>
      </w:pPr>
      <w:r>
        <w:rPr>
          <w:rStyle w:val="normaltextrun"/>
          <w:rFonts w:ascii="Calibri" w:hAnsi="Calibri" w:cs="Calibri"/>
        </w:rPr>
        <w:t>“</w:t>
      </w:r>
      <w:r w:rsidRPr="00400204">
        <w:rPr>
          <w:rStyle w:val="normaltextrun"/>
          <w:rFonts w:ascii="Calibri" w:hAnsi="Calibri" w:cs="Calibri"/>
        </w:rPr>
        <w:t>Hold the increase in the global average temperature to well below 2°C above pre-industrial levels and pursue efforts to limit the temperature increase to 1.5°C above pre-industrial levels, recognising that this would significantly reduce the risks and impacts of climate change</w:t>
      </w:r>
      <w:r>
        <w:rPr>
          <w:rStyle w:val="eop"/>
          <w:rFonts w:ascii="Calibri" w:hAnsi="Calibri" w:cs="Calibri"/>
        </w:rPr>
        <w:t>”</w:t>
      </w:r>
    </w:p>
    <w:p w14:paraId="2032AF1A" w14:textId="3EF3FB7D" w:rsidR="007E45C5" w:rsidRDefault="007E45C5" w:rsidP="00655722">
      <w:pPr>
        <w:pStyle w:val="ListParagraph"/>
        <w:numPr>
          <w:ilvl w:val="0"/>
          <w:numId w:val="49"/>
        </w:numPr>
        <w:ind w:left="714" w:hanging="357"/>
        <w:contextualSpacing w:val="0"/>
      </w:pPr>
      <w:r>
        <w:rPr>
          <w:rStyle w:val="normaltextrun"/>
          <w:rFonts w:ascii="Calibri" w:hAnsi="Calibri" w:cs="Calibri"/>
        </w:rPr>
        <w:t>“</w:t>
      </w:r>
      <w:r w:rsidRPr="00400204">
        <w:rPr>
          <w:rStyle w:val="normaltextrun"/>
          <w:rFonts w:ascii="Calibri" w:hAnsi="Calibri" w:cs="Calibri"/>
        </w:rPr>
        <w:t>Increase the ability to adapt to the adverse impacts of climate change and foster climate resilience and low greenhouse gas emissions development, in a manner that does not threaten food production</w:t>
      </w:r>
      <w:r>
        <w:rPr>
          <w:rStyle w:val="normaltextrun"/>
          <w:rFonts w:ascii="Calibri" w:hAnsi="Calibri" w:cs="Calibri"/>
        </w:rPr>
        <w:t>.”</w:t>
      </w:r>
    </w:p>
    <w:p w14:paraId="5AF0B0B0" w14:textId="31EFE0BD" w:rsidR="007E45C5" w:rsidRPr="007A67B1" w:rsidRDefault="007E45C5" w:rsidP="00180FE4">
      <w:r>
        <w:t>Aotearoa has chosen to play its part in pursuing the more ambitious 1.5</w:t>
      </w:r>
      <w:r>
        <w:rPr>
          <w:rFonts w:cstheme="minorHAnsi"/>
        </w:rPr>
        <w:t>°</w:t>
      </w:r>
      <w:r>
        <w:t>C goal.</w:t>
      </w:r>
    </w:p>
    <w:p w14:paraId="7B8160D9" w14:textId="0C07198F" w:rsidR="00180FE4" w:rsidRPr="007A67B1" w:rsidRDefault="00180FE4" w:rsidP="00180FE4">
      <w:r w:rsidRPr="007A67B1">
        <w:t>This chapter lays out our assessment of whether our proposed emissions budgets and the path for achieving them is consistent with contributing to the global 1.5</w:t>
      </w:r>
      <w:r w:rsidRPr="007A67B1">
        <w:rPr>
          <w:rFonts w:cstheme="minorHAnsi"/>
        </w:rPr>
        <w:t>°</w:t>
      </w:r>
      <w:r w:rsidRPr="007A67B1">
        <w:t>C goal. This chapter also outlines the science of the different greenhouse gases and how the different nature of the gases impacts the extent to which each gas needs to be reduced.</w:t>
      </w:r>
    </w:p>
    <w:p w14:paraId="2D6D6ACE" w14:textId="0179B0D6" w:rsidR="00180FE4" w:rsidRPr="007A67B1" w:rsidRDefault="004338BE" w:rsidP="00180FE4">
      <w:pPr>
        <w:keepNext/>
        <w:keepLines/>
        <w:spacing w:after="0"/>
        <w:outlineLvl w:val="1"/>
        <w:rPr>
          <w:rFonts w:asciiTheme="majorHAnsi" w:eastAsiaTheme="majorEastAsia" w:hAnsiTheme="majorHAnsi" w:cstheme="majorBidi"/>
          <w:color w:val="2F5496" w:themeColor="accent1" w:themeShade="BF"/>
          <w:sz w:val="26"/>
          <w:szCs w:val="26"/>
        </w:rPr>
      </w:pPr>
      <w:bookmarkStart w:id="146" w:name="_Toc62650276"/>
      <w:r>
        <w:rPr>
          <w:rFonts w:asciiTheme="majorHAnsi" w:eastAsiaTheme="majorEastAsia" w:hAnsiTheme="majorHAnsi" w:cstheme="majorBidi"/>
          <w:color w:val="2F5496" w:themeColor="accent1" w:themeShade="BF"/>
          <w:sz w:val="26"/>
          <w:szCs w:val="26"/>
        </w:rPr>
        <w:t xml:space="preserve">4.1 </w:t>
      </w:r>
      <w:r w:rsidR="00180FE4" w:rsidRPr="007A67B1">
        <w:rPr>
          <w:rFonts w:asciiTheme="majorHAnsi" w:eastAsiaTheme="majorEastAsia" w:hAnsiTheme="majorHAnsi" w:cstheme="majorBidi"/>
          <w:color w:val="2F5496" w:themeColor="accent1" w:themeShade="BF"/>
          <w:sz w:val="26"/>
          <w:szCs w:val="26"/>
        </w:rPr>
        <w:t>The science of the different greenhouse gases</w:t>
      </w:r>
      <w:bookmarkEnd w:id="146"/>
    </w:p>
    <w:p w14:paraId="59A731FB" w14:textId="5F845F99" w:rsidR="00180FE4" w:rsidRPr="007A67B1" w:rsidRDefault="00180FE4" w:rsidP="00180FE4">
      <w:r w:rsidRPr="007A67B1">
        <w:t>The impact a greenhouse gas has on the climate depends on its ‘strength’ on a molecule-by-molecule basis and its concentration in the atmosphere. This impact can be expressed as the ‘radiative forcing’ of that gas – a measure of how much that gas is driving the changes in the global climate.</w:t>
      </w:r>
    </w:p>
    <w:p w14:paraId="7E355F85" w14:textId="325B00D2" w:rsidR="00180FE4" w:rsidRPr="007A67B1" w:rsidRDefault="00180FE4" w:rsidP="00180FE4">
      <w:r w:rsidRPr="007A67B1">
        <w:t xml:space="preserve">Carbon dioxide is </w:t>
      </w:r>
      <w:r w:rsidR="002E2181">
        <w:t xml:space="preserve">responsible for </w:t>
      </w:r>
      <w:r w:rsidRPr="007A67B1">
        <w:t xml:space="preserve">the </w:t>
      </w:r>
      <w:r w:rsidR="002E2181">
        <w:t>majority of</w:t>
      </w:r>
      <w:r w:rsidRPr="007A67B1">
        <w:t xml:space="preserve"> human</w:t>
      </w:r>
      <w:r w:rsidR="002E2181">
        <w:t>-driven warming to date.</w:t>
      </w:r>
      <w:r w:rsidRPr="007A67B1">
        <w:t xml:space="preserve"> Although it is not a relatively powerful greenhouse gas in itself, carbon dioxide is very long-lived. This means carbon dioxide released today can still be causing warming centuries or millennia into the future. </w:t>
      </w:r>
    </w:p>
    <w:p w14:paraId="364B3189" w14:textId="4D986C52" w:rsidR="00180FE4" w:rsidRPr="007A67B1" w:rsidRDefault="00180FE4" w:rsidP="00180FE4">
      <w:pPr>
        <w:rPr>
          <w:lang w:val="en-US"/>
        </w:rPr>
      </w:pPr>
      <w:r w:rsidRPr="007A67B1">
        <w:t>Methane is the second most important greenhouse gas and is responsible for around a fifth of human-driven warming. Molecule for molecule, methane is much more powerful than carbon dioxide. However, methane is a short-lived greenhouse gas</w:t>
      </w:r>
      <w:r w:rsidR="00955550">
        <w:t>. I</w:t>
      </w:r>
      <w:r w:rsidRPr="007A67B1">
        <w:t>t has an intense warming effect for the first few decades after it is emitted</w:t>
      </w:r>
      <w:r w:rsidR="00955550">
        <w:t xml:space="preserve">, but </w:t>
      </w:r>
      <w:r w:rsidR="004477AF">
        <w:t xml:space="preserve">this effect </w:t>
      </w:r>
      <w:r w:rsidRPr="007A67B1">
        <w:t xml:space="preserve">dissipates as methane breaks down in the atmosphere. </w:t>
      </w:r>
      <w:r w:rsidR="004B7FF0">
        <w:t>Figure 4.1</w:t>
      </w:r>
      <w:r w:rsidRPr="007A67B1">
        <w:t xml:space="preserve"> shows the relative warming of a tonne of methane compared to a tonne of carbon dioxide.</w:t>
      </w:r>
      <w:r w:rsidR="002E2181">
        <w:t xml:space="preserve"> </w:t>
      </w:r>
      <w:r w:rsidR="00965AF3" w:rsidRPr="0020606D">
        <w:t xml:space="preserve">This makes it important to factor in the different nature of methane’s warming impacts when considering global and domestic pathways for reducing emissions. In our </w:t>
      </w:r>
      <w:r w:rsidR="002877AF" w:rsidRPr="0020606D">
        <w:t>path</w:t>
      </w:r>
      <w:r w:rsidR="00965AF3" w:rsidRPr="0020606D">
        <w:t xml:space="preserve"> analysis, we have done this by applying a split-gas framework that avoids the use of metrics to compare methane with other gases or trade off effort across the different gases.</w:t>
      </w:r>
    </w:p>
    <w:p w14:paraId="7DB81A00" w14:textId="683B42B1" w:rsidR="00180FE4" w:rsidRPr="007A67B1" w:rsidRDefault="00180FE4" w:rsidP="00180FE4">
      <w:r w:rsidRPr="007A67B1">
        <w:t>Nitrous oxide is a powerful greenhouse gas and is relatively long</w:t>
      </w:r>
      <w:r w:rsidR="0E7E4815">
        <w:t>-</w:t>
      </w:r>
      <w:r w:rsidRPr="007A67B1">
        <w:t xml:space="preserve">lived in the atmosphere. However, emissions of nitrous oxide are much lower than carbon dioxide or methane. As a result, it contributes less to </w:t>
      </w:r>
      <w:r w:rsidR="004477AF">
        <w:t>human-driven</w:t>
      </w:r>
      <w:r w:rsidRPr="007A67B1">
        <w:t xml:space="preserve"> warming – around 5% globally.</w:t>
      </w:r>
    </w:p>
    <w:p w14:paraId="7EB320E8" w14:textId="7E0CA417" w:rsidR="002E2181" w:rsidRPr="007A67B1" w:rsidRDefault="002E2181" w:rsidP="00180FE4">
      <w:r>
        <w:lastRenderedPageBreak/>
        <w:t xml:space="preserve">The other greenhouse gases include </w:t>
      </w:r>
      <w:r w:rsidRPr="007A67B1">
        <w:t>small levels of F-gases such as hydrofluorocarbons, perfluorocarbons and sulphur hexafluoride. Some of these F-gases have very powerful warming effects.</w:t>
      </w:r>
    </w:p>
    <w:p w14:paraId="5ECCBCC1" w14:textId="77777777" w:rsidR="00180FE4" w:rsidRPr="007A67B1" w:rsidRDefault="00180FE4" w:rsidP="00180FE4">
      <w:pPr>
        <w:rPr>
          <w:color w:val="000000"/>
        </w:rPr>
      </w:pPr>
      <w:r w:rsidRPr="007A67B1">
        <w:t xml:space="preserve">Continuing to emit </w:t>
      </w:r>
      <w:r w:rsidRPr="007A67B1">
        <w:rPr>
          <w:color w:val="000000"/>
        </w:rPr>
        <w:t>long-lived gases, like carbon dioxide and nitrous oxide, results in these gases accumulating in the atmosphere. They are effectively being added faster than they are being removed. Therefore, a constant rate of carbon dioxide and nitrous oxide emissions year to year leads to increasing concentrations and more warming.</w:t>
      </w:r>
    </w:p>
    <w:p w14:paraId="6F722F79" w14:textId="762013C7" w:rsidR="00180FE4" w:rsidRPr="007A67B1" w:rsidRDefault="00180FE4" w:rsidP="00180FE4">
      <w:pPr>
        <w:rPr>
          <w:color w:val="000000" w:themeColor="text1"/>
        </w:rPr>
      </w:pPr>
      <w:r w:rsidRPr="007A67B1">
        <w:rPr>
          <w:color w:val="000000" w:themeColor="text1"/>
        </w:rPr>
        <w:t>As methane breaks down at a faster rate, a constant rate of emissions will stabilise within about 50 years. As methane does not accumulate</w:t>
      </w:r>
      <w:r w:rsidR="002E2181">
        <w:rPr>
          <w:color w:val="000000" w:themeColor="text1"/>
        </w:rPr>
        <w:t xml:space="preserve"> as much</w:t>
      </w:r>
      <w:r w:rsidRPr="007A67B1">
        <w:rPr>
          <w:color w:val="000000" w:themeColor="text1"/>
        </w:rPr>
        <w:t>, its emissions do not need to drop to zero to stop adding to global warming.</w:t>
      </w:r>
    </w:p>
    <w:p w14:paraId="0A941C5D" w14:textId="77777777" w:rsidR="00180FE4" w:rsidRPr="007A67B1" w:rsidRDefault="00180FE4" w:rsidP="00180FE4">
      <w:pPr>
        <w:rPr>
          <w:color w:val="000000"/>
        </w:rPr>
      </w:pPr>
      <w:r w:rsidRPr="007A67B1">
        <w:rPr>
          <w:color w:val="000000"/>
        </w:rPr>
        <w:t>Ultimately, long-term warming depends on how much:</w:t>
      </w:r>
    </w:p>
    <w:p w14:paraId="6F10C25F" w14:textId="77777777" w:rsidR="00180FE4" w:rsidRPr="007A67B1" w:rsidRDefault="00180FE4" w:rsidP="00655722">
      <w:pPr>
        <w:numPr>
          <w:ilvl w:val="0"/>
          <w:numId w:val="19"/>
        </w:numPr>
        <w:contextualSpacing/>
        <w:rPr>
          <w:color w:val="000000"/>
        </w:rPr>
      </w:pPr>
      <w:r w:rsidRPr="007A67B1">
        <w:t>Carbon dioxide, nitrous dioxide and other long-lived greenhouse gases are in the atmosphere</w:t>
      </w:r>
    </w:p>
    <w:p w14:paraId="70FDA541" w14:textId="77777777" w:rsidR="00180FE4" w:rsidRPr="007A67B1" w:rsidRDefault="00180FE4" w:rsidP="00655722">
      <w:pPr>
        <w:numPr>
          <w:ilvl w:val="0"/>
          <w:numId w:val="19"/>
        </w:numPr>
        <w:contextualSpacing/>
        <w:rPr>
          <w:color w:val="000000"/>
        </w:rPr>
      </w:pPr>
      <w:r w:rsidRPr="007A67B1">
        <w:rPr>
          <w:color w:val="000000"/>
        </w:rPr>
        <w:t>Methane is emitted each year</w:t>
      </w:r>
    </w:p>
    <w:p w14:paraId="4DB99A6F" w14:textId="47A3A7D0" w:rsidR="00180FE4" w:rsidRPr="007A67B1" w:rsidRDefault="00B76F8C" w:rsidP="00655722">
      <w:pPr>
        <w:numPr>
          <w:ilvl w:val="0"/>
          <w:numId w:val="19"/>
        </w:numPr>
        <w:contextualSpacing/>
        <w:rPr>
          <w:color w:val="000000"/>
        </w:rPr>
      </w:pPr>
      <w:r>
        <w:rPr>
          <w:color w:val="000000"/>
        </w:rPr>
        <w:t>C</w:t>
      </w:r>
      <w:r w:rsidR="00180FE4" w:rsidRPr="007A67B1">
        <w:rPr>
          <w:color w:val="000000"/>
        </w:rPr>
        <w:t xml:space="preserve">arbon dioxide is removed each year. </w:t>
      </w:r>
    </w:p>
    <w:p w14:paraId="3EDBB7EA" w14:textId="77777777" w:rsidR="002E2181" w:rsidRDefault="002E2181" w:rsidP="002E2181">
      <w:pPr>
        <w:contextualSpacing/>
        <w:rPr>
          <w:color w:val="000000"/>
        </w:rPr>
      </w:pPr>
    </w:p>
    <w:p w14:paraId="78D4C95C" w14:textId="77777777" w:rsidR="002E2181" w:rsidRPr="007A67B1" w:rsidRDefault="002E2181" w:rsidP="00A10CD6">
      <w:pPr>
        <w:keepNext/>
        <w:jc w:val="center"/>
      </w:pPr>
      <w:r w:rsidRPr="007A67B1">
        <w:rPr>
          <w:noProof/>
        </w:rPr>
        <w:drawing>
          <wp:inline distT="0" distB="0" distL="0" distR="0" wp14:anchorId="5DA810CD" wp14:editId="3E8154A0">
            <wp:extent cx="5173034" cy="2419350"/>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b="51890"/>
                    <a:stretch/>
                  </pic:blipFill>
                  <pic:spPr bwMode="auto">
                    <a:xfrm>
                      <a:off x="0" y="0"/>
                      <a:ext cx="5187008" cy="2425885"/>
                    </a:xfrm>
                    <a:prstGeom prst="rect">
                      <a:avLst/>
                    </a:prstGeom>
                    <a:noFill/>
                    <a:ln>
                      <a:noFill/>
                    </a:ln>
                    <a:extLst>
                      <a:ext uri="{53640926-AAD7-44D8-BBD7-CCE9431645EC}">
                        <a14:shadowObscured xmlns:a14="http://schemas.microsoft.com/office/drawing/2010/main"/>
                      </a:ext>
                    </a:extLst>
                  </pic:spPr>
                </pic:pic>
              </a:graphicData>
            </a:graphic>
          </wp:inline>
        </w:drawing>
      </w:r>
    </w:p>
    <w:p w14:paraId="163DD885" w14:textId="1ECFACBC" w:rsidR="002E2181" w:rsidRDefault="00180FE4" w:rsidP="00630C1A">
      <w:pPr>
        <w:pStyle w:val="Caption"/>
      </w:pPr>
      <w:bookmarkStart w:id="147" w:name="_Ref58422911"/>
      <w:r w:rsidRPr="00A10CD6">
        <w:t>Figure</w:t>
      </w:r>
      <w:r>
        <w:t xml:space="preserve"> </w:t>
      </w:r>
      <w:r w:rsidR="004B7FF0">
        <w:t>4.1</w:t>
      </w:r>
      <w:r w:rsidR="002E2181" w:rsidRPr="00A10CD6">
        <w:t>:</w:t>
      </w:r>
      <w:bookmarkEnd w:id="147"/>
      <w:r w:rsidR="002E2181" w:rsidRPr="00A10CD6">
        <w:t xml:space="preserve"> The warming effect of a tonne of methane and a tonne of carbon dioxide.</w:t>
      </w:r>
    </w:p>
    <w:p w14:paraId="5E5285C6" w14:textId="2600C87A" w:rsidR="00AA1AA3" w:rsidRPr="00295A62" w:rsidRDefault="00AA1AA3" w:rsidP="00AA1AA3">
      <w:pPr>
        <w:spacing w:before="0"/>
        <w:jc w:val="right"/>
      </w:pPr>
      <w:r w:rsidRPr="00295A62">
        <w:t xml:space="preserve">Source: </w:t>
      </w:r>
      <w:r>
        <w:t>Interim Climate Change Committee.</w:t>
      </w:r>
    </w:p>
    <w:p w14:paraId="0C1634E3" w14:textId="4D2F91C4" w:rsidR="002E2181" w:rsidRDefault="002E2181" w:rsidP="002E2181">
      <w:pPr>
        <w:contextualSpacing/>
        <w:rPr>
          <w:color w:val="000000"/>
        </w:rPr>
      </w:pPr>
    </w:p>
    <w:p w14:paraId="47EB873C" w14:textId="2914D60D" w:rsidR="002E2181" w:rsidRPr="007A67B1" w:rsidRDefault="004B7FF0" w:rsidP="002E2181">
      <w:r>
        <w:t>Fi</w:t>
      </w:r>
      <w:r w:rsidR="00D7492C">
        <w:t>g</w:t>
      </w:r>
      <w:r>
        <w:t>ure 4.2</w:t>
      </w:r>
      <w:r w:rsidR="002E2181" w:rsidRPr="007A67B1">
        <w:t xml:space="preserve"> shows the contribution to warming of </w:t>
      </w:r>
      <w:r w:rsidR="00527D05">
        <w:t>the country’s</w:t>
      </w:r>
      <w:r w:rsidR="002E2181" w:rsidRPr="007A67B1">
        <w:t xml:space="preserve"> yearly emissions of carbon dioxide, methane and nitrous oxide. Methane emissions cause the most warming over the first few decades. However, as methane breaks down more quickly, the longer lasting warming from carbon dioxide dominates beyond that. </w:t>
      </w:r>
    </w:p>
    <w:p w14:paraId="13D7F411" w14:textId="77777777" w:rsidR="002E2181" w:rsidRPr="007A67B1" w:rsidRDefault="002E2181" w:rsidP="002E2181">
      <w:pPr>
        <w:contextualSpacing/>
        <w:rPr>
          <w:color w:val="000000"/>
        </w:rPr>
      </w:pPr>
    </w:p>
    <w:p w14:paraId="3AD5206C" w14:textId="04E1EC28" w:rsidR="00180FE4" w:rsidRPr="007A67B1" w:rsidRDefault="00180FE4" w:rsidP="00A10CD6">
      <w:pPr>
        <w:keepNext/>
        <w:jc w:val="center"/>
      </w:pPr>
      <w:r w:rsidRPr="007A67B1">
        <w:rPr>
          <w:noProof/>
        </w:rPr>
        <w:lastRenderedPageBreak/>
        <w:drawing>
          <wp:inline distT="0" distB="0" distL="0" distR="0" wp14:anchorId="3BE1BB30" wp14:editId="5DD6FD46">
            <wp:extent cx="4863658" cy="2396207"/>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t="49319"/>
                    <a:stretch/>
                  </pic:blipFill>
                  <pic:spPr bwMode="auto">
                    <a:xfrm>
                      <a:off x="0" y="0"/>
                      <a:ext cx="4879046" cy="2403788"/>
                    </a:xfrm>
                    <a:prstGeom prst="rect">
                      <a:avLst/>
                    </a:prstGeom>
                    <a:noFill/>
                    <a:ln>
                      <a:noFill/>
                    </a:ln>
                    <a:extLst>
                      <a:ext uri="{53640926-AAD7-44D8-BBD7-CCE9431645EC}">
                        <a14:shadowObscured xmlns:a14="http://schemas.microsoft.com/office/drawing/2010/main"/>
                      </a:ext>
                    </a:extLst>
                  </pic:spPr>
                </pic:pic>
              </a:graphicData>
            </a:graphic>
          </wp:inline>
        </w:drawing>
      </w:r>
    </w:p>
    <w:p w14:paraId="1D499A2A" w14:textId="56BECC90" w:rsidR="00180FE4" w:rsidRDefault="00180FE4" w:rsidP="00630C1A">
      <w:pPr>
        <w:pStyle w:val="Caption"/>
      </w:pPr>
      <w:bookmarkStart w:id="148" w:name="_Ref58422618"/>
      <w:r w:rsidRPr="00A10CD6">
        <w:t xml:space="preserve">Figure </w:t>
      </w:r>
      <w:r w:rsidR="004B7FF0">
        <w:t>4.2</w:t>
      </w:r>
      <w:r w:rsidRPr="00A10CD6">
        <w:t>:</w:t>
      </w:r>
      <w:bookmarkEnd w:id="148"/>
      <w:r w:rsidRPr="00A10CD6">
        <w:t xml:space="preserve"> The effect of </w:t>
      </w:r>
      <w:r w:rsidR="00527D05">
        <w:t>the country’s</w:t>
      </w:r>
      <w:r w:rsidR="00527D05" w:rsidRPr="00A10CD6">
        <w:t xml:space="preserve"> </w:t>
      </w:r>
      <w:r w:rsidRPr="00A10CD6">
        <w:t>yearly emissions of carbon dioxide, methane and nitrous oxide on warming. Note: This figure is based on 2016 emissions</w:t>
      </w:r>
      <w:r w:rsidR="00527D05">
        <w:t xml:space="preserve"> in Aotearoa</w:t>
      </w:r>
      <w:r w:rsidRPr="00A10CD6">
        <w:t>.</w:t>
      </w:r>
    </w:p>
    <w:p w14:paraId="2460677D" w14:textId="77777777" w:rsidR="00AA1AA3" w:rsidRPr="00295A62" w:rsidRDefault="00AA1AA3" w:rsidP="00AA1AA3">
      <w:pPr>
        <w:spacing w:before="0"/>
        <w:jc w:val="right"/>
      </w:pPr>
      <w:r w:rsidRPr="00295A62">
        <w:t xml:space="preserve">Source: </w:t>
      </w:r>
      <w:r>
        <w:t>Interim Climate Change Committee.</w:t>
      </w:r>
    </w:p>
    <w:p w14:paraId="01EE038E" w14:textId="3C7B5AF8" w:rsidR="00180FE4" w:rsidRPr="007A67B1" w:rsidRDefault="004338BE" w:rsidP="00180FE4">
      <w:pPr>
        <w:keepNext/>
        <w:keepLines/>
        <w:spacing w:after="0"/>
        <w:outlineLvl w:val="1"/>
        <w:rPr>
          <w:rFonts w:asciiTheme="majorHAnsi" w:eastAsiaTheme="majorEastAsia" w:hAnsiTheme="majorHAnsi" w:cstheme="majorBidi"/>
          <w:color w:val="2F5496" w:themeColor="accent1" w:themeShade="BF"/>
          <w:sz w:val="26"/>
          <w:szCs w:val="26"/>
        </w:rPr>
      </w:pPr>
      <w:bookmarkStart w:id="149" w:name="_Toc62650277"/>
      <w:r>
        <w:rPr>
          <w:rFonts w:asciiTheme="majorHAnsi" w:eastAsiaTheme="majorEastAsia" w:hAnsiTheme="majorHAnsi" w:cstheme="majorBidi"/>
          <w:color w:val="2F5496" w:themeColor="accent1" w:themeShade="BF"/>
          <w:sz w:val="26"/>
          <w:szCs w:val="26"/>
        </w:rPr>
        <w:t xml:space="preserve">4.2 </w:t>
      </w:r>
      <w:r w:rsidR="001D7392">
        <w:rPr>
          <w:rFonts w:asciiTheme="majorHAnsi" w:eastAsiaTheme="majorEastAsia" w:hAnsiTheme="majorHAnsi" w:cstheme="majorBidi"/>
          <w:color w:val="2F5496" w:themeColor="accent1" w:themeShade="BF"/>
          <w:sz w:val="26"/>
          <w:szCs w:val="26"/>
        </w:rPr>
        <w:t>T</w:t>
      </w:r>
      <w:r w:rsidR="00180FE4" w:rsidRPr="007A67B1">
        <w:rPr>
          <w:rFonts w:asciiTheme="majorHAnsi" w:eastAsiaTheme="majorEastAsia" w:hAnsiTheme="majorHAnsi" w:cstheme="majorBidi"/>
          <w:color w:val="2F5496" w:themeColor="accent1" w:themeShade="BF"/>
          <w:sz w:val="26"/>
          <w:szCs w:val="26"/>
        </w:rPr>
        <w:t>he global 1.5</w:t>
      </w:r>
      <w:r w:rsidR="00180FE4" w:rsidRPr="007A67B1">
        <w:rPr>
          <w:rFonts w:asciiTheme="majorHAnsi" w:eastAsiaTheme="majorEastAsia" w:hAnsiTheme="majorHAnsi" w:cstheme="minorHAnsi"/>
          <w:color w:val="2F5496" w:themeColor="accent1" w:themeShade="BF"/>
          <w:sz w:val="26"/>
          <w:szCs w:val="26"/>
        </w:rPr>
        <w:t>°C</w:t>
      </w:r>
      <w:r w:rsidR="00180FE4" w:rsidRPr="007A67B1">
        <w:rPr>
          <w:rFonts w:asciiTheme="majorHAnsi" w:eastAsiaTheme="majorEastAsia" w:hAnsiTheme="majorHAnsi" w:cstheme="majorBidi"/>
          <w:color w:val="2F5496" w:themeColor="accent1" w:themeShade="BF"/>
          <w:sz w:val="26"/>
          <w:szCs w:val="26"/>
        </w:rPr>
        <w:t xml:space="preserve"> goal</w:t>
      </w:r>
      <w:bookmarkEnd w:id="149"/>
    </w:p>
    <w:p w14:paraId="230B089F" w14:textId="3FEB2017" w:rsidR="00180FE4" w:rsidRPr="007A67B1" w:rsidRDefault="00180FE4" w:rsidP="00180FE4">
      <w:r w:rsidRPr="007A67B1">
        <w:t xml:space="preserve">The central objective of the Paris Agreement is for countries </w:t>
      </w:r>
      <w:r w:rsidR="00756B8D">
        <w:t xml:space="preserve">to contribute </w:t>
      </w:r>
      <w:r w:rsidRPr="007A67B1">
        <w:t xml:space="preserve">to </w:t>
      </w:r>
      <w:r w:rsidR="00FF7054">
        <w:t>“</w:t>
      </w:r>
      <w:r w:rsidRPr="007A67B1">
        <w:t>hold</w:t>
      </w:r>
      <w:r w:rsidR="00FF7054">
        <w:t xml:space="preserve">ing </w:t>
      </w:r>
      <w:r w:rsidRPr="007A67B1">
        <w:t>the increase in the global average temperature to well below 2</w:t>
      </w:r>
      <w:r w:rsidRPr="54C0645F">
        <w:t>°</w:t>
      </w:r>
      <w:r w:rsidRPr="007A67B1">
        <w:t xml:space="preserve">C above pre-industrial levels </w:t>
      </w:r>
      <w:r w:rsidR="00B464FC">
        <w:t>and pursuing efforts to limit the temperature increase to 1.5</w:t>
      </w:r>
      <w:r w:rsidR="00B464FC">
        <w:rPr>
          <w:rFonts w:cstheme="minorHAnsi"/>
        </w:rPr>
        <w:t>°</w:t>
      </w:r>
      <w:r w:rsidR="00B464FC">
        <w:t>C above pre-industrial levels</w:t>
      </w:r>
      <w:r w:rsidR="00B464FC" w:rsidRPr="003611E3">
        <w:t>.”</w:t>
      </w:r>
    </w:p>
    <w:p w14:paraId="6347ED1A" w14:textId="4F00969E" w:rsidR="000009F6" w:rsidRPr="003611E3" w:rsidRDefault="000009F6" w:rsidP="000009F6">
      <w:pPr>
        <w:rPr>
          <w:rStyle w:val="eop"/>
          <w:rFonts w:ascii="Calibri" w:hAnsi="Calibri" w:cs="Calibri"/>
        </w:rPr>
      </w:pPr>
      <w:r w:rsidRPr="003611E3">
        <w:rPr>
          <w:rStyle w:val="normaltextrun"/>
          <w:rFonts w:ascii="Calibri" w:hAnsi="Calibri" w:cs="Calibri"/>
        </w:rPr>
        <w:t>So far, nearly all countries in the world have signed up to the Paris Agreement and put up targets to reduce their emissions. However, assessments of the current global effort show that the world is not on track to meet the Paris Agreement’s temperature goals. The 2020 U</w:t>
      </w:r>
      <w:r w:rsidRPr="003611E3">
        <w:rPr>
          <w:rStyle w:val="normaltextrun"/>
          <w:rFonts w:ascii="Calibri" w:eastAsiaTheme="majorEastAsia" w:hAnsi="Calibri" w:cs="Calibri"/>
        </w:rPr>
        <w:t xml:space="preserve">nited </w:t>
      </w:r>
      <w:r w:rsidRPr="003611E3">
        <w:rPr>
          <w:rStyle w:val="normaltextrun"/>
          <w:rFonts w:ascii="Calibri" w:hAnsi="Calibri" w:cs="Calibri"/>
        </w:rPr>
        <w:t>N</w:t>
      </w:r>
      <w:r w:rsidRPr="003611E3">
        <w:rPr>
          <w:rStyle w:val="normaltextrun"/>
          <w:rFonts w:ascii="Calibri" w:eastAsiaTheme="majorEastAsia" w:hAnsi="Calibri" w:cs="Calibri"/>
        </w:rPr>
        <w:t xml:space="preserve">ations </w:t>
      </w:r>
      <w:r w:rsidRPr="003611E3">
        <w:rPr>
          <w:rStyle w:val="normaltextrun"/>
          <w:rFonts w:ascii="Calibri" w:hAnsi="Calibri" w:cs="Calibri"/>
        </w:rPr>
        <w:t>E</w:t>
      </w:r>
      <w:r w:rsidRPr="003611E3">
        <w:rPr>
          <w:rStyle w:val="normaltextrun"/>
          <w:rFonts w:ascii="Calibri" w:eastAsiaTheme="majorEastAsia" w:hAnsi="Calibri" w:cs="Calibri"/>
        </w:rPr>
        <w:t xml:space="preserve">nvironment </w:t>
      </w:r>
      <w:r w:rsidRPr="003611E3">
        <w:rPr>
          <w:rStyle w:val="normaltextrun"/>
          <w:rFonts w:ascii="Calibri" w:hAnsi="Calibri" w:cs="Calibri"/>
        </w:rPr>
        <w:t>P</w:t>
      </w:r>
      <w:r w:rsidRPr="003611E3">
        <w:rPr>
          <w:rStyle w:val="normaltextrun"/>
          <w:rFonts w:ascii="Calibri" w:eastAsiaTheme="majorEastAsia" w:hAnsi="Calibri" w:cs="Calibri"/>
        </w:rPr>
        <w:t>rogramme</w:t>
      </w:r>
      <w:r w:rsidRPr="003611E3">
        <w:rPr>
          <w:rStyle w:val="normaltextrun"/>
          <w:rFonts w:ascii="Calibri" w:hAnsi="Calibri" w:cs="Calibri"/>
        </w:rPr>
        <w:t> Emissions Gap report warns that warming will increase to around 3°C this century based on current pledges.</w:t>
      </w:r>
    </w:p>
    <w:p w14:paraId="496E435B" w14:textId="77C9D463" w:rsidR="000009F6" w:rsidRPr="003611E3" w:rsidRDefault="000009F6" w:rsidP="000009F6">
      <w:r w:rsidRPr="003611E3">
        <w:rPr>
          <w:rStyle w:val="normaltextrun"/>
          <w:rFonts w:ascii="Calibri" w:hAnsi="Calibri" w:cs="Calibri"/>
        </w:rPr>
        <w:t>Reducing emissions takes a global effort – every country needs to do their part and contribute to ambitions under the Paris Agreement. More and more countries are strengthening their international climate change commitments, particularly in the lead up to the next international climate change conference in 2021. In the last 18 months, many of the world’s largest emitters have already stated they would move to more ambitious emissions targets:</w:t>
      </w:r>
      <w:r w:rsidRPr="003611E3">
        <w:rPr>
          <w:rStyle w:val="eop"/>
          <w:rFonts w:ascii="Calibri" w:hAnsi="Calibri" w:cs="Calibri"/>
        </w:rPr>
        <w:t> </w:t>
      </w:r>
    </w:p>
    <w:p w14:paraId="261ADB64" w14:textId="68051BF8" w:rsidR="000009F6" w:rsidRPr="003611E3" w:rsidRDefault="000009F6" w:rsidP="00655722">
      <w:pPr>
        <w:pStyle w:val="ListParagraph"/>
        <w:numPr>
          <w:ilvl w:val="0"/>
          <w:numId w:val="44"/>
        </w:numPr>
      </w:pPr>
      <w:r w:rsidRPr="003611E3">
        <w:rPr>
          <w:rStyle w:val="normaltextrun"/>
          <w:rFonts w:ascii="Calibri" w:hAnsi="Calibri" w:cs="Calibri"/>
        </w:rPr>
        <w:t xml:space="preserve">In September 2020, China announced it </w:t>
      </w:r>
      <w:r w:rsidR="00DE21F0" w:rsidRPr="003611E3">
        <w:rPr>
          <w:rStyle w:val="normaltextrun"/>
          <w:rFonts w:ascii="Calibri" w:hAnsi="Calibri" w:cs="Calibri"/>
        </w:rPr>
        <w:t xml:space="preserve">would </w:t>
      </w:r>
      <w:r w:rsidRPr="003611E3">
        <w:rPr>
          <w:rStyle w:val="normaltextrun"/>
          <w:rFonts w:ascii="Calibri" w:hAnsi="Calibri" w:cs="Calibri"/>
        </w:rPr>
        <w:t>reach net zero emissions before 2060</w:t>
      </w:r>
      <w:r w:rsidRPr="003611E3">
        <w:rPr>
          <w:rStyle w:val="eop"/>
          <w:rFonts w:ascii="Calibri" w:hAnsi="Calibri" w:cs="Calibri"/>
        </w:rPr>
        <w:t> </w:t>
      </w:r>
    </w:p>
    <w:p w14:paraId="6F5F634B" w14:textId="572B3EB3" w:rsidR="000009F6" w:rsidRPr="003611E3" w:rsidRDefault="000009F6" w:rsidP="00655722">
      <w:pPr>
        <w:pStyle w:val="ListParagraph"/>
        <w:numPr>
          <w:ilvl w:val="0"/>
          <w:numId w:val="44"/>
        </w:numPr>
      </w:pPr>
      <w:r w:rsidRPr="003611E3">
        <w:rPr>
          <w:rStyle w:val="normaltextrun"/>
          <w:rFonts w:ascii="Calibri" w:hAnsi="Calibri" w:cs="Calibri"/>
        </w:rPr>
        <w:t>In October 2020, Japan and South Korea announced they were setting net</w:t>
      </w:r>
      <w:r w:rsidR="00AC41F2">
        <w:rPr>
          <w:rStyle w:val="normaltextrun"/>
          <w:rFonts w:ascii="Calibri" w:hAnsi="Calibri" w:cs="Calibri"/>
        </w:rPr>
        <w:t xml:space="preserve"> </w:t>
      </w:r>
      <w:r w:rsidRPr="003611E3">
        <w:rPr>
          <w:rStyle w:val="normaltextrun"/>
          <w:rFonts w:ascii="Calibri" w:hAnsi="Calibri" w:cs="Calibri"/>
        </w:rPr>
        <w:t xml:space="preserve">zero </w:t>
      </w:r>
      <w:r w:rsidR="00DE21F0" w:rsidRPr="003611E3">
        <w:rPr>
          <w:rStyle w:val="normaltextrun"/>
          <w:rFonts w:ascii="Calibri" w:hAnsi="Calibri" w:cs="Calibri"/>
        </w:rPr>
        <w:t xml:space="preserve">domestic </w:t>
      </w:r>
      <w:r w:rsidRPr="003611E3">
        <w:rPr>
          <w:rStyle w:val="normaltextrun"/>
          <w:rFonts w:ascii="Calibri" w:hAnsi="Calibri" w:cs="Calibri"/>
        </w:rPr>
        <w:t>targets for 2050</w:t>
      </w:r>
      <w:r w:rsidRPr="003611E3">
        <w:rPr>
          <w:rStyle w:val="eop"/>
          <w:rFonts w:ascii="Calibri" w:hAnsi="Calibri" w:cs="Calibri"/>
        </w:rPr>
        <w:t> </w:t>
      </w:r>
    </w:p>
    <w:p w14:paraId="38D4D001" w14:textId="77777777" w:rsidR="00C053DB" w:rsidRPr="00EE238D" w:rsidRDefault="000009F6" w:rsidP="00C053DB">
      <w:pPr>
        <w:pStyle w:val="ListParagraph"/>
        <w:numPr>
          <w:ilvl w:val="0"/>
          <w:numId w:val="44"/>
        </w:numPr>
        <w:rPr>
          <w:rStyle w:val="eop"/>
        </w:rPr>
      </w:pPr>
      <w:r w:rsidRPr="003611E3">
        <w:rPr>
          <w:rStyle w:val="normaltextrun"/>
          <w:rFonts w:ascii="Calibri" w:hAnsi="Calibri" w:cs="Calibri"/>
        </w:rPr>
        <w:t>In December 2020, the U</w:t>
      </w:r>
      <w:r w:rsidR="00DE21F0" w:rsidRPr="003611E3">
        <w:rPr>
          <w:rStyle w:val="normaltextrun"/>
          <w:rFonts w:ascii="Calibri" w:hAnsi="Calibri" w:cs="Calibri"/>
        </w:rPr>
        <w:t xml:space="preserve">nited </w:t>
      </w:r>
      <w:r w:rsidRPr="003611E3">
        <w:rPr>
          <w:rStyle w:val="normaltextrun"/>
          <w:rFonts w:ascii="Calibri" w:hAnsi="Calibri" w:cs="Calibri"/>
        </w:rPr>
        <w:t>K</w:t>
      </w:r>
      <w:r w:rsidR="00DE21F0" w:rsidRPr="003611E3">
        <w:rPr>
          <w:rStyle w:val="normaltextrun"/>
          <w:rFonts w:ascii="Calibri" w:hAnsi="Calibri" w:cs="Calibri"/>
        </w:rPr>
        <w:t>ingdom</w:t>
      </w:r>
      <w:r w:rsidRPr="003611E3">
        <w:rPr>
          <w:rStyle w:val="normaltextrun"/>
          <w:rFonts w:ascii="Calibri" w:hAnsi="Calibri" w:cs="Calibri"/>
        </w:rPr>
        <w:t xml:space="preserve"> announced it </w:t>
      </w:r>
      <w:r w:rsidR="00DE21F0" w:rsidRPr="003611E3">
        <w:rPr>
          <w:rStyle w:val="normaltextrun"/>
          <w:rFonts w:ascii="Calibri" w:hAnsi="Calibri" w:cs="Calibri"/>
        </w:rPr>
        <w:t xml:space="preserve">would </w:t>
      </w:r>
      <w:r w:rsidRPr="003611E3">
        <w:rPr>
          <w:rStyle w:val="normaltextrun"/>
          <w:rFonts w:ascii="Calibri" w:hAnsi="Calibri" w:cs="Calibri"/>
        </w:rPr>
        <w:t>reduce emissions by at least 68% by 2030, compared to 1990 levels. This is an increase from its previous commitment under the EU of 55% by 2030 compared to 1990 levels.</w:t>
      </w:r>
      <w:r w:rsidRPr="003611E3">
        <w:rPr>
          <w:rStyle w:val="eop"/>
          <w:rFonts w:ascii="Calibri" w:hAnsi="Calibri" w:cs="Calibri"/>
        </w:rPr>
        <w:t> </w:t>
      </w:r>
    </w:p>
    <w:p w14:paraId="7C915DE4" w14:textId="43193360" w:rsidR="00F77208" w:rsidRPr="00BB295C" w:rsidRDefault="00F77208" w:rsidP="00DE4E63">
      <w:pPr>
        <w:pStyle w:val="ListParagraph"/>
        <w:numPr>
          <w:ilvl w:val="0"/>
          <w:numId w:val="44"/>
        </w:numPr>
        <w:rPr>
          <w:rStyle w:val="normaltextrun"/>
          <w:rFonts w:ascii="Calibri" w:hAnsi="Calibri" w:cs="Calibri"/>
        </w:rPr>
      </w:pPr>
      <w:r w:rsidRPr="00BB295C">
        <w:rPr>
          <w:rStyle w:val="normaltextrun"/>
          <w:rFonts w:ascii="Calibri" w:hAnsi="Calibri" w:cs="Calibri"/>
        </w:rPr>
        <w:t xml:space="preserve">In January 2021 the United States of America </w:t>
      </w:r>
      <w:proofErr w:type="spellStart"/>
      <w:r w:rsidRPr="00BB295C">
        <w:rPr>
          <w:rStyle w:val="normaltextrun"/>
          <w:rFonts w:ascii="Calibri" w:hAnsi="Calibri" w:cs="Calibri"/>
        </w:rPr>
        <w:t>rejoined</w:t>
      </w:r>
      <w:proofErr w:type="spellEnd"/>
      <w:r w:rsidRPr="00BB295C">
        <w:rPr>
          <w:rStyle w:val="normaltextrun"/>
          <w:rFonts w:ascii="Calibri" w:hAnsi="Calibri" w:cs="Calibri"/>
        </w:rPr>
        <w:t xml:space="preserve"> the Paris Agreement and </w:t>
      </w:r>
      <w:r w:rsidR="00DE4E63" w:rsidRPr="00BB295C">
        <w:rPr>
          <w:rStyle w:val="normaltextrun"/>
          <w:rFonts w:ascii="Calibri" w:hAnsi="Calibri" w:cs="Calibri"/>
        </w:rPr>
        <w:t>is expected to</w:t>
      </w:r>
      <w:r w:rsidRPr="00BB295C">
        <w:rPr>
          <w:rStyle w:val="normaltextrun"/>
          <w:rFonts w:ascii="Calibri" w:hAnsi="Calibri" w:cs="Calibri"/>
        </w:rPr>
        <w:t xml:space="preserve"> make a new emissions reduction commitment</w:t>
      </w:r>
      <w:r w:rsidR="00DE4E63" w:rsidRPr="00BB295C">
        <w:rPr>
          <w:rStyle w:val="normaltextrun"/>
          <w:rFonts w:ascii="Calibri" w:hAnsi="Calibri" w:cs="Calibri"/>
        </w:rPr>
        <w:t xml:space="preserve"> shortly</w:t>
      </w:r>
      <w:r w:rsidRPr="00BB295C">
        <w:rPr>
          <w:rStyle w:val="normaltextrun"/>
          <w:rFonts w:ascii="Calibri" w:hAnsi="Calibri" w:cs="Calibri"/>
        </w:rPr>
        <w:t>.</w:t>
      </w:r>
    </w:p>
    <w:p w14:paraId="795691C7" w14:textId="77777777" w:rsidR="00180FE4" w:rsidRPr="007A67B1" w:rsidRDefault="00180FE4" w:rsidP="00180FE4">
      <w:r w:rsidRPr="007A67B1">
        <w:t>In Aotearoa, Parliament has set out its intention to contribute to limiting warming to 1.5</w:t>
      </w:r>
      <w:r w:rsidRPr="007A67B1">
        <w:rPr>
          <w:rFonts w:cstheme="minorHAnsi"/>
        </w:rPr>
        <w:t>°</w:t>
      </w:r>
      <w:r w:rsidRPr="007A67B1">
        <w:t>C in the purpose of the Climate Change Response Act.</w:t>
      </w:r>
    </w:p>
    <w:p w14:paraId="09238438" w14:textId="39D1E98A" w:rsidR="00180FE4" w:rsidRPr="007A67B1" w:rsidRDefault="001F3E74" w:rsidP="00180FE4">
      <w:pPr>
        <w:rPr>
          <w:color w:val="000000"/>
        </w:rPr>
      </w:pPr>
      <w:r>
        <w:lastRenderedPageBreak/>
        <w:t>In the previous chapter, we have outlined</w:t>
      </w:r>
      <w:r w:rsidR="00131C4B">
        <w:t xml:space="preserve"> the emission reductions that are technically and economically </w:t>
      </w:r>
      <w:r w:rsidR="005E59D7">
        <w:t>achievable</w:t>
      </w:r>
      <w:r w:rsidR="00747BC7">
        <w:t xml:space="preserve"> for Aotearoa</w:t>
      </w:r>
      <w:r w:rsidR="00E1081D">
        <w:t xml:space="preserve">. </w:t>
      </w:r>
      <w:r w:rsidR="00296D90">
        <w:rPr>
          <w:color w:val="000000" w:themeColor="text1"/>
        </w:rPr>
        <w:t>Two additional</w:t>
      </w:r>
      <w:r w:rsidR="00180FE4" w:rsidRPr="007A67B1">
        <w:rPr>
          <w:color w:val="000000" w:themeColor="text1"/>
        </w:rPr>
        <w:t xml:space="preserve"> factors must be considered to determine how Aotearoa should contribute to the global 1.5</w:t>
      </w:r>
      <w:r w:rsidR="00180FE4" w:rsidRPr="007A67B1">
        <w:rPr>
          <w:rFonts w:cstheme="minorHAnsi"/>
          <w:color w:val="000000" w:themeColor="text1"/>
        </w:rPr>
        <w:t>°</w:t>
      </w:r>
      <w:r w:rsidR="00180FE4" w:rsidRPr="007A67B1">
        <w:rPr>
          <w:color w:val="000000" w:themeColor="text1"/>
        </w:rPr>
        <w:t>C goal:</w:t>
      </w:r>
    </w:p>
    <w:p w14:paraId="329414D0" w14:textId="77777777" w:rsidR="00180FE4" w:rsidRPr="007A67B1" w:rsidRDefault="00180FE4" w:rsidP="00655722">
      <w:pPr>
        <w:numPr>
          <w:ilvl w:val="0"/>
          <w:numId w:val="9"/>
        </w:numPr>
        <w:contextualSpacing/>
      </w:pPr>
      <w:r w:rsidRPr="007A67B1">
        <w:t>Global pathways that are compatible with limiting warming to 1.5</w:t>
      </w:r>
      <w:r w:rsidRPr="007A67B1">
        <w:rPr>
          <w:rFonts w:cstheme="minorHAnsi"/>
        </w:rPr>
        <w:t>°C</w:t>
      </w:r>
    </w:p>
    <w:p w14:paraId="75EF3970" w14:textId="77777777" w:rsidR="00180FE4" w:rsidRPr="007A67B1" w:rsidRDefault="00180FE4" w:rsidP="00655722">
      <w:pPr>
        <w:numPr>
          <w:ilvl w:val="0"/>
          <w:numId w:val="9"/>
        </w:numPr>
        <w:contextualSpacing/>
      </w:pPr>
      <w:r>
        <w:t>The principle of c</w:t>
      </w:r>
      <w:r w:rsidRPr="007A67B1">
        <w:t xml:space="preserve">ommon but differentiated responsibilities and respective capabilities </w:t>
      </w:r>
    </w:p>
    <w:p w14:paraId="1E291F1C" w14:textId="1C6450A4" w:rsidR="00180FE4" w:rsidRPr="007A67B1" w:rsidRDefault="00180FE4" w:rsidP="00180FE4">
      <w:r w:rsidRPr="007A67B1">
        <w:t xml:space="preserve">Understanding these elements requires a mixture of quantitative and qualitative analysis. However, in the end, the Government will need to consider what is equitable and make a judgement as to what contribution </w:t>
      </w:r>
      <w:r w:rsidR="003D6E4E">
        <w:t xml:space="preserve">Aotearoa </w:t>
      </w:r>
      <w:r w:rsidRPr="007A67B1">
        <w:t xml:space="preserve">should </w:t>
      </w:r>
      <w:r w:rsidR="003D6E4E">
        <w:t>make</w:t>
      </w:r>
      <w:r w:rsidR="003D6E4E" w:rsidRPr="007A67B1">
        <w:t xml:space="preserve"> </w:t>
      </w:r>
      <w:r w:rsidRPr="007A67B1">
        <w:t xml:space="preserve">globally. </w:t>
      </w:r>
    </w:p>
    <w:p w14:paraId="1E57C425" w14:textId="4F7665D0" w:rsidR="007C3C23" w:rsidRDefault="00180FE4" w:rsidP="007C3C23">
      <w:r w:rsidRPr="007A67B1">
        <w:t xml:space="preserve">The Commission takes a systems view of Aotearoa and </w:t>
      </w:r>
      <w:r w:rsidR="003D6E4E">
        <w:t>its</w:t>
      </w:r>
      <w:r w:rsidR="003D6E4E" w:rsidRPr="007A67B1">
        <w:t xml:space="preserve"> </w:t>
      </w:r>
      <w:r w:rsidRPr="007A67B1">
        <w:t xml:space="preserve">place internationally. </w:t>
      </w:r>
      <w:r w:rsidR="007C3C23">
        <w:t xml:space="preserve">The world needs not only a functioning atmosphere, but to eradicate poverty and safeguard food security. This must be considered in both the context of reducing emissions and adapting to more severe and costly impacts of climate change if the world does not act to reduce emissions. </w:t>
      </w:r>
    </w:p>
    <w:p w14:paraId="220DC4F4" w14:textId="2C9339FC" w:rsidR="00180FE4" w:rsidRPr="007A67B1" w:rsidRDefault="00180FE4" w:rsidP="00180FE4">
      <w:r w:rsidRPr="007A67B1">
        <w:t xml:space="preserve">Careful consideration is required when considering trade-offs, where to concentrate efforts and how the impacts and consequences are spread across countries, people, place and time. Judgement needs to be framed from a perspective within Aotearoa, which includes a </w:t>
      </w:r>
      <w:proofErr w:type="spellStart"/>
      <w:r w:rsidRPr="007A67B1">
        <w:t>Te</w:t>
      </w:r>
      <w:proofErr w:type="spellEnd"/>
      <w:r w:rsidRPr="007A67B1">
        <w:t xml:space="preserve"> </w:t>
      </w:r>
      <w:proofErr w:type="spellStart"/>
      <w:r w:rsidRPr="007A67B1">
        <w:t>Ao</w:t>
      </w:r>
      <w:proofErr w:type="spellEnd"/>
      <w:r w:rsidRPr="007A67B1">
        <w:t xml:space="preserve"> Māori view. Efforts to reduce emissions must consider </w:t>
      </w:r>
      <w:r w:rsidR="005619F4">
        <w:t>society</w:t>
      </w:r>
      <w:r w:rsidRPr="007A67B1">
        <w:t xml:space="preserve">, economy and environment, while giving consideration to </w:t>
      </w:r>
      <w:r w:rsidR="00EF0890">
        <w:t xml:space="preserve">the </w:t>
      </w:r>
      <w:r w:rsidRPr="007A67B1">
        <w:t xml:space="preserve">broader wellbeing </w:t>
      </w:r>
      <w:r w:rsidR="005619F4">
        <w:t>of</w:t>
      </w:r>
      <w:r w:rsidRPr="007A67B1">
        <w:t xml:space="preserve"> Aotearoa</w:t>
      </w:r>
      <w:r w:rsidR="005619F4">
        <w:t>.</w:t>
      </w:r>
    </w:p>
    <w:p w14:paraId="05499C63" w14:textId="4721B99B" w:rsidR="00180FE4" w:rsidRPr="007A67B1" w:rsidRDefault="00180FE4" w:rsidP="00180FE4">
      <w:r w:rsidRPr="007A67B1">
        <w:t>Our judgements in these matters are guided by an overarching approach that draws on our tikanga concepts. These lead us towards our vision, guiding what good looks like. They have a</w:t>
      </w:r>
      <w:r w:rsidR="00EF0890">
        <w:t>n</w:t>
      </w:r>
      <w:r w:rsidRPr="007A67B1">
        <w:t xml:space="preserve"> emphasis on the </w:t>
      </w:r>
      <w:proofErr w:type="spellStart"/>
      <w:r w:rsidRPr="007A67B1">
        <w:t>kotahitanga</w:t>
      </w:r>
      <w:proofErr w:type="spellEnd"/>
      <w:r w:rsidRPr="007A67B1">
        <w:t xml:space="preserve"> aspect of this mahi – the need to work collaboratively and inclusively. </w:t>
      </w:r>
    </w:p>
    <w:p w14:paraId="740129F9" w14:textId="1182D8B8" w:rsidR="00180FE4" w:rsidRPr="007A67B1" w:rsidRDefault="004338BE" w:rsidP="00180FE4">
      <w:pPr>
        <w:keepNext/>
        <w:keepLines/>
        <w:spacing w:after="0"/>
        <w:outlineLvl w:val="1"/>
        <w:rPr>
          <w:rFonts w:asciiTheme="majorHAnsi" w:eastAsiaTheme="majorEastAsia" w:hAnsiTheme="majorHAnsi" w:cstheme="majorBidi"/>
          <w:color w:val="2F5496" w:themeColor="accent1" w:themeShade="BF"/>
          <w:sz w:val="26"/>
          <w:szCs w:val="26"/>
        </w:rPr>
      </w:pPr>
      <w:bookmarkStart w:id="150" w:name="_Toc57363856"/>
      <w:bookmarkStart w:id="151" w:name="_Toc62650278"/>
      <w:r>
        <w:rPr>
          <w:rFonts w:asciiTheme="majorHAnsi" w:eastAsiaTheme="majorEastAsia" w:hAnsiTheme="majorHAnsi" w:cstheme="majorBidi"/>
          <w:color w:val="2F5496" w:themeColor="accent1" w:themeShade="BF"/>
          <w:sz w:val="26"/>
          <w:szCs w:val="26"/>
        </w:rPr>
        <w:t xml:space="preserve">4.3 </w:t>
      </w:r>
      <w:r w:rsidR="00180FE4" w:rsidRPr="007A67B1">
        <w:rPr>
          <w:rFonts w:asciiTheme="majorHAnsi" w:eastAsiaTheme="majorEastAsia" w:hAnsiTheme="majorHAnsi" w:cstheme="majorBidi"/>
          <w:color w:val="2F5496" w:themeColor="accent1" w:themeShade="BF"/>
          <w:sz w:val="26"/>
          <w:szCs w:val="26"/>
        </w:rPr>
        <w:t>Global 1.5</w:t>
      </w:r>
      <w:r w:rsidR="00180FE4" w:rsidRPr="007A67B1">
        <w:rPr>
          <w:rFonts w:asciiTheme="majorHAnsi" w:eastAsiaTheme="majorEastAsia" w:hAnsiTheme="majorHAnsi" w:cstheme="majorHAnsi"/>
          <w:color w:val="2F5496" w:themeColor="accent1" w:themeShade="BF"/>
          <w:sz w:val="26"/>
          <w:szCs w:val="26"/>
        </w:rPr>
        <w:t>°</w:t>
      </w:r>
      <w:r w:rsidR="00180FE4" w:rsidRPr="007A67B1">
        <w:rPr>
          <w:rFonts w:asciiTheme="majorHAnsi" w:eastAsiaTheme="majorEastAsia" w:hAnsiTheme="majorHAnsi" w:cstheme="majorBidi"/>
          <w:color w:val="2F5496" w:themeColor="accent1" w:themeShade="BF"/>
          <w:sz w:val="26"/>
          <w:szCs w:val="26"/>
        </w:rPr>
        <w:t>C pathways</w:t>
      </w:r>
      <w:bookmarkEnd w:id="150"/>
      <w:bookmarkEnd w:id="151"/>
    </w:p>
    <w:p w14:paraId="6BB43582" w14:textId="0C9DBF31" w:rsidR="00180FE4" w:rsidRPr="007A67B1" w:rsidRDefault="00180FE4" w:rsidP="00180FE4">
      <w:r w:rsidRPr="007A67B1">
        <w:t>The Intergovernmental Panel on Climate Change (IPCC) outlined a number of different global pathways that would limit warming to within 1.5</w:t>
      </w:r>
      <w:r w:rsidRPr="578A695B">
        <w:t>°</w:t>
      </w:r>
      <w:r w:rsidRPr="007A67B1">
        <w:t>C of pre-industrial levels. These pathways are drawn from peer-reviewed modelling studies. They are not based solely on atmospheric science, but also the feasibility and costs of reducing emissions across sectors and gases and consider a range of socio-economic scenarios.</w:t>
      </w:r>
    </w:p>
    <w:p w14:paraId="7B75A666" w14:textId="77777777" w:rsidR="00180FE4" w:rsidRPr="007A67B1" w:rsidRDefault="00180FE4" w:rsidP="00180FE4">
      <w:r w:rsidRPr="007A67B1">
        <w:t xml:space="preserve">These global pathways all have differing rates of reduction for each greenhouse gas and rely on varying levels of emission removal technologies. For all these pathways, limiting warming to </w:t>
      </w:r>
      <w:bookmarkStart w:id="152" w:name="_Hlk55032574"/>
      <w:r w:rsidRPr="007A67B1">
        <w:t>1.5</w:t>
      </w:r>
      <w:r w:rsidRPr="007A67B1">
        <w:rPr>
          <w:rFonts w:cstheme="minorHAnsi"/>
        </w:rPr>
        <w:t>°</w:t>
      </w:r>
      <w:r w:rsidRPr="007A67B1">
        <w:t xml:space="preserve">C </w:t>
      </w:r>
      <w:bookmarkEnd w:id="152"/>
      <w:r w:rsidRPr="007A67B1">
        <w:t>requires rapid emission cuts of all greenhouse gases between now and 2030. Slower reductions are then needed out to the end of the century. All these pathways have several other features in common:</w:t>
      </w:r>
    </w:p>
    <w:p w14:paraId="6B7D7FBA" w14:textId="1CAE86C7" w:rsidR="00180FE4" w:rsidRPr="007A67B1" w:rsidRDefault="005619F4" w:rsidP="00655722">
      <w:pPr>
        <w:numPr>
          <w:ilvl w:val="0"/>
          <w:numId w:val="20"/>
        </w:numPr>
        <w:spacing w:before="120" w:after="120"/>
        <w:ind w:left="714" w:hanging="357"/>
      </w:pPr>
      <w:r>
        <w:t>Net e</w:t>
      </w:r>
      <w:r w:rsidR="00180FE4" w:rsidRPr="007A67B1">
        <w:t xml:space="preserve">missions of carbon dioxide and other greenhouse gases peak in the 2020s, then rapidly reduce through the 2030s and 2040s. </w:t>
      </w:r>
    </w:p>
    <w:p w14:paraId="4899F955" w14:textId="60D09576" w:rsidR="00180FE4" w:rsidRPr="007A67B1" w:rsidRDefault="00180FE4" w:rsidP="00655722">
      <w:pPr>
        <w:numPr>
          <w:ilvl w:val="0"/>
          <w:numId w:val="20"/>
        </w:numPr>
        <w:spacing w:before="120" w:after="120"/>
        <w:ind w:left="714" w:hanging="357"/>
      </w:pPr>
      <w:r w:rsidRPr="007A67B1">
        <w:t>Emissions of methane reduce significantly through the next 20 years, but do not need to reach zero by 2050 or 2100, due to the short-lived nature of the gas.</w:t>
      </w:r>
    </w:p>
    <w:p w14:paraId="55FF07F8" w14:textId="6A87C15C" w:rsidR="00180FE4" w:rsidRDefault="00180FE4" w:rsidP="00655722">
      <w:pPr>
        <w:numPr>
          <w:ilvl w:val="0"/>
          <w:numId w:val="20"/>
        </w:numPr>
        <w:spacing w:before="120" w:after="120"/>
        <w:ind w:left="714" w:hanging="357"/>
      </w:pPr>
      <w:r w:rsidRPr="007A67B1">
        <w:t xml:space="preserve">Emissions of nitrous oxide peak in the 2020s and then reduce, but do not reduce to zero due to the difficulty eliminating nitrous oxide emissions from agriculture. </w:t>
      </w:r>
    </w:p>
    <w:p w14:paraId="33E1A9FC" w14:textId="2BE3066D" w:rsidR="00180FE4" w:rsidRPr="007A67B1" w:rsidRDefault="00180FE4" w:rsidP="00655722">
      <w:pPr>
        <w:numPr>
          <w:ilvl w:val="0"/>
          <w:numId w:val="20"/>
        </w:numPr>
        <w:spacing w:before="120" w:after="120"/>
        <w:ind w:left="714" w:hanging="357"/>
      </w:pPr>
      <w:r w:rsidRPr="007A67B1">
        <w:t>Gross emissions of long-lived greenhouse gases will be near zero by 2050. Most pathways have some remaining gross emissions in 2050 from hard</w:t>
      </w:r>
      <w:r w:rsidR="008706F3">
        <w:t>-</w:t>
      </w:r>
      <w:r w:rsidRPr="007A67B1">
        <w:t>to</w:t>
      </w:r>
      <w:r w:rsidR="008706F3">
        <w:t>-</w:t>
      </w:r>
      <w:r w:rsidRPr="007A67B1">
        <w:t xml:space="preserve">abate sectors. This includes things </w:t>
      </w:r>
      <w:r w:rsidRPr="007A67B1">
        <w:lastRenderedPageBreak/>
        <w:t xml:space="preserve">like carbon dioxide from cement manufacturing. As a result, emission removals are required to ensure emissions reach </w:t>
      </w:r>
      <w:r>
        <w:t>and remain at net</w:t>
      </w:r>
      <w:r w:rsidR="008706F3">
        <w:t xml:space="preserve"> </w:t>
      </w:r>
      <w:r w:rsidRPr="007A67B1">
        <w:t>zero.</w:t>
      </w:r>
    </w:p>
    <w:p w14:paraId="7342E9CE" w14:textId="57EE81F1" w:rsidR="00180FE4" w:rsidRPr="007A67B1" w:rsidRDefault="00180FE4" w:rsidP="00180FE4">
      <w:r>
        <w:rPr>
          <w:rStyle w:val="normaltextrun"/>
          <w:rFonts w:ascii="Calibri" w:hAnsi="Calibri" w:cs="Calibri"/>
          <w:color w:val="000000"/>
          <w:shd w:val="clear" w:color="auto" w:fill="FFFFFF"/>
        </w:rPr>
        <w:t>Most 1.5</w:t>
      </w:r>
      <w:r w:rsidR="004814A7">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C </w:t>
      </w:r>
      <w:r w:rsidR="004814A7">
        <w:rPr>
          <w:rStyle w:val="normaltextrun"/>
          <w:rFonts w:ascii="Calibri" w:hAnsi="Calibri" w:cs="Calibri"/>
          <w:color w:val="000000"/>
          <w:shd w:val="clear" w:color="auto" w:fill="FFFFFF"/>
        </w:rPr>
        <w:t>pathways</w:t>
      </w:r>
      <w:r>
        <w:rPr>
          <w:rStyle w:val="normaltextrun"/>
          <w:rFonts w:ascii="Calibri" w:hAnsi="Calibri" w:cs="Calibri"/>
          <w:color w:val="000000"/>
          <w:shd w:val="clear" w:color="auto" w:fill="FFFFFF"/>
        </w:rPr>
        <w:t> also require ongoing levels of carbon dioxide removals beyond keeping emissions to net</w:t>
      </w:r>
      <w:r w:rsidR="008706F3">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zero to bring temperatures back to 1.5</w:t>
      </w:r>
      <w:r w:rsidR="004814A7">
        <w:rPr>
          <w:rStyle w:val="normaltextrun"/>
          <w:rFonts w:ascii="Calibri" w:hAnsi="Calibri" w:cs="Calibri"/>
          <w:color w:val="000000"/>
          <w:shd w:val="clear" w:color="auto" w:fill="FFFFFF"/>
        </w:rPr>
        <w:t>°C</w:t>
      </w:r>
      <w:r>
        <w:rPr>
          <w:rStyle w:val="normaltextrun"/>
          <w:rFonts w:ascii="Calibri" w:hAnsi="Calibri" w:cs="Calibri"/>
          <w:color w:val="000000"/>
          <w:shd w:val="clear" w:color="auto" w:fill="FFFFFF"/>
        </w:rPr>
        <w:t xml:space="preserve"> after a temporary overshoot. </w:t>
      </w:r>
      <w:r w:rsidRPr="007A67B1">
        <w:t xml:space="preserve">There are questions about whether the globe can still limit warming to 1.5°C. The longer countries wait to act, the harder it gets, and the more the world will need speculative emissions removal technologies. </w:t>
      </w:r>
      <w:r w:rsidR="00DC401B">
        <w:t>Later this</w:t>
      </w:r>
      <w:r w:rsidRPr="007A67B1">
        <w:t xml:space="preserve"> year the IPCC will release </w:t>
      </w:r>
      <w:r>
        <w:t>its</w:t>
      </w:r>
      <w:r w:rsidRPr="007A67B1">
        <w:t xml:space="preserve"> sixth assessment report which will provide the most up-to-date science on this. </w:t>
      </w:r>
    </w:p>
    <w:p w14:paraId="69108C0E" w14:textId="6432DE39" w:rsidR="00180FE4" w:rsidRPr="007A67B1" w:rsidRDefault="00087AEB" w:rsidP="00180FE4">
      <w:pPr>
        <w:keepNext/>
        <w:keepLines/>
        <w:spacing w:after="0"/>
        <w:outlineLvl w:val="1"/>
        <w:rPr>
          <w:rFonts w:asciiTheme="majorHAnsi" w:eastAsiaTheme="majorEastAsia" w:hAnsiTheme="majorHAnsi" w:cstheme="majorBidi"/>
          <w:color w:val="2F5496" w:themeColor="accent1" w:themeShade="BF"/>
          <w:sz w:val="26"/>
          <w:szCs w:val="26"/>
        </w:rPr>
      </w:pPr>
      <w:bookmarkStart w:id="153" w:name="_Toc62650279"/>
      <w:r>
        <w:rPr>
          <w:rFonts w:asciiTheme="majorHAnsi" w:eastAsiaTheme="majorEastAsia" w:hAnsiTheme="majorHAnsi" w:cstheme="majorBidi"/>
          <w:color w:val="2F5496" w:themeColor="accent1" w:themeShade="BF"/>
          <w:sz w:val="26"/>
          <w:szCs w:val="26"/>
        </w:rPr>
        <w:t xml:space="preserve">4.4 </w:t>
      </w:r>
      <w:r w:rsidR="00180FE4" w:rsidRPr="007A67B1">
        <w:rPr>
          <w:rFonts w:asciiTheme="majorHAnsi" w:eastAsiaTheme="majorEastAsia" w:hAnsiTheme="majorHAnsi" w:cstheme="majorBidi"/>
          <w:color w:val="2F5496" w:themeColor="accent1" w:themeShade="BF"/>
          <w:sz w:val="26"/>
          <w:szCs w:val="26"/>
        </w:rPr>
        <w:t>Common but differentiated responsibilities and respective capabilities</w:t>
      </w:r>
      <w:bookmarkEnd w:id="153"/>
      <w:r w:rsidR="00180FE4" w:rsidRPr="007A67B1">
        <w:rPr>
          <w:rFonts w:asciiTheme="majorHAnsi" w:eastAsiaTheme="majorEastAsia" w:hAnsiTheme="majorHAnsi" w:cstheme="majorBidi"/>
          <w:color w:val="2F5496" w:themeColor="accent1" w:themeShade="BF"/>
          <w:sz w:val="26"/>
          <w:szCs w:val="26"/>
        </w:rPr>
        <w:t xml:space="preserve"> </w:t>
      </w:r>
    </w:p>
    <w:p w14:paraId="3AD9D79E" w14:textId="018A26B8" w:rsidR="00180FE4" w:rsidRPr="007A67B1" w:rsidRDefault="00180FE4" w:rsidP="00180FE4">
      <w:r w:rsidRPr="007A67B1">
        <w:t xml:space="preserve">In line with </w:t>
      </w:r>
      <w:r>
        <w:t xml:space="preserve">the tikanga values of </w:t>
      </w:r>
      <w:r w:rsidRPr="007A67B1">
        <w:t xml:space="preserve">whanaungatanga and </w:t>
      </w:r>
      <w:proofErr w:type="spellStart"/>
      <w:r w:rsidRPr="007A67B1">
        <w:t>kotahitanga</w:t>
      </w:r>
      <w:proofErr w:type="spellEnd"/>
      <w:r w:rsidRPr="007A67B1">
        <w:t>, we must be mindful of the interrelationship, our connections to each other</w:t>
      </w:r>
      <w:r w:rsidR="00856675">
        <w:t>,</w:t>
      </w:r>
      <w:r w:rsidRPr="007A67B1">
        <w:t xml:space="preserve"> and work collaboratively and inclusively to address climate change. All countries need to act</w:t>
      </w:r>
      <w:r w:rsidR="005547BB">
        <w:t>;</w:t>
      </w:r>
      <w:r w:rsidRPr="007A67B1">
        <w:t xml:space="preserve"> through the </w:t>
      </w:r>
      <w:r>
        <w:t xml:space="preserve">United Nations </w:t>
      </w:r>
      <w:r w:rsidRPr="007A67B1">
        <w:t xml:space="preserve">Framework Convention on Climate Change and the Paris </w:t>
      </w:r>
      <w:r>
        <w:t>Agreement</w:t>
      </w:r>
      <w:r w:rsidRPr="007A67B1">
        <w:t>, nearly all countries have agreed they will do so.</w:t>
      </w:r>
    </w:p>
    <w:p w14:paraId="52319CC4" w14:textId="14F512C1" w:rsidR="00180FE4" w:rsidRPr="007A67B1" w:rsidRDefault="00180FE4" w:rsidP="007468A2">
      <w:r w:rsidRPr="007A67B1">
        <w:t>It is well acknowledged internationally that developed nations have a greater responsibility to take the lead in reducing emissions and support developing countries to transition. Developed countries have emitted more cumulative emissions than developing countries and for longer</w:t>
      </w:r>
      <w:r w:rsidR="00B57D86">
        <w:t>. The</w:t>
      </w:r>
      <w:r w:rsidR="000919A7">
        <w:t>y hav</w:t>
      </w:r>
      <w:r w:rsidRPr="007A67B1">
        <w:t xml:space="preserve">e benefited as a result. The principle of ‘common but differentiated responsibilities and respective capabilities’ was enshrined in the United Nations Framework Convention on Climate Change in 1992. It was reiterated and expanded in the Paris Agreement to </w:t>
      </w:r>
      <w:r>
        <w:t xml:space="preserve">reflect the </w:t>
      </w:r>
      <w:r w:rsidRPr="007A67B1">
        <w:t>national circumstances</w:t>
      </w:r>
      <w:r>
        <w:t xml:space="preserve"> of all countries</w:t>
      </w:r>
      <w:r w:rsidRPr="007A67B1">
        <w:t xml:space="preserve">. </w:t>
      </w:r>
    </w:p>
    <w:p w14:paraId="5457F946" w14:textId="262A1735" w:rsidR="00180FE4" w:rsidRPr="007A67B1" w:rsidRDefault="00180FE4" w:rsidP="007468A2">
      <w:r w:rsidRPr="007A67B1">
        <w:t xml:space="preserve">In terms of Gross National Income per capita, </w:t>
      </w:r>
      <w:r w:rsidRPr="007A67B1">
        <w:rPr>
          <w:rFonts w:ascii="Calibri" w:hAnsi="Calibri" w:cs="Calibri"/>
          <w:color w:val="000000"/>
          <w:shd w:val="clear" w:color="auto" w:fill="FFFFFF"/>
        </w:rPr>
        <w:t>Aotearoa</w:t>
      </w:r>
      <w:r w:rsidRPr="007A67B1">
        <w:rPr>
          <w:color w:val="000000"/>
          <w:shd w:val="clear" w:color="auto" w:fill="FFFFFF"/>
        </w:rPr>
        <w:t xml:space="preserve"> </w:t>
      </w:r>
      <w:r w:rsidRPr="007A67B1">
        <w:rPr>
          <w:rFonts w:ascii="Calibri" w:hAnsi="Calibri" w:cs="Calibri"/>
          <w:color w:val="000000"/>
          <w:shd w:val="clear" w:color="auto" w:fill="FFFFFF"/>
        </w:rPr>
        <w:t>ranks as a</w:t>
      </w:r>
      <w:r w:rsidRPr="007A67B1">
        <w:rPr>
          <w:color w:val="000000"/>
          <w:shd w:val="clear" w:color="auto" w:fill="FFFFFF"/>
        </w:rPr>
        <w:t xml:space="preserve"> </w:t>
      </w:r>
      <w:r w:rsidRPr="007A67B1">
        <w:rPr>
          <w:rFonts w:ascii="Calibri" w:hAnsi="Calibri" w:cs="Calibri"/>
          <w:color w:val="000000"/>
          <w:shd w:val="clear" w:color="auto" w:fill="FFFFFF"/>
        </w:rPr>
        <w:t>wealthy, highly developed country</w:t>
      </w:r>
      <w:r w:rsidR="005619F4">
        <w:rPr>
          <w:color w:val="000000"/>
          <w:shd w:val="clear" w:color="auto" w:fill="FFFFFF"/>
        </w:rPr>
        <w:t>.</w:t>
      </w:r>
    </w:p>
    <w:p w14:paraId="4E02C5C0" w14:textId="18DD332F" w:rsidR="00180FE4" w:rsidRPr="007A67B1" w:rsidRDefault="003D6E4E" w:rsidP="00180FE4">
      <w:pPr>
        <w:rPr>
          <w:rFonts w:eastAsia="Times New Roman"/>
          <w:lang w:eastAsia="en-NZ"/>
        </w:rPr>
      </w:pPr>
      <w:r>
        <w:rPr>
          <w:rFonts w:eastAsia="Times New Roman"/>
          <w:lang w:eastAsia="en-NZ"/>
        </w:rPr>
        <w:t xml:space="preserve">The </w:t>
      </w:r>
      <w:r w:rsidR="00180FE4" w:rsidRPr="007A67B1">
        <w:rPr>
          <w:rFonts w:eastAsia="Times New Roman"/>
          <w:lang w:eastAsia="en-NZ"/>
        </w:rPr>
        <w:t xml:space="preserve">historic contribution </w:t>
      </w:r>
      <w:r>
        <w:rPr>
          <w:rFonts w:eastAsia="Times New Roman"/>
          <w:lang w:eastAsia="en-NZ"/>
        </w:rPr>
        <w:t>Aotearoa</w:t>
      </w:r>
      <w:r w:rsidR="00180FE4" w:rsidRPr="007A67B1" w:rsidDel="003D6E4E">
        <w:rPr>
          <w:rFonts w:eastAsia="Times New Roman"/>
          <w:lang w:eastAsia="en-NZ"/>
        </w:rPr>
        <w:t xml:space="preserve"> </w:t>
      </w:r>
      <w:r>
        <w:rPr>
          <w:rFonts w:eastAsia="Times New Roman"/>
          <w:lang w:eastAsia="en-NZ"/>
        </w:rPr>
        <w:t>made to</w:t>
      </w:r>
      <w:r w:rsidRPr="007A67B1">
        <w:rPr>
          <w:rFonts w:eastAsia="Times New Roman"/>
          <w:lang w:eastAsia="en-NZ"/>
        </w:rPr>
        <w:t xml:space="preserve"> </w:t>
      </w:r>
      <w:r w:rsidR="00180FE4" w:rsidRPr="007A67B1">
        <w:rPr>
          <w:rFonts w:eastAsia="Times New Roman"/>
          <w:lang w:eastAsia="en-NZ"/>
        </w:rPr>
        <w:t>warming came from a mix of carbon dioxide released when native forests were first cleared and ongoing emissions of carbon dioxide from fossil fuel use, methane and nitrous oxide. The vast majority of warming to date comes from historical forest clearance and land use change. Much of this occurred when humans first settled Aotearoa and before the industrial revolution (</w:t>
      </w:r>
      <w:r w:rsidR="00D7492C">
        <w:rPr>
          <w:rFonts w:eastAsia="Times New Roman"/>
          <w:lang w:eastAsia="en-NZ"/>
        </w:rPr>
        <w:t>Figure 4.3</w:t>
      </w:r>
      <w:r w:rsidR="00180FE4" w:rsidRPr="007A67B1">
        <w:rPr>
          <w:rFonts w:eastAsia="Times New Roman"/>
          <w:lang w:eastAsia="en-NZ"/>
        </w:rPr>
        <w:t xml:space="preserve">). </w:t>
      </w:r>
    </w:p>
    <w:p w14:paraId="651DDFE4" w14:textId="75083696" w:rsidR="00180FE4" w:rsidRPr="007A67B1" w:rsidRDefault="00180FE4" w:rsidP="00180FE4">
      <w:r w:rsidRPr="007A67B1">
        <w:rPr>
          <w:rFonts w:eastAsia="Times New Roman"/>
          <w:lang w:eastAsia="en-NZ"/>
        </w:rPr>
        <w:t>It has been estimated that Aotearoa has contributed just under 0.3% of the 1</w:t>
      </w:r>
      <w:r w:rsidRPr="007A67B1">
        <w:t>°C</w:t>
      </w:r>
      <w:r w:rsidRPr="007A67B1">
        <w:rPr>
          <w:rFonts w:eastAsia="Times New Roman"/>
          <w:lang w:eastAsia="en-NZ"/>
        </w:rPr>
        <w:t xml:space="preserve"> warming since pre-industrial times. </w:t>
      </w:r>
    </w:p>
    <w:p w14:paraId="46232770" w14:textId="77777777" w:rsidR="00180FE4" w:rsidRPr="007A67B1" w:rsidRDefault="00180FE4" w:rsidP="00180FE4">
      <w:pPr>
        <w:keepNext/>
        <w:spacing w:after="0" w:line="240" w:lineRule="auto"/>
        <w:jc w:val="center"/>
        <w:textAlignment w:val="baseline"/>
      </w:pPr>
      <w:r w:rsidRPr="007A67B1">
        <w:rPr>
          <w:noProof/>
        </w:rPr>
        <w:lastRenderedPageBreak/>
        <w:drawing>
          <wp:inline distT="0" distB="0" distL="0" distR="0" wp14:anchorId="3F591F19" wp14:editId="2D7A6F98">
            <wp:extent cx="4995614" cy="30728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8">
                      <a:extLst>
                        <a:ext uri="{28A0092B-C50C-407E-A947-70E740481C1C}">
                          <a14:useLocalDpi xmlns:a14="http://schemas.microsoft.com/office/drawing/2010/main" val="0"/>
                        </a:ext>
                      </a:extLst>
                    </a:blip>
                    <a:srcRect b="16675"/>
                    <a:stretch/>
                  </pic:blipFill>
                  <pic:spPr bwMode="auto">
                    <a:xfrm>
                      <a:off x="0" y="0"/>
                      <a:ext cx="5019012" cy="3087202"/>
                    </a:xfrm>
                    <a:prstGeom prst="rect">
                      <a:avLst/>
                    </a:prstGeom>
                    <a:noFill/>
                    <a:ln>
                      <a:noFill/>
                    </a:ln>
                    <a:extLst>
                      <a:ext uri="{53640926-AAD7-44D8-BBD7-CCE9431645EC}">
                        <a14:shadowObscured xmlns:a14="http://schemas.microsoft.com/office/drawing/2010/main"/>
                      </a:ext>
                    </a:extLst>
                  </pic:spPr>
                </pic:pic>
              </a:graphicData>
            </a:graphic>
          </wp:inline>
        </w:drawing>
      </w:r>
    </w:p>
    <w:p w14:paraId="3D50AFD6" w14:textId="6F7DBED1" w:rsidR="00AA1AA3" w:rsidRDefault="00180FE4" w:rsidP="00630C1A">
      <w:pPr>
        <w:pStyle w:val="Caption"/>
        <w:rPr>
          <w:highlight w:val="yellow"/>
        </w:rPr>
      </w:pPr>
      <w:bookmarkStart w:id="154" w:name="_Ref56773959"/>
      <w:r w:rsidRPr="00A10CD6">
        <w:t xml:space="preserve">Figure </w:t>
      </w:r>
      <w:r w:rsidR="00D7492C">
        <w:t>4.3</w:t>
      </w:r>
      <w:r w:rsidRPr="00A10CD6">
        <w:t>:</w:t>
      </w:r>
      <w:bookmarkEnd w:id="154"/>
      <w:r w:rsidRPr="00A10CD6">
        <w:t xml:space="preserve"> </w:t>
      </w:r>
      <w:r w:rsidR="0084716D">
        <w:t>The</w:t>
      </w:r>
      <w:r w:rsidRPr="00A10CD6">
        <w:t xml:space="preserve"> contribution </w:t>
      </w:r>
      <w:r w:rsidR="0084716D">
        <w:t xml:space="preserve">Aotearoa made </w:t>
      </w:r>
      <w:r w:rsidRPr="00A10CD6">
        <w:t xml:space="preserve">to warming since </w:t>
      </w:r>
      <w:r w:rsidRPr="00AA1AA3">
        <w:t>1840</w:t>
      </w:r>
      <w:r w:rsidRPr="00400204">
        <w:t>.</w:t>
      </w:r>
    </w:p>
    <w:p w14:paraId="5537FF2D" w14:textId="5AB34E30" w:rsidR="00AA1AA3" w:rsidRPr="00295A62" w:rsidRDefault="00AA1AA3" w:rsidP="00AA1AA3">
      <w:pPr>
        <w:spacing w:before="0"/>
        <w:jc w:val="right"/>
      </w:pPr>
      <w:r w:rsidRPr="00295A62">
        <w:t xml:space="preserve">Source: </w:t>
      </w:r>
      <w:r w:rsidR="00647015" w:rsidRPr="00647015">
        <w:t>New Zealand Agricultural Greenhouse Gas Research Centre</w:t>
      </w:r>
      <w:r>
        <w:t>.</w:t>
      </w:r>
    </w:p>
    <w:p w14:paraId="3FC7087A" w14:textId="728D0EBA" w:rsidR="00180FE4" w:rsidRPr="007A67B1" w:rsidRDefault="00087AEB" w:rsidP="00180FE4">
      <w:pPr>
        <w:keepNext/>
        <w:keepLines/>
        <w:spacing w:after="0"/>
        <w:outlineLvl w:val="1"/>
        <w:rPr>
          <w:rFonts w:asciiTheme="majorHAnsi" w:eastAsiaTheme="majorEastAsia" w:hAnsiTheme="majorHAnsi" w:cstheme="majorBidi"/>
          <w:color w:val="2F5496" w:themeColor="accent1" w:themeShade="BF"/>
          <w:sz w:val="26"/>
          <w:szCs w:val="26"/>
        </w:rPr>
      </w:pPr>
      <w:bookmarkStart w:id="155" w:name="_Toc57363859"/>
      <w:bookmarkStart w:id="156" w:name="_Toc62650280"/>
      <w:r>
        <w:rPr>
          <w:rFonts w:asciiTheme="majorHAnsi" w:eastAsia="Calibri Light" w:hAnsiTheme="majorHAnsi" w:cstheme="majorBidi"/>
          <w:color w:val="2F5496" w:themeColor="accent1" w:themeShade="BF"/>
          <w:sz w:val="26"/>
          <w:szCs w:val="26"/>
        </w:rPr>
        <w:t xml:space="preserve">4.5 </w:t>
      </w:r>
      <w:r w:rsidR="00180FE4" w:rsidRPr="007A67B1">
        <w:rPr>
          <w:rFonts w:asciiTheme="majorHAnsi" w:eastAsia="Calibri Light" w:hAnsiTheme="majorHAnsi" w:cstheme="majorBidi"/>
          <w:color w:val="2F5496" w:themeColor="accent1" w:themeShade="BF"/>
          <w:sz w:val="26"/>
          <w:szCs w:val="26"/>
        </w:rPr>
        <w:t xml:space="preserve">Assessing </w:t>
      </w:r>
      <w:r w:rsidR="00180FE4" w:rsidRPr="007A67B1">
        <w:rPr>
          <w:rFonts w:asciiTheme="majorHAnsi" w:eastAsiaTheme="majorEastAsia" w:hAnsiTheme="majorHAnsi" w:cstheme="majorBidi"/>
          <w:color w:val="2F5496" w:themeColor="accent1" w:themeShade="BF"/>
          <w:sz w:val="26"/>
          <w:szCs w:val="26"/>
        </w:rPr>
        <w:t>how our proposed emissions budgets</w:t>
      </w:r>
      <w:r w:rsidR="00180FE4" w:rsidRPr="007A67B1">
        <w:rPr>
          <w:rFonts w:asciiTheme="majorHAnsi" w:eastAsia="Calibri Light" w:hAnsiTheme="majorHAnsi" w:cstheme="majorBidi"/>
          <w:color w:val="2F5496" w:themeColor="accent1" w:themeShade="BF"/>
          <w:sz w:val="26"/>
          <w:szCs w:val="26"/>
        </w:rPr>
        <w:t xml:space="preserve"> </w:t>
      </w:r>
      <w:r w:rsidR="00180FE4" w:rsidRPr="007A67B1">
        <w:rPr>
          <w:rFonts w:asciiTheme="majorHAnsi" w:eastAsiaTheme="majorEastAsia" w:hAnsiTheme="majorHAnsi" w:cstheme="majorBidi"/>
          <w:color w:val="2F5496" w:themeColor="accent1" w:themeShade="BF"/>
          <w:sz w:val="26"/>
          <w:szCs w:val="26"/>
        </w:rPr>
        <w:t>contribute to the 1.5</w:t>
      </w:r>
      <w:r w:rsidR="00180FE4" w:rsidRPr="007A67B1">
        <w:rPr>
          <w:rFonts w:asciiTheme="majorHAnsi" w:eastAsiaTheme="majorEastAsia" w:hAnsiTheme="majorHAnsi" w:cstheme="majorHAnsi"/>
          <w:color w:val="2F5496" w:themeColor="accent1" w:themeShade="BF"/>
          <w:sz w:val="26"/>
          <w:szCs w:val="26"/>
        </w:rPr>
        <w:t>°</w:t>
      </w:r>
      <w:r w:rsidR="00180FE4" w:rsidRPr="007A67B1">
        <w:rPr>
          <w:rFonts w:asciiTheme="majorHAnsi" w:eastAsiaTheme="majorEastAsia" w:hAnsiTheme="majorHAnsi" w:cstheme="majorBidi"/>
          <w:color w:val="2F5496" w:themeColor="accent1" w:themeShade="BF"/>
          <w:sz w:val="26"/>
          <w:szCs w:val="26"/>
        </w:rPr>
        <w:t>C global goal</w:t>
      </w:r>
      <w:bookmarkEnd w:id="155"/>
      <w:bookmarkEnd w:id="156"/>
    </w:p>
    <w:p w14:paraId="519D1805" w14:textId="77777777" w:rsidR="00180FE4" w:rsidRPr="007A67B1" w:rsidRDefault="00180FE4" w:rsidP="00180FE4">
      <w:r w:rsidRPr="007A67B1">
        <w:t xml:space="preserve">The Climate Change Response Act requires emissions budgets be set with a view to contributing to the global goal to limit warming to within 1.5°C of pre-industrial levels. At the same time, emissions budgets must be ambitious but achievable and have a focus on domestic actions. </w:t>
      </w:r>
    </w:p>
    <w:p w14:paraId="12AF60A5" w14:textId="6A5285E3" w:rsidR="00180FE4" w:rsidRPr="007A67B1" w:rsidRDefault="00180FE4" w:rsidP="00180FE4">
      <w:pPr>
        <w:rPr>
          <w:lang w:eastAsia="en-NZ"/>
        </w:rPr>
      </w:pPr>
      <w:r w:rsidRPr="007A67B1">
        <w:rPr>
          <w:lang w:eastAsia="en-NZ"/>
        </w:rPr>
        <w:t>To assess</w:t>
      </w:r>
      <w:r w:rsidRPr="007A67B1">
        <w:t xml:space="preserve"> how our proposed emissions budgets would contribute to the </w:t>
      </w:r>
      <w:r w:rsidRPr="007A67B1">
        <w:rPr>
          <w:lang w:eastAsia="en-NZ"/>
        </w:rPr>
        <w:t>1.5</w:t>
      </w:r>
      <w:r w:rsidRPr="007A67B1">
        <w:t>°</w:t>
      </w:r>
      <w:r w:rsidRPr="007A67B1">
        <w:rPr>
          <w:lang w:eastAsia="en-NZ"/>
        </w:rPr>
        <w:t>C global goal</w:t>
      </w:r>
      <w:r w:rsidRPr="007A67B1">
        <w:t>, we</w:t>
      </w:r>
      <w:r w:rsidRPr="007A67B1">
        <w:rPr>
          <w:lang w:eastAsia="en-NZ"/>
        </w:rPr>
        <w:t xml:space="preserve"> have looked at how emissions of the different gases would change compared to the IPCC’s modelling of global 1.5</w:t>
      </w:r>
      <w:r w:rsidRPr="007A67B1">
        <w:t>°C</w:t>
      </w:r>
      <w:r w:rsidRPr="007A67B1">
        <w:rPr>
          <w:lang w:eastAsia="en-NZ"/>
        </w:rPr>
        <w:t xml:space="preserve"> pathways (see </w:t>
      </w:r>
      <w:r w:rsidR="00D7492C">
        <w:rPr>
          <w:lang w:eastAsia="en-NZ"/>
        </w:rPr>
        <w:t>Figure 4.4</w:t>
      </w:r>
      <w:r w:rsidRPr="007A67B1">
        <w:rPr>
          <w:lang w:eastAsia="en-NZ"/>
        </w:rPr>
        <w:t xml:space="preserve">). </w:t>
      </w:r>
    </w:p>
    <w:p w14:paraId="6D1B51D6" w14:textId="77777777" w:rsidR="00180FE4" w:rsidRPr="007A67B1" w:rsidRDefault="00180FE4" w:rsidP="00180FE4">
      <w:pPr>
        <w:rPr>
          <w:lang w:eastAsia="en-NZ"/>
        </w:rPr>
      </w:pPr>
      <w:r w:rsidRPr="007A67B1">
        <w:rPr>
          <w:lang w:eastAsia="en-NZ"/>
        </w:rPr>
        <w:t>The key features driving global reductions in emissions in the IPCC’s 1.5</w:t>
      </w:r>
      <w:r w:rsidRPr="007A67B1">
        <w:rPr>
          <w:rFonts w:cstheme="minorHAnsi"/>
          <w:lang w:eastAsia="en-NZ"/>
        </w:rPr>
        <w:t>°</w:t>
      </w:r>
      <w:r w:rsidRPr="007A67B1">
        <w:rPr>
          <w:lang w:eastAsia="en-NZ"/>
        </w:rPr>
        <w:t xml:space="preserve">C compatible scenarios are: </w:t>
      </w:r>
    </w:p>
    <w:p w14:paraId="4C1F6BEA" w14:textId="77777777" w:rsidR="00180FE4" w:rsidRPr="007A67B1" w:rsidRDefault="00180FE4" w:rsidP="005C45A2">
      <w:pPr>
        <w:numPr>
          <w:ilvl w:val="0"/>
          <w:numId w:val="18"/>
        </w:numPr>
        <w:ind w:left="709"/>
        <w:contextualSpacing/>
        <w:rPr>
          <w:lang w:eastAsia="en-NZ"/>
        </w:rPr>
      </w:pPr>
      <w:r w:rsidRPr="007A67B1">
        <w:rPr>
          <w:lang w:eastAsia="en-NZ"/>
        </w:rPr>
        <w:t xml:space="preserve">Deep cuts in coal use between 2020 and 2030 (by about ~75% from 2010 levels) </w:t>
      </w:r>
    </w:p>
    <w:p w14:paraId="6C7BBC82" w14:textId="77777777" w:rsidR="00180FE4" w:rsidRPr="007A67B1" w:rsidRDefault="00180FE4" w:rsidP="005C45A2">
      <w:pPr>
        <w:numPr>
          <w:ilvl w:val="0"/>
          <w:numId w:val="18"/>
        </w:numPr>
        <w:ind w:left="709"/>
        <w:contextualSpacing/>
        <w:rPr>
          <w:lang w:eastAsia="en-NZ"/>
        </w:rPr>
      </w:pPr>
      <w:r w:rsidRPr="007A67B1">
        <w:rPr>
          <w:lang w:eastAsia="en-NZ"/>
        </w:rPr>
        <w:t xml:space="preserve">Reductions in gas use, except where it replaces coal use </w:t>
      </w:r>
    </w:p>
    <w:p w14:paraId="61FBB286" w14:textId="77777777" w:rsidR="00180FE4" w:rsidRPr="007A67B1" w:rsidRDefault="00180FE4" w:rsidP="005C45A2">
      <w:pPr>
        <w:numPr>
          <w:ilvl w:val="0"/>
          <w:numId w:val="18"/>
        </w:numPr>
        <w:ind w:left="709"/>
        <w:contextualSpacing/>
        <w:rPr>
          <w:lang w:eastAsia="en-NZ"/>
        </w:rPr>
      </w:pPr>
      <w:r w:rsidRPr="007A67B1">
        <w:rPr>
          <w:lang w:eastAsia="en-NZ"/>
        </w:rPr>
        <w:t xml:space="preserve">Oil use peaking between 2020 and 2025 and declining steadily thereafter </w:t>
      </w:r>
    </w:p>
    <w:p w14:paraId="0FFC9CB8" w14:textId="3200D402" w:rsidR="00180FE4" w:rsidRPr="007A67B1" w:rsidRDefault="00180FE4" w:rsidP="005C45A2">
      <w:pPr>
        <w:numPr>
          <w:ilvl w:val="0"/>
          <w:numId w:val="18"/>
        </w:numPr>
        <w:ind w:left="709"/>
        <w:contextualSpacing/>
        <w:rPr>
          <w:lang w:eastAsia="en-NZ"/>
        </w:rPr>
      </w:pPr>
      <w:r w:rsidRPr="007A67B1">
        <w:rPr>
          <w:lang w:eastAsia="en-NZ"/>
        </w:rPr>
        <w:t xml:space="preserve">Ongoing but more moderate reductions in </w:t>
      </w:r>
      <w:r w:rsidR="008371D1">
        <w:rPr>
          <w:lang w:eastAsia="en-NZ"/>
        </w:rPr>
        <w:t>livestock</w:t>
      </w:r>
      <w:r w:rsidRPr="007A67B1">
        <w:rPr>
          <w:lang w:eastAsia="en-NZ"/>
        </w:rPr>
        <w:t xml:space="preserve"> methane emissions </w:t>
      </w:r>
    </w:p>
    <w:p w14:paraId="6914F0BE" w14:textId="77777777" w:rsidR="00180FE4" w:rsidRPr="007A67B1" w:rsidRDefault="00180FE4" w:rsidP="005C45A2">
      <w:pPr>
        <w:numPr>
          <w:ilvl w:val="0"/>
          <w:numId w:val="18"/>
        </w:numPr>
        <w:ind w:left="709"/>
        <w:contextualSpacing/>
        <w:rPr>
          <w:lang w:eastAsia="en-NZ"/>
        </w:rPr>
      </w:pPr>
      <w:r w:rsidRPr="007A67B1">
        <w:rPr>
          <w:lang w:eastAsia="en-NZ"/>
        </w:rPr>
        <w:t xml:space="preserve">Stabilisation or moderate reductions in nitrous oxide. </w:t>
      </w:r>
    </w:p>
    <w:p w14:paraId="6364A82D" w14:textId="36C7864D" w:rsidR="00180FE4" w:rsidRPr="007A67B1" w:rsidRDefault="00180FE4" w:rsidP="00180FE4">
      <w:pPr>
        <w:rPr>
          <w:lang w:eastAsia="en-NZ"/>
        </w:rPr>
      </w:pPr>
      <w:r w:rsidRPr="007A67B1">
        <w:rPr>
          <w:lang w:eastAsia="en-NZ"/>
        </w:rPr>
        <w:t xml:space="preserve">When comparing our </w:t>
      </w:r>
      <w:r w:rsidRPr="00686B4C">
        <w:rPr>
          <w:lang w:eastAsia="en-NZ"/>
        </w:rPr>
        <w:t xml:space="preserve">path outlined in </w:t>
      </w:r>
      <w:r w:rsidR="006A1F80">
        <w:rPr>
          <w:lang w:eastAsia="en-NZ"/>
        </w:rPr>
        <w:t>c</w:t>
      </w:r>
      <w:r w:rsidRPr="00686B4C">
        <w:rPr>
          <w:lang w:eastAsia="en-NZ"/>
        </w:rPr>
        <w:t>hapter 3 against</w:t>
      </w:r>
      <w:r w:rsidRPr="007A67B1">
        <w:rPr>
          <w:lang w:eastAsia="en-NZ"/>
        </w:rPr>
        <w:t xml:space="preserve"> the global 1.5°C pathways, we can make the following observations:</w:t>
      </w:r>
    </w:p>
    <w:p w14:paraId="2794A98E" w14:textId="77777777" w:rsidR="00180FE4" w:rsidRPr="007A67B1" w:rsidRDefault="00180FE4" w:rsidP="00655722">
      <w:pPr>
        <w:numPr>
          <w:ilvl w:val="0"/>
          <w:numId w:val="21"/>
        </w:numPr>
        <w:contextualSpacing/>
        <w:rPr>
          <w:lang w:eastAsia="en-NZ"/>
        </w:rPr>
      </w:pPr>
      <w:r w:rsidRPr="007A67B1">
        <w:rPr>
          <w:lang w:eastAsia="en-NZ"/>
        </w:rPr>
        <w:t xml:space="preserve">Our path focuses on large reductions of carbon dioxide emissions with as little reliance on emission removals by forestry as possible. </w:t>
      </w:r>
    </w:p>
    <w:p w14:paraId="0D3972F2" w14:textId="64D21090" w:rsidR="00180FE4" w:rsidRPr="007A67B1" w:rsidRDefault="004D07FD" w:rsidP="00655722">
      <w:pPr>
        <w:numPr>
          <w:ilvl w:val="0"/>
          <w:numId w:val="21"/>
        </w:numPr>
        <w:contextualSpacing/>
        <w:rPr>
          <w:lang w:eastAsia="en-NZ"/>
        </w:rPr>
      </w:pPr>
      <w:r>
        <w:rPr>
          <w:lang w:eastAsia="en-NZ"/>
        </w:rPr>
        <w:t>Our path</w:t>
      </w:r>
      <w:r w:rsidR="00180FE4" w:rsidRPr="007A67B1">
        <w:rPr>
          <w:lang w:eastAsia="en-NZ"/>
        </w:rPr>
        <w:t xml:space="preserve"> see</w:t>
      </w:r>
      <w:r>
        <w:rPr>
          <w:lang w:eastAsia="en-NZ"/>
        </w:rPr>
        <w:t>s</w:t>
      </w:r>
      <w:r w:rsidR="00180FE4" w:rsidRPr="007A67B1">
        <w:rPr>
          <w:lang w:eastAsia="en-NZ"/>
        </w:rPr>
        <w:t xml:space="preserve"> gross nitrous oxide emissions reducing by </w:t>
      </w:r>
      <w:r w:rsidR="00180FE4" w:rsidRPr="00400204">
        <w:rPr>
          <w:lang w:eastAsia="en-NZ"/>
        </w:rPr>
        <w:t>1</w:t>
      </w:r>
      <w:r w:rsidR="00D51124" w:rsidRPr="00400204">
        <w:rPr>
          <w:lang w:eastAsia="en-NZ"/>
        </w:rPr>
        <w:t>6</w:t>
      </w:r>
      <w:r w:rsidR="00180FE4" w:rsidRPr="00400204">
        <w:rPr>
          <w:lang w:eastAsia="en-NZ"/>
        </w:rPr>
        <w:t>% by 2035</w:t>
      </w:r>
      <w:r w:rsidR="00180FE4" w:rsidRPr="007A67B1">
        <w:rPr>
          <w:lang w:eastAsia="en-NZ"/>
        </w:rPr>
        <w:t xml:space="preserve"> relative to 2017.</w:t>
      </w:r>
    </w:p>
    <w:p w14:paraId="6FFB76E4" w14:textId="19ED1B10" w:rsidR="00180FE4" w:rsidRPr="007A67B1" w:rsidRDefault="00180FE4" w:rsidP="00655722">
      <w:pPr>
        <w:numPr>
          <w:ilvl w:val="0"/>
          <w:numId w:val="21"/>
        </w:numPr>
        <w:contextualSpacing/>
        <w:rPr>
          <w:lang w:eastAsia="en-NZ"/>
        </w:rPr>
      </w:pPr>
      <w:r w:rsidRPr="007A67B1">
        <w:rPr>
          <w:lang w:eastAsia="en-NZ"/>
        </w:rPr>
        <w:t xml:space="preserve">Together, the reductions in carbon dioxide and nitrous oxide would put Aotearoa on track to meet net zero long-lived gases by 2050. </w:t>
      </w:r>
    </w:p>
    <w:p w14:paraId="1D0D05E3" w14:textId="69D25B39" w:rsidR="00180FE4" w:rsidRPr="007A67B1" w:rsidRDefault="00180FE4" w:rsidP="00655722">
      <w:pPr>
        <w:numPr>
          <w:ilvl w:val="0"/>
          <w:numId w:val="21"/>
        </w:numPr>
        <w:contextualSpacing/>
        <w:rPr>
          <w:lang w:eastAsia="en-NZ"/>
        </w:rPr>
      </w:pPr>
      <w:r w:rsidRPr="007A67B1">
        <w:rPr>
          <w:lang w:eastAsia="en-NZ"/>
        </w:rPr>
        <w:t xml:space="preserve">Our path sees biogenic methane reduce by </w:t>
      </w:r>
      <w:r w:rsidR="001D7F59" w:rsidRPr="00400204">
        <w:rPr>
          <w:lang w:eastAsia="en-NZ"/>
        </w:rPr>
        <w:t>17</w:t>
      </w:r>
      <w:r w:rsidRPr="00400204">
        <w:rPr>
          <w:lang w:eastAsia="en-NZ"/>
        </w:rPr>
        <w:t>% by 2035</w:t>
      </w:r>
      <w:r w:rsidRPr="007A67B1">
        <w:rPr>
          <w:lang w:eastAsia="en-NZ"/>
        </w:rPr>
        <w:t xml:space="preserve"> relative to 2017 levels, putting Aotearoa on track to meeting the biogenic methane target of reductions of at least 24%-47% </w:t>
      </w:r>
      <w:r w:rsidRPr="007A67B1">
        <w:rPr>
          <w:lang w:eastAsia="en-NZ"/>
        </w:rPr>
        <w:lastRenderedPageBreak/>
        <w:t>by 2050. If some of the more uncertain methane reducing technologies come to fruition, biogenic methane emissions could reduce further.</w:t>
      </w:r>
    </w:p>
    <w:p w14:paraId="7A36DDF7" w14:textId="46027DA9" w:rsidR="00212EBB" w:rsidRDefault="00D7492C" w:rsidP="00212EBB">
      <w:r>
        <w:t>Figure 4.4</w:t>
      </w:r>
      <w:r w:rsidR="00212EBB">
        <w:t xml:space="preserve"> shows that our path would achieve reductions in the use of coal, oil and gas that are consistent with the reductions seen in the IPCC’s global pathways. However, our path would fall short when comparing overall reductions in carbon dioxide emissions from energy and industrial processes. In part, this reflects</w:t>
      </w:r>
      <w:r w:rsidR="00212EBB" w:rsidDel="005A2187">
        <w:t xml:space="preserve"> </w:t>
      </w:r>
      <w:r w:rsidR="005A2187">
        <w:t xml:space="preserve">the country’s </w:t>
      </w:r>
      <w:r w:rsidR="00212EBB">
        <w:t>different energy profile compared with the world as a whole. Globally, coal power generation accounts for a much larger share of emissions and it is here the sharpest early reductions occur in the IPCC pathways. It also likely reflects significant deployment of carbon capture and storage occurring in the IPCC pathways.</w:t>
      </w:r>
    </w:p>
    <w:p w14:paraId="2B9827F3" w14:textId="77777777" w:rsidR="00212EBB" w:rsidRPr="007A67B1" w:rsidRDefault="00212EBB" w:rsidP="00180FE4">
      <w:pPr>
        <w:rPr>
          <w:lang w:eastAsia="en-NZ"/>
        </w:rPr>
      </w:pPr>
    </w:p>
    <w:p w14:paraId="4BD5EA21" w14:textId="77777777" w:rsidR="00180FE4" w:rsidRPr="007A67B1" w:rsidRDefault="00180FE4" w:rsidP="00180FE4">
      <w:pPr>
        <w:spacing w:after="0" w:line="240" w:lineRule="auto"/>
        <w:textAlignment w:val="baseline"/>
        <w:rPr>
          <w:rFonts w:ascii="Calibri" w:eastAsia="Times New Roman" w:hAnsi="Calibri" w:cs="Calibri"/>
          <w:color w:val="000000"/>
          <w:lang w:eastAsia="en-NZ"/>
        </w:rPr>
      </w:pPr>
    </w:p>
    <w:p w14:paraId="6883E0EF" w14:textId="77777777" w:rsidR="00180FE4" w:rsidRPr="007A67B1" w:rsidRDefault="00180FE4" w:rsidP="00180FE4">
      <w:pPr>
        <w:spacing w:after="0" w:line="240" w:lineRule="auto"/>
        <w:textAlignment w:val="baseline"/>
        <w:rPr>
          <w:rFonts w:ascii="Segoe UI" w:eastAsia="Times New Roman" w:hAnsi="Segoe UI" w:cs="Segoe UI"/>
          <w:color w:val="000000"/>
          <w:sz w:val="18"/>
          <w:szCs w:val="18"/>
          <w:lang w:eastAsia="en-NZ"/>
        </w:rPr>
      </w:pPr>
      <w:r w:rsidRPr="007A67B1">
        <w:rPr>
          <w:rFonts w:ascii="Times New Roman" w:eastAsia="Times New Roman" w:hAnsi="Times New Roman" w:cs="Times New Roman"/>
          <w:lang w:eastAsia="en-NZ"/>
        </w:rPr>
        <w:t> </w:t>
      </w:r>
    </w:p>
    <w:p w14:paraId="26590EB6" w14:textId="77777777" w:rsidR="00180FE4" w:rsidRPr="007A67B1" w:rsidRDefault="00180FE4" w:rsidP="00180FE4">
      <w:pPr>
        <w:rPr>
          <w:lang w:eastAsia="en-NZ"/>
        </w:rPr>
      </w:pPr>
    </w:p>
    <w:p w14:paraId="41962672" w14:textId="078FE5DB" w:rsidR="00180FE4" w:rsidRDefault="00180FE4" w:rsidP="00180FE4">
      <w:pPr>
        <w:rPr>
          <w:lang w:eastAsia="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
        <w:gridCol w:w="8687"/>
      </w:tblGrid>
      <w:tr w:rsidR="00403AE3" w14:paraId="69A1F2E9" w14:textId="77777777" w:rsidTr="060512C8">
        <w:trPr>
          <w:cantSplit/>
          <w:trHeight w:val="1134"/>
        </w:trPr>
        <w:tc>
          <w:tcPr>
            <w:tcW w:w="4587" w:type="dxa"/>
            <w:textDirection w:val="btLr"/>
          </w:tcPr>
          <w:p w14:paraId="7CD57412" w14:textId="1CD3409A" w:rsidR="00403AE3" w:rsidRDefault="00403AE3" w:rsidP="000D5F1E">
            <w:pPr>
              <w:spacing w:before="0" w:after="0"/>
              <w:ind w:left="113" w:right="113"/>
              <w:jc w:val="center"/>
              <w:rPr>
                <w:lang w:eastAsia="en-NZ"/>
              </w:rPr>
            </w:pPr>
            <w:r>
              <w:rPr>
                <w:lang w:eastAsia="en-NZ"/>
              </w:rPr>
              <w:lastRenderedPageBreak/>
              <w:t>Emissions</w:t>
            </w:r>
            <w:r w:rsidR="00167BF9">
              <w:rPr>
                <w:lang w:eastAsia="en-NZ"/>
              </w:rPr>
              <w:t xml:space="preserve"> or energy use</w:t>
            </w:r>
            <w:r>
              <w:rPr>
                <w:lang w:eastAsia="en-NZ"/>
              </w:rPr>
              <w:t xml:space="preserve"> indexed to 2010 levels</w:t>
            </w:r>
          </w:p>
        </w:tc>
        <w:tc>
          <w:tcPr>
            <w:tcW w:w="4587" w:type="dxa"/>
          </w:tcPr>
          <w:p w14:paraId="23D2D0D3" w14:textId="69B09EE0" w:rsidR="00403AE3" w:rsidRDefault="00E636BB" w:rsidP="000D5F1E">
            <w:pPr>
              <w:spacing w:before="0" w:after="0"/>
              <w:rPr>
                <w:lang w:eastAsia="en-NZ"/>
              </w:rPr>
            </w:pPr>
            <w:r>
              <w:t xml:space="preserve"> </w:t>
            </w:r>
            <w:r w:rsidR="2231F5FD">
              <w:rPr>
                <w:noProof/>
              </w:rPr>
              <w:drawing>
                <wp:inline distT="0" distB="0" distL="0" distR="0" wp14:anchorId="7252BDA2" wp14:editId="68C4184D">
                  <wp:extent cx="5381624" cy="7477126"/>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9">
                            <a:extLst>
                              <a:ext uri="{28A0092B-C50C-407E-A947-70E740481C1C}">
                                <a14:useLocalDpi xmlns:a14="http://schemas.microsoft.com/office/drawing/2010/main" val="0"/>
                              </a:ext>
                            </a:extLst>
                          </a:blip>
                          <a:stretch>
                            <a:fillRect/>
                          </a:stretch>
                        </pic:blipFill>
                        <pic:spPr>
                          <a:xfrm>
                            <a:off x="0" y="0"/>
                            <a:ext cx="5381624" cy="7477126"/>
                          </a:xfrm>
                          <a:prstGeom prst="rect">
                            <a:avLst/>
                          </a:prstGeom>
                        </pic:spPr>
                      </pic:pic>
                    </a:graphicData>
                  </a:graphic>
                </wp:inline>
              </w:drawing>
            </w:r>
          </w:p>
        </w:tc>
      </w:tr>
    </w:tbl>
    <w:p w14:paraId="384DC472" w14:textId="5840C250" w:rsidR="00180FE4" w:rsidRPr="00400204" w:rsidRDefault="00180FE4" w:rsidP="00630C1A">
      <w:pPr>
        <w:pStyle w:val="Caption"/>
      </w:pPr>
      <w:bookmarkStart w:id="157" w:name="_Ref56690697"/>
      <w:r w:rsidRPr="00400204">
        <w:t xml:space="preserve">Figure </w:t>
      </w:r>
      <w:r w:rsidR="00D7492C" w:rsidRPr="00400204">
        <w:t>4.4</w:t>
      </w:r>
      <w:r w:rsidRPr="00400204">
        <w:t>:</w:t>
      </w:r>
      <w:bookmarkEnd w:id="157"/>
      <w:r w:rsidRPr="00400204">
        <w:t xml:space="preserve"> How our path to 2035 aligns with the IPCC 1.5°C pathways. In these figures, the emissions over time are indexed to the emissions in 2010.</w:t>
      </w:r>
    </w:p>
    <w:p w14:paraId="6B3AD6B6" w14:textId="50338BBD" w:rsidR="00AA1AA3" w:rsidRPr="00AA1AA3" w:rsidRDefault="00AA1AA3" w:rsidP="00400204">
      <w:pPr>
        <w:spacing w:before="0"/>
        <w:jc w:val="right"/>
      </w:pPr>
      <w:r w:rsidRPr="00295A62">
        <w:t xml:space="preserve">Source: </w:t>
      </w:r>
      <w:r>
        <w:t>Commission analysis.</w:t>
      </w:r>
    </w:p>
    <w:p w14:paraId="1A762BDF" w14:textId="77777777" w:rsidR="00180FE4" w:rsidRPr="007A67B1" w:rsidRDefault="00180FE4" w:rsidP="00180FE4">
      <w:pPr>
        <w:rPr>
          <w:rFonts w:asciiTheme="majorHAnsi" w:eastAsiaTheme="majorEastAsia" w:hAnsiTheme="majorHAnsi" w:cstheme="majorBidi"/>
          <w:color w:val="2F5496" w:themeColor="accent1" w:themeShade="BF"/>
          <w:sz w:val="32"/>
          <w:szCs w:val="32"/>
        </w:rPr>
      </w:pPr>
      <w:r w:rsidRPr="007A67B1">
        <w:br w:type="page"/>
      </w:r>
    </w:p>
    <w:p w14:paraId="0FF633C2" w14:textId="77777777" w:rsidR="005B09C6" w:rsidRPr="007A67B1" w:rsidRDefault="005B09C6" w:rsidP="005B09C6">
      <w:pPr>
        <w:keepNext/>
        <w:keepLines/>
        <w:spacing w:after="0"/>
        <w:outlineLvl w:val="0"/>
        <w:rPr>
          <w:rFonts w:asciiTheme="majorHAnsi" w:eastAsiaTheme="majorEastAsia" w:hAnsiTheme="majorHAnsi" w:cstheme="majorBidi"/>
          <w:color w:val="2F5496" w:themeColor="accent1" w:themeShade="BF"/>
          <w:sz w:val="32"/>
          <w:szCs w:val="32"/>
        </w:rPr>
      </w:pPr>
      <w:bookmarkStart w:id="158" w:name="_Toc62650281"/>
      <w:bookmarkStart w:id="159" w:name="_Toc57818205"/>
      <w:bookmarkStart w:id="160" w:name="_Toc56404127"/>
      <w:bookmarkStart w:id="161" w:name="_Toc56409253"/>
      <w:bookmarkEnd w:id="73"/>
      <w:r w:rsidRPr="007A67B1">
        <w:rPr>
          <w:rFonts w:asciiTheme="majorHAnsi" w:eastAsiaTheme="majorEastAsia" w:hAnsiTheme="majorHAnsi" w:cstheme="majorBidi"/>
          <w:color w:val="2F5496" w:themeColor="accent1" w:themeShade="BF"/>
          <w:sz w:val="32"/>
          <w:szCs w:val="32"/>
        </w:rPr>
        <w:lastRenderedPageBreak/>
        <w:t>Chapter 5: The impacts of emissions budgets on New Zealanders</w:t>
      </w:r>
      <w:bookmarkEnd w:id="158"/>
      <w:r w:rsidRPr="007A67B1">
        <w:rPr>
          <w:rFonts w:asciiTheme="majorHAnsi" w:eastAsiaTheme="majorEastAsia" w:hAnsiTheme="majorHAnsi" w:cstheme="majorBidi"/>
          <w:color w:val="2F5496" w:themeColor="accent1" w:themeShade="BF"/>
          <w:sz w:val="32"/>
          <w:szCs w:val="32"/>
        </w:rPr>
        <w:t xml:space="preserve"> </w:t>
      </w:r>
    </w:p>
    <w:p w14:paraId="3BA6951F" w14:textId="700F2BEA" w:rsidR="002A372D" w:rsidRPr="00FC3FB2" w:rsidRDefault="00B73F17" w:rsidP="00FC3FB2">
      <w:pPr>
        <w:rPr>
          <w:rFonts w:asciiTheme="majorHAnsi" w:eastAsiaTheme="majorEastAsia" w:hAnsiTheme="majorHAnsi" w:cstheme="majorBidi"/>
          <w:color w:val="2F5496" w:themeColor="accent1" w:themeShade="BF"/>
          <w:sz w:val="32"/>
          <w:szCs w:val="32"/>
        </w:rPr>
      </w:pPr>
      <w:r>
        <w:t>When we look at</w:t>
      </w:r>
      <w:r w:rsidR="00EF4455">
        <w:t xml:space="preserve"> our proposed emission budgets and the policies to achieve them</w:t>
      </w:r>
      <w:r>
        <w:t xml:space="preserve">, we also need to consider how these </w:t>
      </w:r>
      <w:r w:rsidR="00EF4455">
        <w:t xml:space="preserve">impact </w:t>
      </w:r>
      <w:r w:rsidR="002A372D" w:rsidRPr="71AB2B91">
        <w:t>the people of Aotearoa</w:t>
      </w:r>
      <w:r>
        <w:t xml:space="preserve">. To do this we need to understand </w:t>
      </w:r>
      <w:r w:rsidR="002A372D" w:rsidRPr="71AB2B91">
        <w:t xml:space="preserve">that all things are connected: the people, the land, the atmosphere, the oceans. This connectivity – material and non-material – is central to </w:t>
      </w:r>
      <w:proofErr w:type="spellStart"/>
      <w:r w:rsidR="002A372D" w:rsidRPr="71AB2B91">
        <w:t>Te</w:t>
      </w:r>
      <w:proofErr w:type="spellEnd"/>
      <w:r w:rsidR="002A372D" w:rsidRPr="71AB2B91">
        <w:t xml:space="preserve"> </w:t>
      </w:r>
      <w:proofErr w:type="spellStart"/>
      <w:r w:rsidR="002A372D" w:rsidRPr="71AB2B91">
        <w:t>Ao</w:t>
      </w:r>
      <w:proofErr w:type="spellEnd"/>
      <w:r w:rsidR="002A372D" w:rsidRPr="71AB2B91">
        <w:t xml:space="preserve"> Māori, or the Māori world view.</w:t>
      </w:r>
    </w:p>
    <w:p w14:paraId="058B1230" w14:textId="507F6D24" w:rsidR="00861B4B" w:rsidRDefault="002A372D" w:rsidP="00861B4B">
      <w:r w:rsidRPr="71AB2B91">
        <w:t xml:space="preserve">It is also essential to understanding how to </w:t>
      </w:r>
      <w:r w:rsidR="00970E7D">
        <w:t xml:space="preserve">guide a transition that is fair and equitable for people and the environment. </w:t>
      </w:r>
      <w:r w:rsidR="00422C43">
        <w:t xml:space="preserve">The </w:t>
      </w:r>
      <w:r w:rsidR="00861B4B">
        <w:t xml:space="preserve">transition must reduce emissions with pace while </w:t>
      </w:r>
      <w:r w:rsidR="00861B4B" w:rsidRPr="006F5718">
        <w:t>allow</w:t>
      </w:r>
      <w:r w:rsidR="00861B4B">
        <w:t xml:space="preserve">ing the country </w:t>
      </w:r>
      <w:r w:rsidR="00861B4B" w:rsidRPr="006F5718">
        <w:t>to</w:t>
      </w:r>
      <w:r w:rsidR="00861B4B">
        <w:t xml:space="preserve"> </w:t>
      </w:r>
      <w:r w:rsidR="00861B4B" w:rsidRPr="006F5718">
        <w:t>continue</w:t>
      </w:r>
      <w:r w:rsidR="00861B4B">
        <w:t xml:space="preserve"> </w:t>
      </w:r>
      <w:r w:rsidR="00861B4B" w:rsidRPr="006F5718">
        <w:t>to</w:t>
      </w:r>
      <w:r w:rsidR="00861B4B">
        <w:t xml:space="preserve"> </w:t>
      </w:r>
      <w:r w:rsidR="00861B4B" w:rsidRPr="006F5718">
        <w:t>grow</w:t>
      </w:r>
      <w:r w:rsidR="00861B4B">
        <w:t xml:space="preserve"> </w:t>
      </w:r>
      <w:r w:rsidR="00861B4B" w:rsidRPr="006F5718">
        <w:t>so</w:t>
      </w:r>
      <w:r w:rsidR="00861B4B">
        <w:t xml:space="preserve"> </w:t>
      </w:r>
      <w:r w:rsidR="00861B4B" w:rsidRPr="006F5718">
        <w:t>that</w:t>
      </w:r>
      <w:r w:rsidR="00861B4B">
        <w:t xml:space="preserve"> </w:t>
      </w:r>
      <w:r w:rsidR="00861B4B" w:rsidRPr="006F5718">
        <w:t>future</w:t>
      </w:r>
      <w:r w:rsidR="00861B4B">
        <w:t xml:space="preserve"> </w:t>
      </w:r>
      <w:r w:rsidR="00861B4B" w:rsidRPr="006F5718">
        <w:t>generations</w:t>
      </w:r>
      <w:r w:rsidR="00861B4B">
        <w:t xml:space="preserve"> </w:t>
      </w:r>
      <w:r w:rsidR="00861B4B" w:rsidRPr="006F5718">
        <w:t>inherit</w:t>
      </w:r>
      <w:r w:rsidR="00861B4B">
        <w:t xml:space="preserve"> </w:t>
      </w:r>
      <w:r w:rsidR="00861B4B" w:rsidRPr="006F5718">
        <w:t>a</w:t>
      </w:r>
      <w:r w:rsidR="00861B4B">
        <w:t xml:space="preserve"> </w:t>
      </w:r>
      <w:r w:rsidR="00861B4B" w:rsidRPr="006F5718">
        <w:t>thriving</w:t>
      </w:r>
      <w:r w:rsidR="00861B4B">
        <w:t>,</w:t>
      </w:r>
      <w:r w:rsidR="00422C43">
        <w:t xml:space="preserve"> climate-resilient and</w:t>
      </w:r>
      <w:r w:rsidR="00861B4B">
        <w:t xml:space="preserve"> low emissions </w:t>
      </w:r>
      <w:r w:rsidR="00422C43">
        <w:t>Aotearoa</w:t>
      </w:r>
      <w:r w:rsidR="00861B4B" w:rsidRPr="006F5718">
        <w:t>.</w:t>
      </w:r>
    </w:p>
    <w:p w14:paraId="1381B16A" w14:textId="438ACBEE" w:rsidR="003D00FC" w:rsidRDefault="002A372D" w:rsidP="00FC3FB2">
      <w:r w:rsidRPr="71AB2B91">
        <w:t xml:space="preserve">This chapter considers </w:t>
      </w:r>
      <w:r>
        <w:t xml:space="preserve">the </w:t>
      </w:r>
      <w:r w:rsidR="74A0C2FC">
        <w:t>impacts of</w:t>
      </w:r>
      <w:r w:rsidRPr="71AB2B91">
        <w:t xml:space="preserve"> meeting our proposed emissions budgets</w:t>
      </w:r>
      <w:r>
        <w:t xml:space="preserve"> </w:t>
      </w:r>
      <w:r w:rsidR="6AEA165C">
        <w:t>and what actions can be taken to manage these impacts</w:t>
      </w:r>
      <w:r w:rsidR="274088C8">
        <w:t xml:space="preserve">. </w:t>
      </w:r>
      <w:r w:rsidR="2449FC49" w:rsidDel="00B73F17">
        <w:t xml:space="preserve">It </w:t>
      </w:r>
      <w:r w:rsidR="098987E0" w:rsidDel="00B73F17">
        <w:t>looks</w:t>
      </w:r>
      <w:r w:rsidR="098987E0">
        <w:t xml:space="preserve"> </w:t>
      </w:r>
      <w:r w:rsidR="7DAF55E3">
        <w:t>at households</w:t>
      </w:r>
      <w:r w:rsidR="00587C6A">
        <w:t xml:space="preserve"> and communities,</w:t>
      </w:r>
      <w:r w:rsidRPr="71AB2B91">
        <w:t xml:space="preserve"> how Aotearoa earns its way in the world, </w:t>
      </w:r>
      <w:r w:rsidR="00587C6A">
        <w:t>businesses</w:t>
      </w:r>
      <w:r w:rsidR="00EA3470">
        <w:t>,</w:t>
      </w:r>
      <w:r w:rsidR="00587C6A">
        <w:t xml:space="preserve"> industry</w:t>
      </w:r>
      <w:r w:rsidR="00EA3470">
        <w:t xml:space="preserve"> and</w:t>
      </w:r>
      <w:r w:rsidR="00587C6A">
        <w:t xml:space="preserve"> workers</w:t>
      </w:r>
      <w:r w:rsidR="00EA3470">
        <w:t>. It outlines impacts and mitigation</w:t>
      </w:r>
      <w:r w:rsidR="00587C6A">
        <w:t xml:space="preserve"> </w:t>
      </w:r>
      <w:r w:rsidR="001219A0">
        <w:t>for</w:t>
      </w:r>
      <w:r w:rsidR="00587C6A">
        <w:t xml:space="preserve"> iwi/M</w:t>
      </w:r>
      <w:r w:rsidR="00587C6A" w:rsidRPr="141831BE">
        <w:t>ā</w:t>
      </w:r>
      <w:r w:rsidR="00587C6A">
        <w:t>ori,</w:t>
      </w:r>
      <w:r w:rsidR="003D11AD">
        <w:t xml:space="preserve"> </w:t>
      </w:r>
      <w:r w:rsidR="00516AD7">
        <w:t>land use,</w:t>
      </w:r>
      <w:r w:rsidRPr="71AB2B91">
        <w:t xml:space="preserve"> the environment, </w:t>
      </w:r>
      <w:r>
        <w:t xml:space="preserve">and </w:t>
      </w:r>
      <w:r w:rsidR="00F52AAB">
        <w:t>g</w:t>
      </w:r>
      <w:r w:rsidR="00516AD7">
        <w:t>overnment taxation and spending</w:t>
      </w:r>
      <w:r w:rsidRPr="71AB2B91">
        <w:t>.</w:t>
      </w:r>
      <w:r w:rsidR="006A4E89">
        <w:t xml:space="preserve"> </w:t>
      </w:r>
    </w:p>
    <w:p w14:paraId="09E518D6" w14:textId="70F2B2C3" w:rsidR="003D00FC" w:rsidDel="002A372D" w:rsidRDefault="004256B6" w:rsidP="002C19B6">
      <w:pPr>
        <w:pStyle w:val="Heading2"/>
      </w:pPr>
      <w:bookmarkStart w:id="162" w:name="_Toc62650282"/>
      <w:r>
        <w:t xml:space="preserve">5.1 </w:t>
      </w:r>
      <w:r w:rsidR="002C19B6">
        <w:t>Looking at the opportunities – and the challenges</w:t>
      </w:r>
      <w:bookmarkEnd w:id="162"/>
    </w:p>
    <w:p w14:paraId="3AFF1CEC" w14:textId="3EBE38BC" w:rsidR="00155EE5" w:rsidRDefault="002A372D" w:rsidP="00126232">
      <w:r w:rsidRPr="71AB2B91">
        <w:t xml:space="preserve">The transition </w:t>
      </w:r>
      <w:r w:rsidR="005D781A">
        <w:t xml:space="preserve">to a </w:t>
      </w:r>
      <w:r w:rsidR="005D781A" w:rsidRPr="71AB2B91">
        <w:t>thriving, climate-resilient</w:t>
      </w:r>
      <w:r w:rsidR="00422C43">
        <w:t xml:space="preserve"> and</w:t>
      </w:r>
      <w:r w:rsidR="005D781A" w:rsidRPr="71AB2B91">
        <w:t xml:space="preserve"> low emissions Aotearoa</w:t>
      </w:r>
      <w:r w:rsidR="005D781A">
        <w:t xml:space="preserve"> </w:t>
      </w:r>
      <w:r w:rsidRPr="71AB2B91">
        <w:t xml:space="preserve">will bring a mix of opportunities, benefits, challenges and inevitable costs. </w:t>
      </w:r>
      <w:r w:rsidR="00617C05" w:rsidRPr="71AB2B91">
        <w:t xml:space="preserve">Aotearoa has the opportunity to transition in a way that considers the broader wellbeing of people, the land, and the environment, both now and in the future. </w:t>
      </w:r>
    </w:p>
    <w:p w14:paraId="1F1153B6" w14:textId="3DF8CCDD" w:rsidR="00126232" w:rsidRDefault="00A57704" w:rsidP="00126232">
      <w:r>
        <w:t>The</w:t>
      </w:r>
      <w:r w:rsidR="002A372D" w:rsidRPr="00F001C0">
        <w:t xml:space="preserve"> transition needs </w:t>
      </w:r>
      <w:r w:rsidR="00322F80" w:rsidRPr="000C676A">
        <w:t xml:space="preserve">to </w:t>
      </w:r>
      <w:r w:rsidR="00B52121" w:rsidRPr="000C676A">
        <w:t xml:space="preserve">be </w:t>
      </w:r>
      <w:r w:rsidR="00D84817">
        <w:t>both</w:t>
      </w:r>
      <w:r w:rsidR="003F2045" w:rsidRPr="000C676A">
        <w:t xml:space="preserve"> accelerated</w:t>
      </w:r>
      <w:r w:rsidR="00B52121" w:rsidRPr="008901DC">
        <w:t xml:space="preserve"> and </w:t>
      </w:r>
      <w:r w:rsidR="004C54CC" w:rsidRPr="008901DC">
        <w:t xml:space="preserve">predictable. </w:t>
      </w:r>
      <w:r w:rsidR="00535273" w:rsidRPr="00F001C0">
        <w:t>Acting too hastily will result in abrupt and disruptive changes akin to the changes many New Zealanders experienced from the economic reforms in the 1980s.</w:t>
      </w:r>
      <w:r w:rsidR="00060BA7" w:rsidRPr="00F001C0">
        <w:t xml:space="preserve"> </w:t>
      </w:r>
      <w:r w:rsidR="00126232" w:rsidRPr="000C676A">
        <w:t>Delaying action carries the risk of a sharper and more disruptive transition</w:t>
      </w:r>
      <w:r w:rsidR="003F2045" w:rsidRPr="000C676A">
        <w:t xml:space="preserve"> later</w:t>
      </w:r>
      <w:r w:rsidR="00126232" w:rsidRPr="000C676A">
        <w:t xml:space="preserve">, </w:t>
      </w:r>
      <w:r w:rsidR="00126232" w:rsidRPr="008901DC">
        <w:t>locking in emissions intensive infrast</w:t>
      </w:r>
      <w:r w:rsidR="00126232" w:rsidRPr="00E62BCF">
        <w:t>ruct</w:t>
      </w:r>
      <w:r w:rsidR="00126232" w:rsidRPr="0052458F">
        <w:t xml:space="preserve">ure that </w:t>
      </w:r>
      <w:r w:rsidR="00AC0CAC">
        <w:t xml:space="preserve">could </w:t>
      </w:r>
      <w:r w:rsidR="00126232" w:rsidRPr="0052458F">
        <w:t>becom</w:t>
      </w:r>
      <w:r w:rsidR="00AC0CAC">
        <w:t>e</w:t>
      </w:r>
      <w:r w:rsidR="00126232" w:rsidRPr="00155EE5">
        <w:t xml:space="preserve"> stranded</w:t>
      </w:r>
      <w:r w:rsidR="00A621D7" w:rsidRPr="00155EE5">
        <w:t xml:space="preserve"> and </w:t>
      </w:r>
      <w:r w:rsidR="00AC0CAC">
        <w:t>contribute</w:t>
      </w:r>
      <w:r w:rsidR="003F2045" w:rsidRPr="00155EE5">
        <w:t xml:space="preserve"> to more severe climate change.</w:t>
      </w:r>
      <w:r w:rsidR="00126232" w:rsidRPr="00F001C0">
        <w:t xml:space="preserve"> </w:t>
      </w:r>
    </w:p>
    <w:p w14:paraId="13049779" w14:textId="77E78783" w:rsidR="00155EE5" w:rsidRDefault="00422C43" w:rsidP="00155EE5">
      <w:r>
        <w:t xml:space="preserve">The </w:t>
      </w:r>
      <w:r w:rsidR="00155EE5">
        <w:t xml:space="preserve">transition must reduce emissions with pace while </w:t>
      </w:r>
      <w:r w:rsidR="00155EE5" w:rsidRPr="006F5718">
        <w:t>allow</w:t>
      </w:r>
      <w:r w:rsidR="00155EE5">
        <w:t xml:space="preserve">ing the country </w:t>
      </w:r>
      <w:r w:rsidR="00155EE5" w:rsidRPr="006F5718">
        <w:t>to</w:t>
      </w:r>
      <w:r w:rsidR="00155EE5">
        <w:t xml:space="preserve"> </w:t>
      </w:r>
      <w:r w:rsidR="00155EE5" w:rsidRPr="006F5718">
        <w:t>continue</w:t>
      </w:r>
      <w:r w:rsidR="00155EE5">
        <w:t xml:space="preserve"> </w:t>
      </w:r>
      <w:r w:rsidR="00155EE5" w:rsidRPr="006F5718">
        <w:t>to</w:t>
      </w:r>
      <w:r w:rsidR="00155EE5">
        <w:t xml:space="preserve"> </w:t>
      </w:r>
      <w:r w:rsidR="00155EE5" w:rsidRPr="006F5718">
        <w:t>grow</w:t>
      </w:r>
      <w:r w:rsidR="00155EE5">
        <w:t xml:space="preserve"> </w:t>
      </w:r>
      <w:r w:rsidR="00155EE5" w:rsidRPr="006F5718">
        <w:t>so</w:t>
      </w:r>
      <w:r w:rsidR="00155EE5">
        <w:t xml:space="preserve"> </w:t>
      </w:r>
      <w:r w:rsidR="00155EE5" w:rsidRPr="006F5718">
        <w:t>that</w:t>
      </w:r>
      <w:r w:rsidR="00155EE5">
        <w:t xml:space="preserve"> </w:t>
      </w:r>
      <w:r w:rsidR="00155EE5" w:rsidRPr="006F5718">
        <w:t>future</w:t>
      </w:r>
      <w:r w:rsidR="00155EE5">
        <w:t xml:space="preserve"> </w:t>
      </w:r>
      <w:r w:rsidR="00155EE5" w:rsidRPr="006F5718">
        <w:t>generations</w:t>
      </w:r>
      <w:r w:rsidR="00155EE5">
        <w:t xml:space="preserve"> </w:t>
      </w:r>
      <w:r w:rsidR="00155EE5" w:rsidRPr="006F5718">
        <w:t>inherit</w:t>
      </w:r>
      <w:r w:rsidR="00155EE5">
        <w:t xml:space="preserve"> </w:t>
      </w:r>
      <w:r w:rsidR="00155EE5" w:rsidRPr="006F5718">
        <w:t>a</w:t>
      </w:r>
      <w:r w:rsidR="00155EE5">
        <w:t xml:space="preserve"> </w:t>
      </w:r>
      <w:r w:rsidR="00155EE5" w:rsidRPr="006F5718">
        <w:t>thriving</w:t>
      </w:r>
      <w:r w:rsidR="00155EE5">
        <w:t xml:space="preserve">, </w:t>
      </w:r>
      <w:r>
        <w:t xml:space="preserve">climate-resilient and </w:t>
      </w:r>
      <w:r w:rsidR="00155EE5">
        <w:t xml:space="preserve">low emissions </w:t>
      </w:r>
      <w:r>
        <w:t>Aotearoa</w:t>
      </w:r>
      <w:r w:rsidR="00155EE5" w:rsidRPr="006F5718">
        <w:t>.</w:t>
      </w:r>
    </w:p>
    <w:p w14:paraId="227A1BBD" w14:textId="6443A9D8" w:rsidR="009605C6" w:rsidRPr="009B3781" w:rsidRDefault="00B059B5" w:rsidP="009605C6">
      <w:pPr>
        <w:rPr>
          <w:color w:val="000000"/>
        </w:rPr>
      </w:pPr>
      <w:r>
        <w:t xml:space="preserve">A lack of global action to reduce emissions or taking an approach that solely </w:t>
      </w:r>
      <w:r w:rsidR="008854AD">
        <w:t>focus</w:t>
      </w:r>
      <w:r>
        <w:t xml:space="preserve">es on adaptation will cause more severe climate change in every country. </w:t>
      </w:r>
    </w:p>
    <w:p w14:paraId="720188F8" w14:textId="77777777" w:rsidR="00ED1B52" w:rsidRPr="00C337E2" w:rsidRDefault="00ED1B52" w:rsidP="00ED1B52">
      <w:r w:rsidRPr="71AB2B91">
        <w:t>We have heard consistently through our engagement that working alongside people to maximise the benefits and reduce the negative impacts will be vital. Placing tikanga values at the forefront of the transition will ensure it is inclusive, equitable, and improves the wellbeing of everyone that lives here now – and in the future.</w:t>
      </w:r>
    </w:p>
    <w:p w14:paraId="1EB1473A" w14:textId="278A3879" w:rsidR="002A372D" w:rsidRDefault="002A372D" w:rsidP="00FC3FB2">
      <w:pPr>
        <w:rPr>
          <w:rFonts w:ascii="Calibri" w:hAnsi="Calibri" w:cs="Calibri"/>
          <w:color w:val="000000" w:themeColor="text1"/>
        </w:rPr>
      </w:pPr>
      <w:r w:rsidRPr="71AB2B91">
        <w:t xml:space="preserve">In our work we have not attempted to sum up the positive and negative impacts of the transition. Instead, we have addressed each potential impact in turn, considering where impacts could compound </w:t>
      </w:r>
      <w:r>
        <w:t>on</w:t>
      </w:r>
      <w:r w:rsidRPr="71AB2B91">
        <w:t xml:space="preserve"> </w:t>
      </w:r>
      <w:r w:rsidR="009605C6">
        <w:t>particular</w:t>
      </w:r>
      <w:r w:rsidR="009605C6" w:rsidRPr="71AB2B91">
        <w:t xml:space="preserve"> </w:t>
      </w:r>
      <w:r w:rsidRPr="71AB2B91">
        <w:t>groups</w:t>
      </w:r>
      <w:r w:rsidR="009605C6">
        <w:t xml:space="preserve"> of society</w:t>
      </w:r>
      <w:r w:rsidRPr="71AB2B91">
        <w:t xml:space="preserve"> and how any negative impacts could be managed. This is summarised in the following</w:t>
      </w:r>
      <w:r w:rsidR="009605C6">
        <w:t xml:space="preserve"> sections</w:t>
      </w:r>
      <w:r w:rsidRPr="71AB2B91">
        <w:t>.</w:t>
      </w:r>
      <w:r w:rsidR="009605C6">
        <w:t xml:space="preserve"> More detail can be found in </w:t>
      </w:r>
      <w:r w:rsidR="009605C6" w:rsidRPr="001609B2">
        <w:t xml:space="preserve">chapters </w:t>
      </w:r>
      <w:r w:rsidR="00CC66F2" w:rsidRPr="001609B2">
        <w:t>11</w:t>
      </w:r>
      <w:r w:rsidR="0097300D" w:rsidRPr="001609B2">
        <w:t xml:space="preserve"> – </w:t>
      </w:r>
      <w:r w:rsidR="00CC66F2" w:rsidRPr="001609B2">
        <w:t>1</w:t>
      </w:r>
      <w:r w:rsidR="00930CD2" w:rsidRPr="001609B2">
        <w:t>5</w:t>
      </w:r>
      <w:r w:rsidR="0097300D" w:rsidRPr="001609B2">
        <w:t xml:space="preserve"> of the Evidence Report</w:t>
      </w:r>
      <w:r w:rsidRPr="001609B2">
        <w:t>.</w:t>
      </w:r>
      <w:r w:rsidRPr="71AB2B91">
        <w:rPr>
          <w:rFonts w:ascii="Calibri" w:hAnsi="Calibri" w:cs="Calibri"/>
          <w:color w:val="000000" w:themeColor="text1"/>
        </w:rPr>
        <w:t xml:space="preserve"> </w:t>
      </w:r>
    </w:p>
    <w:p w14:paraId="31DF363E" w14:textId="77777777" w:rsidR="00D21B0D" w:rsidRDefault="00D21B0D" w:rsidP="00FC3FB2">
      <w:pPr>
        <w:rPr>
          <w:rFonts w:ascii="Calibri" w:hAnsi="Calibri" w:cs="Calibri"/>
          <w:color w:val="000000"/>
        </w:rPr>
      </w:pPr>
    </w:p>
    <w:p w14:paraId="12064C19" w14:textId="492DAB0C" w:rsidR="002A372D" w:rsidRPr="00083683" w:rsidRDefault="004256B6" w:rsidP="00FC3FB2">
      <w:pPr>
        <w:pStyle w:val="Heading2"/>
        <w:rPr>
          <w:rFonts w:ascii="Calibri" w:hAnsi="Calibri" w:cs="Calibri"/>
          <w:b/>
          <w:color w:val="000000"/>
          <w:sz w:val="28"/>
          <w:szCs w:val="28"/>
        </w:rPr>
      </w:pPr>
      <w:bookmarkStart w:id="163" w:name="_Toc62650283"/>
      <w:r>
        <w:lastRenderedPageBreak/>
        <w:t xml:space="preserve">5.2 </w:t>
      </w:r>
      <w:r w:rsidR="002A372D" w:rsidRPr="00083683">
        <w:t xml:space="preserve">How </w:t>
      </w:r>
      <w:r w:rsidR="00020A5F" w:rsidRPr="00F001C0">
        <w:t xml:space="preserve">Aotearoa </w:t>
      </w:r>
      <w:r w:rsidR="002A372D" w:rsidRPr="00F001C0">
        <w:t>create</w:t>
      </w:r>
      <w:r w:rsidR="00020A5F" w:rsidRPr="00F001C0">
        <w:t>s</w:t>
      </w:r>
      <w:r w:rsidR="002A372D" w:rsidRPr="00083683">
        <w:t xml:space="preserve"> a fair, equitable transition for people</w:t>
      </w:r>
      <w:bookmarkEnd w:id="163"/>
    </w:p>
    <w:p w14:paraId="7056A5AF" w14:textId="77777777" w:rsidR="00BF6875" w:rsidRPr="00BF6875" w:rsidRDefault="00BF6875" w:rsidP="00BF6875">
      <w:r w:rsidRPr="00BF6875">
        <w:t>In line with our principles in chapter 2, creating a fair, equitable and inclusive transition means: </w:t>
      </w:r>
      <w:r w:rsidRPr="00BF6875">
        <w:rPr>
          <w:lang w:val="en-US"/>
        </w:rPr>
        <w:t>​</w:t>
      </w:r>
    </w:p>
    <w:p w14:paraId="471F1DE4" w14:textId="130AE813" w:rsidR="00BF6875" w:rsidRPr="00BF6875" w:rsidRDefault="00BF6875" w:rsidP="00655722">
      <w:pPr>
        <w:numPr>
          <w:ilvl w:val="0"/>
          <w:numId w:val="48"/>
        </w:numPr>
        <w:spacing w:before="120"/>
        <w:ind w:left="714" w:hanging="357"/>
      </w:pPr>
      <w:proofErr w:type="spellStart"/>
      <w:r w:rsidRPr="00BF6875">
        <w:rPr>
          <w:lang w:val="en-US"/>
        </w:rPr>
        <w:t>Honouring</w:t>
      </w:r>
      <w:proofErr w:type="spellEnd"/>
      <w:r w:rsidRPr="00BF6875">
        <w:rPr>
          <w:lang w:val="en-US"/>
        </w:rPr>
        <w:t xml:space="preserve"> the principles of </w:t>
      </w:r>
      <w:proofErr w:type="spellStart"/>
      <w:r w:rsidRPr="00BF6875">
        <w:rPr>
          <w:lang w:val="en-US"/>
        </w:rPr>
        <w:t>Te</w:t>
      </w:r>
      <w:proofErr w:type="spellEnd"/>
      <w:r w:rsidRPr="00BF6875">
        <w:rPr>
          <w:lang w:val="en-US"/>
        </w:rPr>
        <w:t xml:space="preserve"> </w:t>
      </w:r>
      <w:proofErr w:type="spellStart"/>
      <w:r w:rsidRPr="00BF6875">
        <w:rPr>
          <w:lang w:val="en-US"/>
        </w:rPr>
        <w:t>Tiriti</w:t>
      </w:r>
      <w:proofErr w:type="spellEnd"/>
      <w:r w:rsidRPr="00BF6875">
        <w:rPr>
          <w:lang w:val="en-US"/>
        </w:rPr>
        <w:t xml:space="preserve"> o Waitangi</w:t>
      </w:r>
      <w:r>
        <w:rPr>
          <w:lang w:val="en-US"/>
        </w:rPr>
        <w:t>.</w:t>
      </w:r>
    </w:p>
    <w:p w14:paraId="0FCA7C49" w14:textId="2C947DF7" w:rsidR="00BF6875" w:rsidRPr="00BF6875" w:rsidRDefault="004205A0" w:rsidP="00655722">
      <w:pPr>
        <w:numPr>
          <w:ilvl w:val="0"/>
          <w:numId w:val="48"/>
        </w:numPr>
        <w:spacing w:before="120"/>
        <w:ind w:left="714" w:hanging="357"/>
      </w:pPr>
      <w:r>
        <w:t>Working collaboratively and inclusively when planning the transition and developing and implementing p</w:t>
      </w:r>
      <w:r w:rsidR="00BF6875" w:rsidRPr="00BF6875">
        <w:t>olicy, in line with </w:t>
      </w:r>
      <w:proofErr w:type="spellStart"/>
      <w:r w:rsidR="00BF6875" w:rsidRPr="00BF6875">
        <w:t>kotahitanga</w:t>
      </w:r>
      <w:proofErr w:type="spellEnd"/>
      <w:r w:rsidR="00BF6875" w:rsidRPr="00BF6875">
        <w:t> and tikanga</w:t>
      </w:r>
      <w:r w:rsidR="00BF6875" w:rsidRPr="00BF6875">
        <w:rPr>
          <w:lang w:val="en-US"/>
        </w:rPr>
        <w:t>​</w:t>
      </w:r>
      <w:r w:rsidR="00BF6875">
        <w:rPr>
          <w:lang w:val="en-US"/>
        </w:rPr>
        <w:t>.</w:t>
      </w:r>
    </w:p>
    <w:p w14:paraId="660EC8CB" w14:textId="7AC18333" w:rsidR="00BF6875" w:rsidRPr="00BF6875" w:rsidRDefault="00BF6875" w:rsidP="00655722">
      <w:pPr>
        <w:numPr>
          <w:ilvl w:val="0"/>
          <w:numId w:val="48"/>
        </w:numPr>
        <w:spacing w:before="120"/>
        <w:ind w:left="714" w:hanging="357"/>
      </w:pPr>
      <w:r w:rsidRPr="00BF6875">
        <w:rPr>
          <w:lang w:val="en-US"/>
        </w:rPr>
        <w:t xml:space="preserve">Ensuring </w:t>
      </w:r>
      <w:r w:rsidR="005A2187">
        <w:rPr>
          <w:lang w:val="en-US"/>
        </w:rPr>
        <w:t xml:space="preserve">the </w:t>
      </w:r>
      <w:r w:rsidR="004A6C54">
        <w:rPr>
          <w:lang w:val="en-US"/>
        </w:rPr>
        <w:t xml:space="preserve">low emissions </w:t>
      </w:r>
      <w:r w:rsidRPr="00BF6875">
        <w:rPr>
          <w:lang w:val="en-US"/>
        </w:rPr>
        <w:t>transition takes opportunities to reduce inequalities, builds strong communities, and meets the needs of current and future generations​ over time</w:t>
      </w:r>
      <w:r w:rsidR="00BB2325">
        <w:rPr>
          <w:lang w:val="en-US"/>
        </w:rPr>
        <w:t>.</w:t>
      </w:r>
    </w:p>
    <w:p w14:paraId="603A1080" w14:textId="7F1A1A72" w:rsidR="00BF6875" w:rsidRPr="00BF6875" w:rsidRDefault="00BF6875" w:rsidP="00655722">
      <w:pPr>
        <w:numPr>
          <w:ilvl w:val="0"/>
          <w:numId w:val="48"/>
        </w:numPr>
        <w:spacing w:before="120"/>
        <w:ind w:left="714" w:hanging="357"/>
      </w:pPr>
      <w:proofErr w:type="spellStart"/>
      <w:r w:rsidRPr="00BF6875">
        <w:rPr>
          <w:lang w:val="en-US"/>
        </w:rPr>
        <w:t>Prioritising</w:t>
      </w:r>
      <w:proofErr w:type="spellEnd"/>
      <w:r w:rsidRPr="00BF6875">
        <w:rPr>
          <w:lang w:val="en-US"/>
        </w:rPr>
        <w:t xml:space="preserve"> support to those most adversely impacted and least able to adjust</w:t>
      </w:r>
      <w:r w:rsidR="00BB2325">
        <w:rPr>
          <w:lang w:val="en-US"/>
        </w:rPr>
        <w:t>.</w:t>
      </w:r>
    </w:p>
    <w:p w14:paraId="2E97E8E6" w14:textId="22F1145F" w:rsidR="00BF6875" w:rsidRPr="00BF6875" w:rsidRDefault="00BF6875" w:rsidP="00655722">
      <w:pPr>
        <w:numPr>
          <w:ilvl w:val="0"/>
          <w:numId w:val="48"/>
        </w:numPr>
        <w:spacing w:before="120"/>
        <w:ind w:left="714" w:hanging="357"/>
      </w:pPr>
      <w:r w:rsidRPr="00BF6875">
        <w:rPr>
          <w:lang w:val="en-US"/>
        </w:rPr>
        <w:t xml:space="preserve">Sending clear and stable policy signals to provide </w:t>
      </w:r>
      <w:r w:rsidR="00756E44">
        <w:rPr>
          <w:lang w:val="en-US"/>
        </w:rPr>
        <w:t xml:space="preserve">predictability for </w:t>
      </w:r>
      <w:r w:rsidRPr="00BF6875">
        <w:rPr>
          <w:lang w:val="en-US"/>
        </w:rPr>
        <w:t>communities and businesses, and allow time to plan​ and respond</w:t>
      </w:r>
      <w:r w:rsidR="00BB2325">
        <w:rPr>
          <w:lang w:val="en-US"/>
        </w:rPr>
        <w:t>.</w:t>
      </w:r>
    </w:p>
    <w:p w14:paraId="14CE96B3" w14:textId="732C7F7F" w:rsidR="00BF6875" w:rsidRPr="00BF6875" w:rsidRDefault="00BF6875" w:rsidP="00655722">
      <w:pPr>
        <w:numPr>
          <w:ilvl w:val="0"/>
          <w:numId w:val="48"/>
        </w:numPr>
        <w:spacing w:before="120"/>
        <w:ind w:left="714" w:hanging="357"/>
      </w:pPr>
      <w:r w:rsidRPr="00BF6875">
        <w:rPr>
          <w:lang w:val="en-US"/>
        </w:rPr>
        <w:t>Investing in people</w:t>
      </w:r>
      <w:r w:rsidR="004205A0">
        <w:rPr>
          <w:lang w:val="en-US"/>
        </w:rPr>
        <w:t>, their</w:t>
      </w:r>
      <w:r w:rsidRPr="00BF6875">
        <w:rPr>
          <w:lang w:val="en-US"/>
        </w:rPr>
        <w:t xml:space="preserve"> skills, and providing opportunities for transitioning to viable work​ that is environmentally and socially sustainable</w:t>
      </w:r>
      <w:r w:rsidR="00581DDE">
        <w:rPr>
          <w:lang w:val="en-US"/>
        </w:rPr>
        <w:t>.</w:t>
      </w:r>
    </w:p>
    <w:p w14:paraId="54780E05" w14:textId="59A656BB" w:rsidR="00BF6875" w:rsidRPr="00BF6875" w:rsidRDefault="00BF6875" w:rsidP="00655722">
      <w:pPr>
        <w:numPr>
          <w:ilvl w:val="0"/>
          <w:numId w:val="48"/>
        </w:numPr>
        <w:spacing w:before="120"/>
        <w:ind w:left="714" w:hanging="357"/>
      </w:pPr>
      <w:r w:rsidRPr="00BF6875">
        <w:rPr>
          <w:lang w:val="en-US"/>
        </w:rPr>
        <w:t>Acting now to ensure a thriving, productive and climate-resilient economy</w:t>
      </w:r>
      <w:r w:rsidR="00581DDE">
        <w:rPr>
          <w:lang w:val="en-US"/>
        </w:rPr>
        <w:t>.</w:t>
      </w:r>
    </w:p>
    <w:p w14:paraId="22BA2A4F" w14:textId="1EEC4BB1" w:rsidR="002A372D" w:rsidRDefault="002A372D" w:rsidP="00FC3FB2">
      <w:pPr>
        <w:rPr>
          <w:color w:val="000000"/>
        </w:rPr>
      </w:pPr>
      <w:proofErr w:type="spellStart"/>
      <w:r w:rsidRPr="71AB2B91">
        <w:t>Te</w:t>
      </w:r>
      <w:proofErr w:type="spellEnd"/>
      <w:r w:rsidRPr="71AB2B91">
        <w:t xml:space="preserve"> </w:t>
      </w:r>
      <w:proofErr w:type="spellStart"/>
      <w:r w:rsidRPr="71AB2B91">
        <w:t>Ao</w:t>
      </w:r>
      <w:proofErr w:type="spellEnd"/>
      <w:r w:rsidRPr="71AB2B91">
        <w:t xml:space="preserve"> Māori recognises the need to consider the connectedness of all things including the past, present and future. In considering how </w:t>
      </w:r>
      <w:r w:rsidR="0094753D">
        <w:t>our people</w:t>
      </w:r>
      <w:r w:rsidRPr="71AB2B91">
        <w:t xml:space="preserve"> would be impacted by the climate transition, we must consider where we have come from, as well as the wellbeing of current and future generations.</w:t>
      </w:r>
      <w:r w:rsidR="001D313D">
        <w:t xml:space="preserve"> </w:t>
      </w:r>
    </w:p>
    <w:p w14:paraId="65AB1E04" w14:textId="2F1C72C2" w:rsidR="009025F4" w:rsidRDefault="002A372D" w:rsidP="00FC3FB2">
      <w:r w:rsidRPr="71AB2B91">
        <w:t xml:space="preserve">Intergenerational equity is reflected in He Ara </w:t>
      </w:r>
      <w:proofErr w:type="spellStart"/>
      <w:r w:rsidRPr="71AB2B91">
        <w:t>Waiora</w:t>
      </w:r>
      <w:proofErr w:type="spellEnd"/>
      <w:r w:rsidR="00053B84">
        <w:t xml:space="preserve">, </w:t>
      </w:r>
      <w:r w:rsidR="00B833AD">
        <w:t xml:space="preserve">part of </w:t>
      </w:r>
      <w:r w:rsidR="00053B84">
        <w:t>the Government’s wellbeing framework</w:t>
      </w:r>
      <w:r w:rsidR="0098683A">
        <w:t>,</w:t>
      </w:r>
      <w:r w:rsidRPr="71AB2B91">
        <w:t xml:space="preserve"> through the dimensions of wellbeing (</w:t>
      </w:r>
      <w:r w:rsidR="000E026A">
        <w:t>‘</w:t>
      </w:r>
      <w:r w:rsidRPr="71AB2B91">
        <w:t>ends</w:t>
      </w:r>
      <w:r w:rsidR="000E026A">
        <w:t>’</w:t>
      </w:r>
      <w:r w:rsidRPr="71AB2B91">
        <w:t>) and the tikanga (</w:t>
      </w:r>
      <w:r w:rsidR="000E026A">
        <w:t>‘</w:t>
      </w:r>
      <w:r w:rsidRPr="71AB2B91">
        <w:t>means</w:t>
      </w:r>
      <w:r w:rsidR="000E026A">
        <w:t>’</w:t>
      </w:r>
      <w:r w:rsidRPr="71AB2B91">
        <w:t xml:space="preserve">) both of which are essential to intergenerational wellbeing. This aligns closely with the concept of </w:t>
      </w:r>
      <w:proofErr w:type="spellStart"/>
      <w:r w:rsidRPr="71AB2B91">
        <w:t>tiakitanga</w:t>
      </w:r>
      <w:proofErr w:type="spellEnd"/>
      <w:r w:rsidRPr="71AB2B91">
        <w:t xml:space="preserve"> and encourages Aotearoa to carefully consider the pace of the transition.</w:t>
      </w:r>
    </w:p>
    <w:p w14:paraId="0B3DC891" w14:textId="45FB4C2C" w:rsidR="002677E7" w:rsidRPr="00B0781F" w:rsidRDefault="00D37141" w:rsidP="00FC3FB2">
      <w:r>
        <w:t>C</w:t>
      </w:r>
      <w:r w:rsidR="005C36F8">
        <w:t xml:space="preserve">limate change will disproportionately affect future generations. However, if Aotearoa transitions too quickly, </w:t>
      </w:r>
      <w:r w:rsidR="00503765">
        <w:t>this group</w:t>
      </w:r>
      <w:r w:rsidR="007957CC">
        <w:t xml:space="preserve"> will also b</w:t>
      </w:r>
      <w:r w:rsidR="00CA7695">
        <w:t>ear</w:t>
      </w:r>
      <w:r w:rsidR="005C36F8">
        <w:t xml:space="preserve"> the </w:t>
      </w:r>
      <w:r w:rsidR="00CA7695">
        <w:t xml:space="preserve">brunt of </w:t>
      </w:r>
      <w:r w:rsidR="00F974AC">
        <w:t>costs of disruptive change</w:t>
      </w:r>
      <w:r w:rsidR="005C36F8">
        <w:t>.</w:t>
      </w:r>
      <w:r w:rsidR="007957CC">
        <w:t xml:space="preserve"> </w:t>
      </w:r>
    </w:p>
    <w:p w14:paraId="0962FB96" w14:textId="08469C89" w:rsidR="002A372D" w:rsidRDefault="002A372D" w:rsidP="00FC3FB2">
      <w:pPr>
        <w:rPr>
          <w:rStyle w:val="eop"/>
          <w:rFonts w:ascii="Calibri" w:hAnsi="Calibri" w:cs="Calibri"/>
        </w:rPr>
      </w:pPr>
      <w:r w:rsidRPr="71AB2B91">
        <w:rPr>
          <w:rStyle w:val="normaltextrun"/>
          <w:rFonts w:ascii="Calibri" w:hAnsi="Calibri" w:cs="Calibri"/>
        </w:rPr>
        <w:t>Many of the actions Aotearoa could take to address climate change w</w:t>
      </w:r>
      <w:r w:rsidR="00635C2D">
        <w:rPr>
          <w:rStyle w:val="normaltextrun"/>
          <w:rFonts w:ascii="Calibri" w:hAnsi="Calibri" w:cs="Calibri"/>
        </w:rPr>
        <w:t>ill</w:t>
      </w:r>
      <w:r w:rsidRPr="71AB2B91">
        <w:rPr>
          <w:rStyle w:val="normaltextrun"/>
          <w:rFonts w:ascii="Calibri" w:hAnsi="Calibri" w:cs="Calibri"/>
        </w:rPr>
        <w:t xml:space="preserve"> have broader health </w:t>
      </w:r>
      <w:r w:rsidR="000C60C9">
        <w:rPr>
          <w:rStyle w:val="normaltextrun"/>
          <w:rFonts w:ascii="Calibri" w:hAnsi="Calibri" w:cs="Calibri"/>
        </w:rPr>
        <w:br/>
      </w:r>
      <w:r w:rsidRPr="71AB2B91">
        <w:rPr>
          <w:rStyle w:val="normaltextrun"/>
          <w:rFonts w:ascii="Calibri" w:hAnsi="Calibri" w:cs="Calibri"/>
        </w:rPr>
        <w:t>co-benefits</w:t>
      </w:r>
      <w:r w:rsidR="00CE5887">
        <w:rPr>
          <w:rStyle w:val="normaltextrun"/>
          <w:rFonts w:ascii="Calibri" w:hAnsi="Calibri" w:cs="Calibri"/>
        </w:rPr>
        <w:t>. New Zealanders will benefit</w:t>
      </w:r>
      <w:r w:rsidRPr="71AB2B91">
        <w:rPr>
          <w:rStyle w:val="normaltextrun"/>
          <w:rFonts w:ascii="Calibri" w:hAnsi="Calibri" w:cs="Calibri"/>
        </w:rPr>
        <w:t xml:space="preserve"> from </w:t>
      </w:r>
      <w:r w:rsidR="00910A76">
        <w:rPr>
          <w:rStyle w:val="normaltextrun"/>
          <w:rFonts w:ascii="Calibri" w:hAnsi="Calibri" w:cs="Calibri"/>
        </w:rPr>
        <w:t>warmer drier homes</w:t>
      </w:r>
      <w:r w:rsidR="00CE5887">
        <w:rPr>
          <w:rStyle w:val="normaltextrun"/>
          <w:rFonts w:ascii="Calibri" w:hAnsi="Calibri" w:cs="Calibri"/>
        </w:rPr>
        <w:t>,</w:t>
      </w:r>
      <w:r>
        <w:rPr>
          <w:rStyle w:val="normaltextrun"/>
          <w:rFonts w:ascii="Calibri" w:hAnsi="Calibri" w:cs="Calibri"/>
        </w:rPr>
        <w:t xml:space="preserve"> </w:t>
      </w:r>
      <w:r w:rsidRPr="71AB2B91">
        <w:rPr>
          <w:rStyle w:val="normaltextrun"/>
          <w:rFonts w:ascii="Calibri" w:hAnsi="Calibri" w:cs="Calibri"/>
        </w:rPr>
        <w:t>better air quality, and from more active local travel.</w:t>
      </w:r>
      <w:r w:rsidRPr="71AB2B91">
        <w:rPr>
          <w:rStyle w:val="eop"/>
          <w:rFonts w:ascii="Calibri" w:hAnsi="Calibri" w:cs="Calibri"/>
        </w:rPr>
        <w:t> This will reduce burden on the health system.</w:t>
      </w:r>
      <w:r w:rsidR="004965C0">
        <w:rPr>
          <w:rStyle w:val="eop"/>
          <w:rFonts w:ascii="Calibri" w:hAnsi="Calibri" w:cs="Calibri"/>
        </w:rPr>
        <w:t xml:space="preserve"> These benefits will be immediate and add to the case </w:t>
      </w:r>
      <w:r w:rsidR="00147612">
        <w:rPr>
          <w:rStyle w:val="eop"/>
          <w:rFonts w:ascii="Calibri" w:hAnsi="Calibri" w:cs="Calibri"/>
        </w:rPr>
        <w:t>for</w:t>
      </w:r>
      <w:r w:rsidR="004965C0">
        <w:rPr>
          <w:rStyle w:val="eop"/>
          <w:rFonts w:ascii="Calibri" w:hAnsi="Calibri" w:cs="Calibri"/>
        </w:rPr>
        <w:t xml:space="preserve"> taking action to reduce emissions.</w:t>
      </w:r>
    </w:p>
    <w:p w14:paraId="46DA2699" w14:textId="346A8F50" w:rsidR="002A372D" w:rsidRDefault="00E75CBF" w:rsidP="00FC3FB2">
      <w:pPr>
        <w:rPr>
          <w:rStyle w:val="normaltextrun"/>
          <w:rFonts w:ascii="Calibri" w:hAnsi="Calibri" w:cs="Calibri"/>
        </w:rPr>
      </w:pPr>
      <w:r>
        <w:rPr>
          <w:rStyle w:val="normaltextrun"/>
          <w:rFonts w:ascii="Calibri" w:hAnsi="Calibri" w:cs="Calibri"/>
        </w:rPr>
        <w:t>G</w:t>
      </w:r>
      <w:r w:rsidR="002A372D" w:rsidRPr="71AB2B91">
        <w:rPr>
          <w:rStyle w:val="normaltextrun"/>
          <w:rFonts w:ascii="Calibri" w:hAnsi="Calibri" w:cs="Calibri"/>
        </w:rPr>
        <w:t xml:space="preserve">lobal action to reduce emissions would also reduce negative </w:t>
      </w:r>
      <w:r>
        <w:rPr>
          <w:rStyle w:val="normaltextrun"/>
          <w:rFonts w:ascii="Calibri" w:hAnsi="Calibri" w:cs="Calibri"/>
        </w:rPr>
        <w:t xml:space="preserve">health </w:t>
      </w:r>
      <w:r w:rsidR="002A372D" w:rsidRPr="71AB2B91">
        <w:rPr>
          <w:rStyle w:val="normaltextrun"/>
          <w:rFonts w:ascii="Calibri" w:hAnsi="Calibri" w:cs="Calibri"/>
        </w:rPr>
        <w:t xml:space="preserve">impacts </w:t>
      </w:r>
      <w:r>
        <w:rPr>
          <w:rStyle w:val="normaltextrun"/>
          <w:rFonts w:ascii="Calibri" w:hAnsi="Calibri" w:cs="Calibri"/>
        </w:rPr>
        <w:t>from a</w:t>
      </w:r>
      <w:r w:rsidR="002A372D" w:rsidRPr="71AB2B91">
        <w:rPr>
          <w:rStyle w:val="normaltextrun"/>
          <w:rFonts w:ascii="Calibri" w:hAnsi="Calibri" w:cs="Calibri"/>
        </w:rPr>
        <w:t xml:space="preserve"> changing climate. </w:t>
      </w:r>
      <w:r w:rsidR="00141C19">
        <w:rPr>
          <w:rStyle w:val="normaltextrun"/>
          <w:rFonts w:ascii="Calibri" w:hAnsi="Calibri" w:cs="Calibri"/>
        </w:rPr>
        <w:t xml:space="preserve">The health system will see </w:t>
      </w:r>
      <w:r w:rsidR="002A372D" w:rsidRPr="71AB2B91">
        <w:rPr>
          <w:rStyle w:val="normaltextrun"/>
          <w:rFonts w:ascii="Calibri" w:hAnsi="Calibri" w:cs="Calibri"/>
        </w:rPr>
        <w:t xml:space="preserve">increased heat stress from warmer temperatures and temperature extremes and changing patterns of infectious disease. The health </w:t>
      </w:r>
      <w:r w:rsidR="008A1082">
        <w:rPr>
          <w:rStyle w:val="normaltextrun"/>
          <w:rFonts w:ascii="Calibri" w:hAnsi="Calibri" w:cs="Calibri"/>
        </w:rPr>
        <w:t>of more</w:t>
      </w:r>
      <w:r w:rsidR="002A372D" w:rsidRPr="71AB2B91">
        <w:rPr>
          <w:rStyle w:val="normaltextrun"/>
          <w:rFonts w:ascii="Calibri" w:hAnsi="Calibri" w:cs="Calibri"/>
        </w:rPr>
        <w:t xml:space="preserve"> vulnerable groups</w:t>
      </w:r>
      <w:r w:rsidR="002A372D">
        <w:rPr>
          <w:rStyle w:val="normaltextrun"/>
          <w:rFonts w:ascii="Calibri" w:hAnsi="Calibri" w:cs="Calibri"/>
        </w:rPr>
        <w:t xml:space="preserve"> </w:t>
      </w:r>
      <w:r w:rsidR="008A1082">
        <w:rPr>
          <w:rStyle w:val="normaltextrun"/>
          <w:rFonts w:ascii="Calibri" w:hAnsi="Calibri" w:cs="Calibri"/>
        </w:rPr>
        <w:t>of society will be hit</w:t>
      </w:r>
      <w:r w:rsidR="002A372D" w:rsidRPr="71AB2B91">
        <w:rPr>
          <w:rStyle w:val="normaltextrun"/>
          <w:rFonts w:ascii="Calibri" w:hAnsi="Calibri" w:cs="Calibri"/>
        </w:rPr>
        <w:t xml:space="preserve"> the hardest.</w:t>
      </w:r>
    </w:p>
    <w:p w14:paraId="510A55C0" w14:textId="21222F42" w:rsidR="002A372D" w:rsidRPr="00C537A9" w:rsidRDefault="002A372D" w:rsidP="002A372D">
      <w:r w:rsidRPr="71AB2B91">
        <w:t xml:space="preserve">The transition to a low emissions society will bring a mix of opportunities, benefits, challenges and costs. Actions and approaches to reducing emissions should ensure the benefits of climate action are shared across society. It is important that certain individuals and sectors do not unfairly bear the cost-burden of the climate transition. </w:t>
      </w:r>
    </w:p>
    <w:p w14:paraId="5318F9C5" w14:textId="5F1CC5C8" w:rsidR="002A372D" w:rsidRPr="00E006CD" w:rsidRDefault="002A372D" w:rsidP="00E006CD">
      <w:r w:rsidRPr="00C537A9">
        <w:t>Maintaining the principle of equity is important to make sure the policy response is enduring, and emissions reductions can be sustained.</w:t>
      </w:r>
    </w:p>
    <w:p w14:paraId="0032D48F" w14:textId="6440B119" w:rsidR="002A372D" w:rsidRDefault="004256B6" w:rsidP="00F35BB7">
      <w:pPr>
        <w:pStyle w:val="Heading2"/>
        <w:rPr>
          <w:rFonts w:ascii="Calibri" w:hAnsi="Calibri" w:cs="Calibri"/>
          <w:b/>
          <w:color w:val="000000" w:themeColor="text1"/>
          <w:sz w:val="28"/>
          <w:szCs w:val="28"/>
        </w:rPr>
      </w:pPr>
      <w:bookmarkStart w:id="164" w:name="_Toc62650284"/>
      <w:r>
        <w:lastRenderedPageBreak/>
        <w:t xml:space="preserve">5.3 </w:t>
      </w:r>
      <w:r w:rsidR="0060164B">
        <w:t xml:space="preserve">How the transition could impact </w:t>
      </w:r>
      <w:r w:rsidR="004E6118">
        <w:t>the</w:t>
      </w:r>
      <w:r w:rsidR="0060164B">
        <w:t xml:space="preserve"> </w:t>
      </w:r>
      <w:r w:rsidR="00D4257B">
        <w:t>cost of living</w:t>
      </w:r>
      <w:r w:rsidR="0024736E">
        <w:t xml:space="preserve"> </w:t>
      </w:r>
      <w:r w:rsidR="002A372D" w:rsidRPr="71AB2B91">
        <w:t xml:space="preserve">and </w:t>
      </w:r>
      <w:r w:rsidR="00654E3D">
        <w:t>access to transport</w:t>
      </w:r>
      <w:bookmarkEnd w:id="164"/>
    </w:p>
    <w:p w14:paraId="629FD74C" w14:textId="3CE967EE" w:rsidR="00B75ACD" w:rsidRPr="000733CF" w:rsidDel="002A372D" w:rsidRDefault="00B75ACD" w:rsidP="00B75ACD">
      <w:r w:rsidRPr="000733CF" w:rsidDel="002A372D">
        <w:t xml:space="preserve">Energy and petrol costs are key expenses for households. We analysed the potential impact of our proposed emissions budgets on household bills, </w:t>
      </w:r>
      <w:r w:rsidR="00024EC8" w:rsidRPr="00824AE5">
        <w:t xml:space="preserve">and </w:t>
      </w:r>
      <w:r w:rsidRPr="00E62BCF" w:rsidDel="002A372D">
        <w:t>access to transport. We found that our proposed emissions budgets would not increase bills for most households. Most ho</w:t>
      </w:r>
      <w:r w:rsidRPr="000733CF" w:rsidDel="002A372D">
        <w:t xml:space="preserve">useholds would see a reduction in household bills, particularly if they switched to lower emissions heating and transport. </w:t>
      </w:r>
    </w:p>
    <w:p w14:paraId="49E262CF" w14:textId="17EFF5A2" w:rsidR="0043286A" w:rsidDel="002A372D" w:rsidRDefault="0043286A" w:rsidP="0043286A">
      <w:r w:rsidRPr="000733CF" w:rsidDel="002A372D">
        <w:t xml:space="preserve">However, not all households would benefit equally. </w:t>
      </w:r>
      <w:r>
        <w:t xml:space="preserve">Some </w:t>
      </w:r>
      <w:r w:rsidRPr="000733CF" w:rsidDel="002A372D">
        <w:t>low-income households</w:t>
      </w:r>
      <w:r>
        <w:t xml:space="preserve">, older people, people with disabilities, </w:t>
      </w:r>
      <w:r w:rsidRPr="000733CF" w:rsidDel="002A372D">
        <w:t>M</w:t>
      </w:r>
      <w:r w:rsidRPr="000733CF" w:rsidDel="002A372D">
        <w:rPr>
          <w:rFonts w:cstheme="minorHAnsi"/>
        </w:rPr>
        <w:t>ā</w:t>
      </w:r>
      <w:r w:rsidRPr="000733CF" w:rsidDel="002A372D">
        <w:t>ori and Pasifika households</w:t>
      </w:r>
      <w:r>
        <w:t xml:space="preserve"> </w:t>
      </w:r>
      <w:r w:rsidRPr="000733CF" w:rsidDel="002A372D">
        <w:t>or households that live in remote areas</w:t>
      </w:r>
      <w:r>
        <w:t xml:space="preserve"> </w:t>
      </w:r>
      <w:r w:rsidRPr="000733CF" w:rsidDel="002A372D">
        <w:t xml:space="preserve">could struggle to access </w:t>
      </w:r>
      <w:r>
        <w:t xml:space="preserve">lower emissions technologies. </w:t>
      </w:r>
      <w:r w:rsidDel="00B25EBA">
        <w:t>T</w:t>
      </w:r>
      <w:r>
        <w:t xml:space="preserve">hese are also the </w:t>
      </w:r>
      <w:r w:rsidR="003A2951">
        <w:t>groups</w:t>
      </w:r>
      <w:r>
        <w:t xml:space="preserve"> that would benefit the most</w:t>
      </w:r>
      <w:r w:rsidR="00B25EBA">
        <w:t xml:space="preserve"> from these lower emissions technologies</w:t>
      </w:r>
      <w:r>
        <w:t xml:space="preserve">. </w:t>
      </w:r>
      <w:r w:rsidRPr="000733CF" w:rsidDel="002A372D">
        <w:t xml:space="preserve">Targeted assistance will be needed to ensure </w:t>
      </w:r>
      <w:r>
        <w:t>these groups can access new technologies and</w:t>
      </w:r>
      <w:r w:rsidR="003A2951">
        <w:t xml:space="preserve"> </w:t>
      </w:r>
      <w:r w:rsidRPr="000733CF" w:rsidDel="002A372D">
        <w:t>are not disproportionately affected by the climate transition.</w:t>
      </w:r>
      <w:r w:rsidRPr="007A67B1" w:rsidDel="002A372D">
        <w:t xml:space="preserve"> </w:t>
      </w:r>
    </w:p>
    <w:p w14:paraId="1F601975" w14:textId="0B6BD748" w:rsidR="00F45C1E" w:rsidDel="002A372D" w:rsidRDefault="008F1254" w:rsidP="00F45C1E">
      <w:pPr>
        <w:keepNext/>
        <w:keepLines/>
        <w:tabs>
          <w:tab w:val="right" w:pos="9026"/>
        </w:tabs>
        <w:spacing w:after="0"/>
        <w:outlineLvl w:val="2"/>
        <w:rPr>
          <w:rFonts w:asciiTheme="majorHAnsi" w:eastAsiaTheme="majorEastAsia" w:hAnsiTheme="majorHAnsi" w:cstheme="majorBidi"/>
          <w:color w:val="1F3763" w:themeColor="accent1" w:themeShade="7F"/>
          <w:sz w:val="24"/>
          <w:szCs w:val="24"/>
        </w:rPr>
      </w:pPr>
      <w:bookmarkStart w:id="165" w:name="_Toc58857601"/>
      <w:bookmarkStart w:id="166" w:name="_Toc61448658"/>
      <w:bookmarkStart w:id="167" w:name="_Toc62649344"/>
      <w:bookmarkStart w:id="168" w:name="_Toc62650285"/>
      <w:r>
        <w:rPr>
          <w:rFonts w:asciiTheme="majorHAnsi" w:eastAsiaTheme="majorEastAsia" w:hAnsiTheme="majorHAnsi" w:cstheme="majorBidi"/>
          <w:color w:val="1F3763" w:themeColor="accent1" w:themeShade="7F"/>
          <w:sz w:val="24"/>
          <w:szCs w:val="24"/>
        </w:rPr>
        <w:t>5.</w:t>
      </w:r>
      <w:r w:rsidR="00B43BAF">
        <w:rPr>
          <w:rFonts w:asciiTheme="majorHAnsi" w:eastAsiaTheme="majorEastAsia" w:hAnsiTheme="majorHAnsi" w:cstheme="majorBidi"/>
          <w:color w:val="1F3763" w:themeColor="accent1" w:themeShade="7F"/>
          <w:sz w:val="24"/>
          <w:szCs w:val="24"/>
        </w:rPr>
        <w:t xml:space="preserve">3.1 </w:t>
      </w:r>
      <w:r w:rsidR="00F45C1E" w:rsidRPr="007A67B1" w:rsidDel="002A372D">
        <w:rPr>
          <w:rFonts w:asciiTheme="majorHAnsi" w:eastAsiaTheme="majorEastAsia" w:hAnsiTheme="majorHAnsi" w:cstheme="majorBidi"/>
          <w:color w:val="1F3763" w:themeColor="accent1" w:themeShade="7F"/>
          <w:sz w:val="24"/>
          <w:szCs w:val="24"/>
        </w:rPr>
        <w:t xml:space="preserve">Electricity </w:t>
      </w:r>
      <w:r w:rsidR="0035748C">
        <w:rPr>
          <w:rFonts w:asciiTheme="majorHAnsi" w:eastAsiaTheme="majorEastAsia" w:hAnsiTheme="majorHAnsi" w:cstheme="majorBidi"/>
          <w:color w:val="1F3763" w:themeColor="accent1" w:themeShade="7F"/>
          <w:sz w:val="24"/>
          <w:szCs w:val="24"/>
        </w:rPr>
        <w:t>bills</w:t>
      </w:r>
      <w:bookmarkEnd w:id="165"/>
      <w:bookmarkEnd w:id="166"/>
      <w:bookmarkEnd w:id="167"/>
      <w:bookmarkEnd w:id="168"/>
      <w:r w:rsidR="00F45C1E" w:rsidDel="002A372D">
        <w:rPr>
          <w:rFonts w:asciiTheme="majorHAnsi" w:eastAsiaTheme="majorEastAsia" w:hAnsiTheme="majorHAnsi" w:cstheme="majorBidi"/>
          <w:color w:val="1F3763" w:themeColor="accent1" w:themeShade="7F"/>
          <w:sz w:val="24"/>
          <w:szCs w:val="24"/>
        </w:rPr>
        <w:tab/>
      </w:r>
    </w:p>
    <w:p w14:paraId="44BD589F" w14:textId="77777777" w:rsidR="00F45C1E" w:rsidRDefault="00F45C1E" w:rsidP="00E62BCF">
      <w:r w:rsidRPr="007A67B1" w:rsidDel="002A372D">
        <w:t xml:space="preserve">Our analysis </w:t>
      </w:r>
      <w:r w:rsidDel="002A372D">
        <w:t>suggests</w:t>
      </w:r>
      <w:r w:rsidRPr="007A67B1" w:rsidDel="002A372D">
        <w:t xml:space="preserve"> that overall household </w:t>
      </w:r>
      <w:r w:rsidRPr="0076016C" w:rsidDel="002A372D">
        <w:t>electricity bills for heating, cooking and lighting are unlikely to increase as a result of our proposed emissions budgets. However, exactly how they could change is highly uncertain. Household electricity bills depend</w:t>
      </w:r>
      <w:r w:rsidDel="002A372D">
        <w:t xml:space="preserve"> on both electricity prices and household electricity demand. </w:t>
      </w:r>
    </w:p>
    <w:p w14:paraId="2BE213A2" w14:textId="34ED1843" w:rsidR="0035748C" w:rsidDel="002A372D" w:rsidRDefault="0035748C" w:rsidP="0035748C">
      <w:pPr>
        <w:pStyle w:val="Heading4"/>
      </w:pPr>
      <w:r>
        <w:t>Electricity prices</w:t>
      </w:r>
    </w:p>
    <w:p w14:paraId="2EFDB1AA" w14:textId="26D3A22B" w:rsidR="00F45C1E" w:rsidRDefault="00F45C1E" w:rsidP="00F45C1E">
      <w:r w:rsidDel="002A372D">
        <w:t xml:space="preserve">Future electricity prices are uncertain due to a range of factors, such as the weather, gas availability, future infrastructure requirements and pricing structures. Our modelling suggests that, by taking action to meet our proposed emissions budgets, wholesale electricity prices across the country would initially </w:t>
      </w:r>
      <w:r w:rsidRPr="00950987" w:rsidDel="002A372D">
        <w:t xml:space="preserve">fall </w:t>
      </w:r>
      <w:r w:rsidDel="002A372D">
        <w:t xml:space="preserve">and then return to close to 2021 </w:t>
      </w:r>
      <w:r w:rsidRPr="00B75ACD" w:rsidDel="002A372D">
        <w:t>levels by 2035 (</w:t>
      </w:r>
      <w:r w:rsidR="00960415">
        <w:t>Figure 5.1</w:t>
      </w:r>
      <w:r w:rsidRPr="00B75ACD" w:rsidDel="002A372D">
        <w:t>).</w:t>
      </w:r>
      <w:r w:rsidDel="002A372D">
        <w:t xml:space="preserve"> </w:t>
      </w:r>
    </w:p>
    <w:p w14:paraId="07F8FCC9" w14:textId="22247060" w:rsidR="0026180F" w:rsidRDefault="0026180F" w:rsidP="00F45C1E">
      <w:r w:rsidDel="002A372D">
        <w:t>One of the reasons for the decrease in wholesale electricity price</w:t>
      </w:r>
      <w:r w:rsidR="00E76F40">
        <w:t>,</w:t>
      </w:r>
      <w:r w:rsidDel="002A372D">
        <w:t xml:space="preserve"> is that we assume that </w:t>
      </w:r>
      <w:r w:rsidR="009318C6">
        <w:t>the</w:t>
      </w:r>
      <w:r w:rsidDel="002A372D">
        <w:t xml:space="preserve"> Tiwai Point Aluminium Smelter closes, deferring the need for investment in new generation. However, there are uncertainties around the timing of </w:t>
      </w:r>
      <w:r w:rsidR="003356CC">
        <w:t>the Smelter</w:t>
      </w:r>
      <w:r w:rsidDel="002A372D">
        <w:t xml:space="preserve">’s closure and gas supply for electricity generation. Some of these factors have been discussed in </w:t>
      </w:r>
      <w:r w:rsidR="00D46158">
        <w:t>c</w:t>
      </w:r>
      <w:r w:rsidDel="002A372D">
        <w:t>hapter 3, and could cause different price outcomes from what has been modelled.</w:t>
      </w:r>
    </w:p>
    <w:p w14:paraId="3E6D8976" w14:textId="6418B0B6" w:rsidR="0026180F" w:rsidRDefault="5CFAEF3A" w:rsidP="0026180F">
      <w:pPr>
        <w:keepNext/>
      </w:pPr>
      <w:r>
        <w:rPr>
          <w:noProof/>
        </w:rPr>
        <w:lastRenderedPageBreak/>
        <w:drawing>
          <wp:inline distT="0" distB="0" distL="0" distR="0" wp14:anchorId="6F91CF1B" wp14:editId="0C7CE182">
            <wp:extent cx="5755005" cy="35682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50">
                      <a:extLst>
                        <a:ext uri="{28A0092B-C50C-407E-A947-70E740481C1C}">
                          <a14:useLocalDpi xmlns:a14="http://schemas.microsoft.com/office/drawing/2010/main" val="0"/>
                        </a:ext>
                      </a:extLst>
                    </a:blip>
                    <a:srcRect t="6656"/>
                    <a:stretch/>
                  </pic:blipFill>
                  <pic:spPr bwMode="auto">
                    <a:xfrm>
                      <a:off x="0" y="0"/>
                      <a:ext cx="5755005" cy="3568258"/>
                    </a:xfrm>
                    <a:prstGeom prst="rect">
                      <a:avLst/>
                    </a:prstGeom>
                    <a:ln>
                      <a:noFill/>
                    </a:ln>
                    <a:extLst>
                      <a:ext uri="{53640926-AAD7-44D8-BBD7-CCE9431645EC}">
                        <a14:shadowObscured xmlns:a14="http://schemas.microsoft.com/office/drawing/2010/main"/>
                      </a:ext>
                    </a:extLst>
                  </pic:spPr>
                </pic:pic>
              </a:graphicData>
            </a:graphic>
          </wp:inline>
        </w:drawing>
      </w:r>
    </w:p>
    <w:p w14:paraId="0B3F59FF" w14:textId="1CA3AF38" w:rsidR="0026180F" w:rsidRDefault="0026180F" w:rsidP="00C97DCD">
      <w:pPr>
        <w:pStyle w:val="Caption"/>
      </w:pPr>
      <w:bookmarkStart w:id="169" w:name="_Ref58764850"/>
      <w:r>
        <w:t xml:space="preserve">Figure </w:t>
      </w:r>
      <w:r w:rsidR="00A5379F">
        <w:t>5.1</w:t>
      </w:r>
      <w:r>
        <w:t>:</w:t>
      </w:r>
      <w:bookmarkEnd w:id="169"/>
      <w:r>
        <w:t xml:space="preserve"> </w:t>
      </w:r>
      <w:r w:rsidRPr="00F8399A">
        <w:t>In our modelling path, wholesale electricity prices in Aotearoa decrease and then return to close to 2021 levels by 2035. The shaded area shows the range between the maximum and minimum price for different regions.</w:t>
      </w:r>
    </w:p>
    <w:p w14:paraId="4B5BC08B" w14:textId="77777777" w:rsidR="00AA1AA3" w:rsidRPr="00AA1AA3" w:rsidRDefault="00AA1AA3" w:rsidP="00AA1AA3">
      <w:pPr>
        <w:spacing w:before="0"/>
        <w:jc w:val="right"/>
      </w:pPr>
      <w:r w:rsidRPr="00295A62">
        <w:t xml:space="preserve">Source: </w:t>
      </w:r>
      <w:r>
        <w:t>Commission analysis.</w:t>
      </w:r>
    </w:p>
    <w:p w14:paraId="7FE5DB83" w14:textId="40AF1ED6" w:rsidR="00C06363" w:rsidRDefault="00F45C1E" w:rsidP="00E62BCF">
      <w:r w:rsidDel="002A372D">
        <w:t>Household</w:t>
      </w:r>
      <w:r w:rsidRPr="007A67B1" w:rsidDel="002A372D">
        <w:t xml:space="preserve"> electricity </w:t>
      </w:r>
      <w:r w:rsidDel="002A372D">
        <w:t>prices are influenced by</w:t>
      </w:r>
      <w:r w:rsidRPr="007A67B1" w:rsidDel="002A372D">
        <w:t xml:space="preserve"> </w:t>
      </w:r>
      <w:r w:rsidDel="002A372D">
        <w:t xml:space="preserve">wholesale prices but also depend on several other factors. Based purely on taking actions to meet our proposed emissions budgets, household electricity prices may follow the same trends as wholesale prices. However, projecting future electricity prices is uncertain. </w:t>
      </w:r>
      <w:r w:rsidR="00FE6565">
        <w:t xml:space="preserve">For example, </w:t>
      </w:r>
      <w:r w:rsidR="00E67C2B">
        <w:t>t</w:t>
      </w:r>
      <w:r w:rsidDel="002A372D">
        <w:t xml:space="preserve">he </w:t>
      </w:r>
      <w:r w:rsidRPr="007A67B1" w:rsidDel="002A372D">
        <w:t xml:space="preserve">Government is </w:t>
      </w:r>
      <w:r w:rsidDel="002A372D">
        <w:t>currently</w:t>
      </w:r>
      <w:r w:rsidRPr="007A67B1" w:rsidDel="002A372D">
        <w:t xml:space="preserve"> making </w:t>
      </w:r>
      <w:r w:rsidDel="002A372D">
        <w:t>changes to</w:t>
      </w:r>
      <w:r w:rsidRPr="007A67B1" w:rsidDel="002A372D">
        <w:t xml:space="preserve"> electricity pricing structures</w:t>
      </w:r>
      <w:r w:rsidR="00537A7C">
        <w:t>, such as transmission and distribution pricing,</w:t>
      </w:r>
      <w:r w:rsidRPr="007A67B1" w:rsidDel="002A372D">
        <w:t xml:space="preserve"> </w:t>
      </w:r>
      <w:r w:rsidDel="002A372D">
        <w:t>which may change</w:t>
      </w:r>
      <w:r w:rsidRPr="007A67B1" w:rsidDel="002A372D">
        <w:t xml:space="preserve"> </w:t>
      </w:r>
      <w:r w:rsidDel="002A372D">
        <w:t>how costs are allocated to consumers</w:t>
      </w:r>
      <w:r w:rsidRPr="007A67B1" w:rsidDel="002A372D">
        <w:t>.</w:t>
      </w:r>
      <w:r w:rsidDel="002A372D">
        <w:t xml:space="preserve"> </w:t>
      </w:r>
    </w:p>
    <w:p w14:paraId="3ABBBA77" w14:textId="77777777" w:rsidR="006971EA" w:rsidDel="002A372D" w:rsidRDefault="006971EA" w:rsidP="006971EA">
      <w:pPr>
        <w:pStyle w:val="Heading4"/>
      </w:pPr>
      <w:r w:rsidRPr="377C273C" w:rsidDel="002A372D">
        <w:t>Regional electricity prices</w:t>
      </w:r>
    </w:p>
    <w:p w14:paraId="4EED2BCA" w14:textId="77777777" w:rsidR="006971EA" w:rsidDel="002A372D" w:rsidRDefault="006971EA" w:rsidP="006971EA">
      <w:r w:rsidDel="002A372D">
        <w:t>Our emissions budgets are unlikely to change regional electricity prices beyond the level of regional variation that already exists. However, there are numerous factors outside of the factors included in our emissions budgets that make future electricity prices highly uncertain.</w:t>
      </w:r>
    </w:p>
    <w:p w14:paraId="7BB5C5F0" w14:textId="70133C03" w:rsidR="006971EA" w:rsidDel="002A372D" w:rsidRDefault="006971EA" w:rsidP="006971EA">
      <w:r w:rsidDel="002A372D">
        <w:t xml:space="preserve">Households electricity bills vary from region to region, and even within regions. Different areas already face varying electricity prices. This reflects the cost of not only generating electricity, but also of </w:t>
      </w:r>
      <w:r w:rsidR="004D717B">
        <w:t xml:space="preserve">transmitting and </w:t>
      </w:r>
      <w:r w:rsidDel="002A372D">
        <w:t>distributing it. Communities further away from where electricity is generated often pay higher electricity prices. For example, electricity pricing surveys show that households in Kerikeri and the West Coast pay more for electricity than the national average.</w:t>
      </w:r>
      <w:r w:rsidRPr="003667FF" w:rsidDel="002A372D">
        <w:t xml:space="preserve"> </w:t>
      </w:r>
      <w:r w:rsidDel="002A372D">
        <w:t xml:space="preserve">There can be as much as a 50% variation between regions. </w:t>
      </w:r>
    </w:p>
    <w:p w14:paraId="07777510" w14:textId="7603D0F1" w:rsidR="006971EA" w:rsidDel="002A372D" w:rsidRDefault="006971EA" w:rsidP="006971EA">
      <w:r w:rsidDel="002A372D">
        <w:t>Average household electricity demand varies across Aotearoa and depends on climatic conditions, personal choice</w:t>
      </w:r>
      <w:r w:rsidR="009B7D69">
        <w:t xml:space="preserve"> about heating levels</w:t>
      </w:r>
      <w:r w:rsidR="001905C2">
        <w:t xml:space="preserve"> for example</w:t>
      </w:r>
      <w:r w:rsidDel="002A372D">
        <w:t xml:space="preserve">, and whether the household uses gas, electricity or </w:t>
      </w:r>
      <w:r w:rsidDel="002A372D">
        <w:lastRenderedPageBreak/>
        <w:t>wood to heat their homes. For example, the average household electricity consumption is twice as much in Queenstown as in Westport.</w:t>
      </w:r>
    </w:p>
    <w:p w14:paraId="0D3B65C4" w14:textId="3A5F84B6" w:rsidR="006971EA" w:rsidRDefault="0035748C" w:rsidP="0035748C">
      <w:pPr>
        <w:pStyle w:val="Heading4"/>
      </w:pPr>
      <w:r>
        <w:t>Electricity bills</w:t>
      </w:r>
    </w:p>
    <w:p w14:paraId="336E3841" w14:textId="4E185D02" w:rsidR="00F45C1E" w:rsidDel="002A372D" w:rsidRDefault="00F45C1E">
      <w:r w:rsidDel="002A372D">
        <w:t>Households bills not only depend on residential electricity prices, but also on demand.</w:t>
      </w:r>
      <w:r w:rsidR="0063403C">
        <w:t xml:space="preserve"> </w:t>
      </w:r>
      <w:r w:rsidRPr="007A67B1" w:rsidDel="002A372D">
        <w:t xml:space="preserve">Households that are able to </w:t>
      </w:r>
      <w:r w:rsidDel="002A372D">
        <w:t xml:space="preserve">make </w:t>
      </w:r>
      <w:r w:rsidRPr="007A67B1" w:rsidDel="002A372D">
        <w:t>energy efficiency</w:t>
      </w:r>
      <w:r w:rsidDel="002A372D">
        <w:t xml:space="preserve"> improvements may be able to reduce demand</w:t>
      </w:r>
      <w:r w:rsidR="002E7A94">
        <w:t xml:space="preserve"> or improve the level of comfort </w:t>
      </w:r>
      <w:r w:rsidR="005C41FA">
        <w:t>in their homes</w:t>
      </w:r>
      <w:r w:rsidDel="002A372D">
        <w:t>.</w:t>
      </w:r>
      <w:r w:rsidRPr="007A67B1" w:rsidDel="002A372D">
        <w:t xml:space="preserve"> </w:t>
      </w:r>
      <w:r w:rsidR="008637B5">
        <w:t>H</w:t>
      </w:r>
      <w:r w:rsidR="008637B5" w:rsidDel="002A372D">
        <w:t>ouseholds sh</w:t>
      </w:r>
      <w:r w:rsidR="008637B5" w:rsidRPr="007A67B1" w:rsidDel="002A372D">
        <w:t>ould be able to reduce their</w:t>
      </w:r>
      <w:r w:rsidR="008637B5" w:rsidDel="002A372D">
        <w:t xml:space="preserve"> </w:t>
      </w:r>
      <w:r w:rsidR="008637B5" w:rsidRPr="007A67B1" w:rsidDel="002A372D">
        <w:t>household electricity bills</w:t>
      </w:r>
      <w:r w:rsidR="008637B5">
        <w:t xml:space="preserve"> by</w:t>
      </w:r>
      <w:r w:rsidR="00536F80">
        <w:t>, for example,</w:t>
      </w:r>
      <w:r w:rsidR="008637B5">
        <w:t xml:space="preserve"> switching</w:t>
      </w:r>
      <w:r w:rsidR="00536F80">
        <w:t xml:space="preserve"> </w:t>
      </w:r>
      <w:r w:rsidRPr="007A67B1" w:rsidDel="002A372D">
        <w:t>to heat pumps,</w:t>
      </w:r>
      <w:r w:rsidR="00536F80">
        <w:t xml:space="preserve"> or</w:t>
      </w:r>
      <w:r w:rsidRPr="007A67B1" w:rsidDel="002A372D">
        <w:t xml:space="preserve"> installing insulation or LED lightbulbs</w:t>
      </w:r>
      <w:r w:rsidR="00536F80">
        <w:t>.</w:t>
      </w:r>
      <w:r w:rsidRPr="007A67B1" w:rsidDel="002A372D">
        <w:t xml:space="preserve"> </w:t>
      </w:r>
    </w:p>
    <w:p w14:paraId="2670E9D6" w14:textId="569DAE24" w:rsidR="00F45C1E" w:rsidDel="002A372D" w:rsidRDefault="00F45C1E">
      <w:r w:rsidRPr="007A67B1" w:rsidDel="002A372D">
        <w:t xml:space="preserve">Making energy efficiency improvements can also reduce energy use at peak times – in the mornings, evenings and in winter. Reducing demand at peak times helps the entire energy system as there is less need to upgrade electricity lines, avoiding potential additional costs for all households. </w:t>
      </w:r>
      <w:r w:rsidDel="002A372D">
        <w:t>This would require both the adoption of technologies for demand response, and</w:t>
      </w:r>
      <w:r w:rsidRPr="00FC07F6" w:rsidDel="002A372D">
        <w:t xml:space="preserve"> </w:t>
      </w:r>
      <w:r w:rsidDel="002A372D">
        <w:t xml:space="preserve">innovative business and pricing models. </w:t>
      </w:r>
      <w:r w:rsidRPr="00D66C1D" w:rsidDel="002A372D">
        <w:t>Electricity pricing incentives, such as low</w:t>
      </w:r>
      <w:r w:rsidR="00441C77">
        <w:t xml:space="preserve"> </w:t>
      </w:r>
      <w:r w:rsidRPr="00D66C1D" w:rsidDel="002A372D">
        <w:t xml:space="preserve">cost night rates, combined with smart charging technology </w:t>
      </w:r>
      <w:r w:rsidDel="002A372D">
        <w:t>could</w:t>
      </w:r>
      <w:r w:rsidRPr="00D66C1D" w:rsidDel="002A372D">
        <w:t xml:space="preserve"> be an effective way to address this issue.</w:t>
      </w:r>
    </w:p>
    <w:p w14:paraId="54C77083" w14:textId="228EEE80" w:rsidR="00F45C1E" w:rsidRPr="007A67B1" w:rsidDel="002A372D" w:rsidRDefault="00F45C1E">
      <w:r w:rsidDel="002A372D">
        <w:t xml:space="preserve">Household electricity bills could also increase if a household purchases an </w:t>
      </w:r>
      <w:r w:rsidR="008D5D03">
        <w:t>electric vehicle</w:t>
      </w:r>
      <w:r w:rsidDel="002A372D">
        <w:t xml:space="preserve">. However, if that </w:t>
      </w:r>
      <w:r w:rsidR="008D5D03">
        <w:t>electric vehicle</w:t>
      </w:r>
      <w:r w:rsidDel="002A372D">
        <w:t xml:space="preserve"> is replacing a </w:t>
      </w:r>
      <w:proofErr w:type="spellStart"/>
      <w:r w:rsidDel="002A372D">
        <w:t>petrol</w:t>
      </w:r>
      <w:proofErr w:type="spellEnd"/>
      <w:r w:rsidDel="002A372D">
        <w:t xml:space="preserve"> car, then overall household energy bills could decrease.</w:t>
      </w:r>
    </w:p>
    <w:p w14:paraId="43B7C63C" w14:textId="77777777" w:rsidR="00F45C1E" w:rsidRPr="007A67B1" w:rsidDel="002A372D" w:rsidRDefault="00F45C1E" w:rsidP="008A79C5">
      <w:pPr>
        <w:pStyle w:val="Heading4"/>
      </w:pPr>
      <w:r w:rsidRPr="007A67B1" w:rsidDel="002A372D">
        <w:t>Assisting lower income households</w:t>
      </w:r>
    </w:p>
    <w:p w14:paraId="7C3CBEBD" w14:textId="20D716A3" w:rsidR="00F45C1E" w:rsidRPr="007A67B1" w:rsidDel="002A372D" w:rsidRDefault="00F45C1E" w:rsidP="00F45C1E">
      <w:r w:rsidRPr="007A67B1" w:rsidDel="002A372D">
        <w:t xml:space="preserve">Lower income households, </w:t>
      </w:r>
      <w:r w:rsidDel="002A372D">
        <w:t xml:space="preserve">some </w:t>
      </w:r>
      <w:r w:rsidRPr="007A67B1" w:rsidDel="002A372D">
        <w:t>M</w:t>
      </w:r>
      <w:r w:rsidRPr="007A67B1" w:rsidDel="002A372D">
        <w:rPr>
          <w:rFonts w:cstheme="minorHAnsi"/>
        </w:rPr>
        <w:t>ā</w:t>
      </w:r>
      <w:r w:rsidRPr="007A67B1" w:rsidDel="002A372D">
        <w:t xml:space="preserve">ori and Pasifika households, </w:t>
      </w:r>
      <w:r w:rsidDel="002A372D">
        <w:t xml:space="preserve">elderly </w:t>
      </w:r>
      <w:r w:rsidRPr="007A67B1" w:rsidDel="002A372D">
        <w:t xml:space="preserve">and </w:t>
      </w:r>
      <w:r w:rsidDel="002A372D">
        <w:t>people</w:t>
      </w:r>
      <w:r w:rsidRPr="007A67B1" w:rsidDel="002A372D">
        <w:t xml:space="preserve"> with disabilities will benefit more from </w:t>
      </w:r>
      <w:r w:rsidR="00B42214">
        <w:t>making energy efficiency improvements</w:t>
      </w:r>
      <w:r w:rsidRPr="007A67B1" w:rsidDel="002A372D">
        <w:t>.</w:t>
      </w:r>
      <w:r w:rsidDel="002A372D">
        <w:t xml:space="preserve"> These groups are </w:t>
      </w:r>
      <w:r w:rsidRPr="007A67B1" w:rsidDel="002A372D">
        <w:t>more likely to live in older, poorly insulated homes, and would therefore benefit more from cost savings</w:t>
      </w:r>
      <w:r w:rsidR="001465C3">
        <w:t>, or</w:t>
      </w:r>
      <w:r w:rsidRPr="007A67B1" w:rsidDel="002A372D">
        <w:t xml:space="preserve"> improved health</w:t>
      </w:r>
      <w:r w:rsidR="001465C3">
        <w:t xml:space="preserve"> from being able to use savings for additional heating</w:t>
      </w:r>
      <w:r w:rsidRPr="007A67B1" w:rsidDel="002A372D">
        <w:t>.</w:t>
      </w:r>
      <w:r w:rsidDel="002A372D">
        <w:t xml:space="preserve"> </w:t>
      </w:r>
    </w:p>
    <w:p w14:paraId="416E5BC9" w14:textId="09B91FA3" w:rsidR="00F45C1E" w:rsidRPr="007A67B1" w:rsidDel="002A372D" w:rsidRDefault="00F45C1E" w:rsidP="00F45C1E">
      <w:r w:rsidRPr="007A67B1" w:rsidDel="002A372D">
        <w:t xml:space="preserve">An evaluation of the Warm Up New Zealand programme found that the health benefits from insulating lower income households were substantial, resulting in savings </w:t>
      </w:r>
      <w:r w:rsidR="0060761A">
        <w:t>in health costs</w:t>
      </w:r>
      <w:r w:rsidRPr="007A67B1" w:rsidDel="002A372D">
        <w:t xml:space="preserve"> of more than $800 a year on average. However, there were small benefits in terms of </w:t>
      </w:r>
      <w:r w:rsidDel="002A372D">
        <w:t>cost savings as</w:t>
      </w:r>
      <w:r w:rsidRPr="007A67B1" w:rsidDel="002A372D">
        <w:t xml:space="preserve"> households continued to heat their homes. </w:t>
      </w:r>
    </w:p>
    <w:p w14:paraId="6C231191" w14:textId="363E2F04" w:rsidR="00013BE6" w:rsidRDefault="00013BE6" w:rsidP="00013BE6">
      <w:pPr>
        <w:pStyle w:val="Heading4"/>
      </w:pPr>
      <w:r>
        <w:t>How this can be managed?</w:t>
      </w:r>
    </w:p>
    <w:p w14:paraId="42BBFB34" w14:textId="0A9E8EB0" w:rsidR="00013BE6" w:rsidRDefault="00013BE6" w:rsidP="00F45C1E">
      <w:r w:rsidRPr="007A67B1" w:rsidDel="002A372D">
        <w:t>Assistance will be needed to help those on lower incomes with the upfront cost for energy efficiency improvements.</w:t>
      </w:r>
      <w:r>
        <w:t xml:space="preserve"> </w:t>
      </w:r>
    </w:p>
    <w:p w14:paraId="3EE48355" w14:textId="77777777" w:rsidR="00F74829" w:rsidRDefault="00F74829" w:rsidP="00F74829">
      <w:r w:rsidRPr="007A67B1" w:rsidDel="002A372D">
        <w:t xml:space="preserve">The Government’s Warmer Kiwi Homes programme continues to provide funding to those on low incomes who own their own home to install insulation or more efficient heating. The Government has also introduced healthy home standards for rental homes that include standards for insulation and heating. </w:t>
      </w:r>
    </w:p>
    <w:p w14:paraId="17B65CE0" w14:textId="77777777" w:rsidR="00F45C1E" w:rsidRDefault="00F45C1E" w:rsidP="00403149">
      <w:r w:rsidRPr="007A67B1" w:rsidDel="002A372D">
        <w:t>Continued intervention will be needed to ensure that lower income households can access these benefits. The Government will need to assess whether the existing programmes are delivering at an appropriate pace and scale, and in particular consider whether these programmes have any impact</w:t>
      </w:r>
      <w:r w:rsidDel="002A372D">
        <w:t xml:space="preserve"> more broadly</w:t>
      </w:r>
      <w:r w:rsidRPr="007A67B1" w:rsidDel="002A372D">
        <w:t xml:space="preserve"> on rental prices and affordability.</w:t>
      </w:r>
    </w:p>
    <w:p w14:paraId="4A15AB9B" w14:textId="6BE0320E" w:rsidR="00F45C1E" w:rsidRPr="007A67B1" w:rsidDel="002A372D" w:rsidRDefault="003917DC" w:rsidP="00F45C1E">
      <w:pPr>
        <w:keepNext/>
        <w:keepLines/>
        <w:spacing w:after="0"/>
        <w:outlineLvl w:val="2"/>
        <w:rPr>
          <w:rFonts w:asciiTheme="majorHAnsi" w:eastAsiaTheme="majorEastAsia" w:hAnsiTheme="majorHAnsi" w:cstheme="majorBidi"/>
          <w:color w:val="1F3763" w:themeColor="accent1" w:themeShade="7F"/>
          <w:sz w:val="24"/>
          <w:szCs w:val="24"/>
        </w:rPr>
      </w:pPr>
      <w:bookmarkStart w:id="170" w:name="_Toc58857602"/>
      <w:bookmarkStart w:id="171" w:name="_Toc61448659"/>
      <w:bookmarkStart w:id="172" w:name="_Toc62649345"/>
      <w:bookmarkStart w:id="173" w:name="_Toc62650286"/>
      <w:r>
        <w:rPr>
          <w:rFonts w:asciiTheme="majorHAnsi" w:eastAsiaTheme="majorEastAsia" w:hAnsiTheme="majorHAnsi" w:cstheme="majorBidi"/>
          <w:color w:val="1F3763" w:themeColor="accent1" w:themeShade="7F"/>
          <w:sz w:val="24"/>
          <w:szCs w:val="24"/>
        </w:rPr>
        <w:lastRenderedPageBreak/>
        <w:t xml:space="preserve">5.3.2 </w:t>
      </w:r>
      <w:r w:rsidR="00F45C1E" w:rsidRPr="007A67B1" w:rsidDel="002A372D">
        <w:rPr>
          <w:rFonts w:asciiTheme="majorHAnsi" w:eastAsiaTheme="majorEastAsia" w:hAnsiTheme="majorHAnsi" w:cstheme="majorBidi"/>
          <w:color w:val="1F3763" w:themeColor="accent1" w:themeShade="7F"/>
          <w:sz w:val="24"/>
          <w:szCs w:val="24"/>
        </w:rPr>
        <w:t>Natural gas</w:t>
      </w:r>
      <w:bookmarkEnd w:id="170"/>
      <w:bookmarkEnd w:id="171"/>
      <w:bookmarkEnd w:id="172"/>
      <w:bookmarkEnd w:id="173"/>
    </w:p>
    <w:p w14:paraId="3C6535EC" w14:textId="58C5E262" w:rsidR="00F45C1E" w:rsidDel="002A372D" w:rsidRDefault="00F45C1E" w:rsidP="00F45C1E">
      <w:r w:rsidDel="002A372D">
        <w:t xml:space="preserve">Households that use natural gas for heating and cooking are likely to see an increase in their natural gas bills as a result of our proposed emissions budgets. In 2035, the impact of our emissions budgets could increase the average household gas bill by up to $150 a year. This would affect homes with reticulated natural gas and liquified petroleum gas. </w:t>
      </w:r>
    </w:p>
    <w:p w14:paraId="11D265B2" w14:textId="77777777" w:rsidR="00F45C1E" w:rsidDel="002A372D" w:rsidRDefault="00F45C1E" w:rsidP="00F45C1E">
      <w:r w:rsidDel="002A372D">
        <w:t xml:space="preserve">However, natural gas prices are hard to predict as the gas industry is at the beginning of a transition partly because of climate policy. This introduces considerable uncertainty into future gas prices. </w:t>
      </w:r>
    </w:p>
    <w:p w14:paraId="4F9411AA" w14:textId="77777777" w:rsidR="00F45C1E" w:rsidRDefault="00F45C1E" w:rsidP="00F45C1E">
      <w:r w:rsidDel="002A372D">
        <w:t xml:space="preserve">The transition away from natural gas may mean that, over time, many households would benefit from replacing gas appliances. This could happen as households naturally need to replace appliances and heating systems, reducing the cost to households. </w:t>
      </w:r>
    </w:p>
    <w:p w14:paraId="692BE036" w14:textId="77777777" w:rsidR="00F062EF" w:rsidRDefault="00F062EF" w:rsidP="00F062EF">
      <w:pPr>
        <w:pStyle w:val="Heading4"/>
      </w:pPr>
      <w:r>
        <w:t>How this can be managed?</w:t>
      </w:r>
    </w:p>
    <w:p w14:paraId="7E7682D7" w14:textId="027F0600" w:rsidR="00F45C1E" w:rsidRPr="007A67B1" w:rsidDel="002A372D" w:rsidRDefault="00E43C0C" w:rsidP="00F45C1E">
      <w:r>
        <w:t>As part of the transition, t</w:t>
      </w:r>
      <w:r w:rsidR="00427A56">
        <w:t>he Government will need to pay p</w:t>
      </w:r>
      <w:r w:rsidR="00F45C1E" w:rsidDel="002A372D">
        <w:t>articular attention to low income households who use natural gas, who may not have the money for the upfront conversion cost, or who may rent homes with natural gas appliances or heating. Landlords that own properties with natural gas may not have any incentive to replace them with lower emissions options and therefore low cost options, as they would not benefit from the savings in running cost. There may be some efficiencies and cost savings from replacing old gas heating systems with modern electric systems.</w:t>
      </w:r>
    </w:p>
    <w:p w14:paraId="23867B60" w14:textId="77777777" w:rsidR="00F45C1E" w:rsidRPr="007A67B1" w:rsidDel="002A372D" w:rsidRDefault="00F45C1E" w:rsidP="00F45C1E">
      <w:r w:rsidRPr="007A67B1" w:rsidDel="002A372D">
        <w:t xml:space="preserve">Portable gas heaters are still used by some households in Aotearoa. They are used proportionately more in the North Island, particularly in Gisborne and Northland. These heaters tend to be used by lower income households due to the low </w:t>
      </w:r>
      <w:r w:rsidDel="002A372D">
        <w:t xml:space="preserve">upfront </w:t>
      </w:r>
      <w:r w:rsidRPr="007A67B1" w:rsidDel="002A372D">
        <w:t>cost</w:t>
      </w:r>
      <w:r w:rsidDel="002A372D">
        <w:t xml:space="preserve"> and the ease of budgeting for heating bills.</w:t>
      </w:r>
      <w:r w:rsidRPr="007A67B1" w:rsidDel="002A372D">
        <w:t xml:space="preserve"> However, they contribute to mouldy homes and cause health problems. Although the number of these heaters is decreasing, replacing them with more efficient low emissions options will take continued government support.</w:t>
      </w:r>
    </w:p>
    <w:p w14:paraId="088CD3C1" w14:textId="2086F96C" w:rsidR="00D61ADD" w:rsidRPr="007A67B1" w:rsidDel="002A372D" w:rsidRDefault="003917DC" w:rsidP="00D61ADD">
      <w:pPr>
        <w:keepNext/>
        <w:keepLines/>
        <w:spacing w:after="0"/>
        <w:outlineLvl w:val="2"/>
        <w:rPr>
          <w:rFonts w:asciiTheme="majorHAnsi" w:eastAsiaTheme="majorEastAsia" w:hAnsiTheme="majorHAnsi" w:cstheme="majorBidi"/>
          <w:color w:val="1F3763" w:themeColor="accent1" w:themeShade="7F"/>
          <w:sz w:val="24"/>
          <w:szCs w:val="24"/>
        </w:rPr>
      </w:pPr>
      <w:bookmarkStart w:id="174" w:name="_Toc58857603"/>
      <w:bookmarkStart w:id="175" w:name="_Toc61448660"/>
      <w:bookmarkStart w:id="176" w:name="_Toc62649346"/>
      <w:bookmarkStart w:id="177" w:name="_Toc62650287"/>
      <w:r>
        <w:rPr>
          <w:rFonts w:asciiTheme="majorHAnsi" w:eastAsiaTheme="majorEastAsia" w:hAnsiTheme="majorHAnsi" w:cstheme="majorBidi"/>
          <w:color w:val="1F3763" w:themeColor="accent1" w:themeShade="7F"/>
          <w:sz w:val="24"/>
          <w:szCs w:val="24"/>
        </w:rPr>
        <w:t xml:space="preserve">5.3.3 </w:t>
      </w:r>
      <w:r w:rsidR="006E0409">
        <w:rPr>
          <w:rFonts w:asciiTheme="majorHAnsi" w:eastAsiaTheme="majorEastAsia" w:hAnsiTheme="majorHAnsi" w:cstheme="majorBidi"/>
          <w:color w:val="1F3763" w:themeColor="accent1" w:themeShade="7F"/>
          <w:sz w:val="24"/>
          <w:szCs w:val="24"/>
        </w:rPr>
        <w:t>Fuel costs</w:t>
      </w:r>
      <w:r w:rsidR="00D61ADD" w:rsidRPr="007A67B1" w:rsidDel="002A372D">
        <w:rPr>
          <w:rFonts w:asciiTheme="majorHAnsi" w:eastAsiaTheme="majorEastAsia" w:hAnsiTheme="majorHAnsi" w:cstheme="majorBidi"/>
          <w:color w:val="1F3763" w:themeColor="accent1" w:themeShade="7F"/>
          <w:sz w:val="24"/>
          <w:szCs w:val="24"/>
        </w:rPr>
        <w:t xml:space="preserve"> and access to transport</w:t>
      </w:r>
      <w:bookmarkEnd w:id="174"/>
      <w:bookmarkEnd w:id="175"/>
      <w:bookmarkEnd w:id="176"/>
      <w:bookmarkEnd w:id="177"/>
    </w:p>
    <w:p w14:paraId="1DA43C7A" w14:textId="2513D87C" w:rsidR="00D61ADD" w:rsidRPr="007A67B1" w:rsidDel="002A372D" w:rsidRDefault="00D61ADD" w:rsidP="00D61ADD">
      <w:r w:rsidRPr="007A67B1" w:rsidDel="002A372D">
        <w:t xml:space="preserve">Transport is crucial to our livelihoods, wellbeing and economy. It connects us to our families, allows us to participate in wider society, and ensures we can access work, education, healthcare, supermarkets, banks and local activities. </w:t>
      </w:r>
    </w:p>
    <w:p w14:paraId="40B0D1FD" w14:textId="1B11E642" w:rsidR="00D61ADD" w:rsidRPr="007A67B1" w:rsidDel="002A372D" w:rsidRDefault="005A2187" w:rsidP="00D61ADD">
      <w:r>
        <w:t xml:space="preserve">The </w:t>
      </w:r>
      <w:r w:rsidR="00D61ADD" w:rsidRPr="007A67B1" w:rsidDel="002A372D">
        <w:t>current system</w:t>
      </w:r>
      <w:r>
        <w:t xml:space="preserve"> in Aotearoa</w:t>
      </w:r>
      <w:r w:rsidR="00D61ADD" w:rsidRPr="007A67B1" w:rsidDel="002A372D">
        <w:t xml:space="preserve"> tends to prioritise travel by car. This disadvantages those </w:t>
      </w:r>
      <w:r w:rsidR="00D61ADD" w:rsidRPr="007A67B1" w:rsidDel="002A372D">
        <w:rPr>
          <w:lang w:val="en-US"/>
        </w:rPr>
        <w:t>who do not have easy access to vehicles</w:t>
      </w:r>
      <w:r w:rsidR="00D61ADD" w:rsidDel="002A372D">
        <w:rPr>
          <w:lang w:val="en-US"/>
        </w:rPr>
        <w:t>. This may include</w:t>
      </w:r>
      <w:r w:rsidR="00D61ADD" w:rsidRPr="007A67B1" w:rsidDel="002A372D">
        <w:rPr>
          <w:lang w:val="en-US"/>
        </w:rPr>
        <w:t xml:space="preserve"> </w:t>
      </w:r>
      <w:r w:rsidR="00D61ADD" w:rsidDel="002A372D">
        <w:rPr>
          <w:lang w:val="en-US"/>
        </w:rPr>
        <w:t xml:space="preserve">some of </w:t>
      </w:r>
      <w:r>
        <w:rPr>
          <w:lang w:val="en-US"/>
        </w:rPr>
        <w:t>the country</w:t>
      </w:r>
      <w:r w:rsidRPr="007A67B1" w:rsidDel="002A372D">
        <w:rPr>
          <w:lang w:val="en-US"/>
        </w:rPr>
        <w:t xml:space="preserve">’s </w:t>
      </w:r>
      <w:r w:rsidR="00EC763B">
        <w:rPr>
          <w:lang w:val="en-US"/>
        </w:rPr>
        <w:t>youth</w:t>
      </w:r>
      <w:r w:rsidR="00D61ADD" w:rsidRPr="007A67B1" w:rsidDel="002A372D">
        <w:rPr>
          <w:lang w:val="en-US"/>
        </w:rPr>
        <w:t xml:space="preserve">, </w:t>
      </w:r>
      <w:r w:rsidR="00276A6D">
        <w:rPr>
          <w:lang w:val="en-US"/>
        </w:rPr>
        <w:t>older people</w:t>
      </w:r>
      <w:r w:rsidR="00D61ADD" w:rsidRPr="007A67B1" w:rsidDel="002A372D">
        <w:rPr>
          <w:lang w:val="en-US"/>
        </w:rPr>
        <w:t>,</w:t>
      </w:r>
      <w:r w:rsidR="00276A6D">
        <w:rPr>
          <w:lang w:val="en-US"/>
        </w:rPr>
        <w:t xml:space="preserve"> people with disabilities</w:t>
      </w:r>
      <w:r w:rsidR="00D61ADD" w:rsidRPr="007A67B1" w:rsidDel="002A372D">
        <w:rPr>
          <w:lang w:val="en-US"/>
        </w:rPr>
        <w:t xml:space="preserve">, Māori, Pasifika and </w:t>
      </w:r>
      <w:r w:rsidR="00D61ADD" w:rsidDel="002A372D">
        <w:rPr>
          <w:lang w:val="en-US"/>
        </w:rPr>
        <w:t>low-income</w:t>
      </w:r>
      <w:r w:rsidR="00D61ADD" w:rsidRPr="007A67B1" w:rsidDel="002A372D">
        <w:rPr>
          <w:lang w:val="en-US"/>
        </w:rPr>
        <w:t xml:space="preserve"> communities</w:t>
      </w:r>
      <w:r w:rsidR="00D61ADD" w:rsidRPr="007A67B1" w:rsidDel="002A372D">
        <w:t xml:space="preserve">. </w:t>
      </w:r>
    </w:p>
    <w:p w14:paraId="5A749D31" w14:textId="77777777" w:rsidR="00D61ADD" w:rsidRPr="007A67B1" w:rsidDel="002A372D" w:rsidRDefault="00D61ADD" w:rsidP="00D61ADD">
      <w:r w:rsidRPr="007A67B1" w:rsidDel="002A372D">
        <w:t xml:space="preserve">Improving fuel efficiency, a shift to electric vehicles and more public transport, walking and cycling are all important parts of meeting our proposed emissions budgets. </w:t>
      </w:r>
    </w:p>
    <w:p w14:paraId="46BF492D" w14:textId="750324CF" w:rsidR="00D61ADD" w:rsidDel="002A372D" w:rsidRDefault="00D61ADD" w:rsidP="00D61ADD">
      <w:r w:rsidRPr="007A67B1" w:rsidDel="002A372D">
        <w:t xml:space="preserve">Our modelling indicates petrol and diesel prices </w:t>
      </w:r>
      <w:r w:rsidDel="002A372D">
        <w:t xml:space="preserve">could </w:t>
      </w:r>
      <w:r w:rsidR="00982B8A">
        <w:t>have</w:t>
      </w:r>
      <w:r w:rsidDel="002A372D">
        <w:t xml:space="preserve"> increase</w:t>
      </w:r>
      <w:r w:rsidR="00982B8A">
        <w:t>d</w:t>
      </w:r>
      <w:r w:rsidDel="002A372D">
        <w:t xml:space="preserve"> </w:t>
      </w:r>
      <w:r w:rsidRPr="007A67B1" w:rsidDel="002A372D">
        <w:t xml:space="preserve">by </w:t>
      </w:r>
      <w:r w:rsidDel="002A372D">
        <w:t xml:space="preserve">up to </w:t>
      </w:r>
      <w:r w:rsidRPr="002B4927" w:rsidDel="002A372D">
        <w:t>30 cents per litre</w:t>
      </w:r>
      <w:r w:rsidRPr="007A67B1" w:rsidDel="002A372D">
        <w:t xml:space="preserve"> </w:t>
      </w:r>
      <w:r w:rsidR="00982B8A">
        <w:t xml:space="preserve">in 2035 </w:t>
      </w:r>
      <w:r w:rsidDel="002A372D">
        <w:t xml:space="preserve">as a result of our proposed emissions </w:t>
      </w:r>
      <w:r w:rsidRPr="007A67B1" w:rsidDel="002A372D">
        <w:t xml:space="preserve">budgets. </w:t>
      </w:r>
      <w:r w:rsidDel="002A372D">
        <w:t>Travel costs, including the cost of petrol and vehicle maintenance, are expected to increase for an average household.</w:t>
      </w:r>
    </w:p>
    <w:p w14:paraId="33671E29" w14:textId="77777777" w:rsidR="00D61ADD" w:rsidDel="002A372D" w:rsidRDefault="00D61ADD" w:rsidP="00D61ADD">
      <w:r w:rsidDel="002A372D">
        <w:t xml:space="preserve">However, there are a number of ways to offset this increase. It could be offset by households purchasing more fuel efficient cars, or reducing travel by around 10%. </w:t>
      </w:r>
    </w:p>
    <w:p w14:paraId="0D6D0839" w14:textId="00F5AC5F" w:rsidR="00DF56D2" w:rsidRDefault="00D61ADD" w:rsidP="00134E24">
      <w:pPr>
        <w:keepNext/>
      </w:pPr>
      <w:r w:rsidDel="002A372D">
        <w:lastRenderedPageBreak/>
        <w:t xml:space="preserve">Our path shows that, by 2035, 40% of </w:t>
      </w:r>
      <w:r w:rsidR="003777B1">
        <w:t>the entire</w:t>
      </w:r>
      <w:r w:rsidDel="002A372D">
        <w:t xml:space="preserve"> light passenger </w:t>
      </w:r>
      <w:r w:rsidR="00D6050C">
        <w:t>fleet</w:t>
      </w:r>
      <w:r w:rsidDel="002A372D">
        <w:t xml:space="preserve"> would need to be electric. </w:t>
      </w:r>
      <w:r w:rsidRPr="00D11115" w:rsidDel="002A372D">
        <w:t>Households that replace an internal combustion engine vehicle with an electric one could be $</w:t>
      </w:r>
      <w:r w:rsidDel="002A372D">
        <w:t>1</w:t>
      </w:r>
      <w:r w:rsidR="006A4B63">
        <w:t>0</w:t>
      </w:r>
      <w:r w:rsidRPr="00D11115" w:rsidDel="002A372D">
        <w:t>00 a year better off.</w:t>
      </w:r>
      <w:r w:rsidDel="002A372D">
        <w:t xml:space="preserve"> This is because electric vehicles </w:t>
      </w:r>
      <w:r w:rsidR="005264D6">
        <w:t xml:space="preserve">are likely to </w:t>
      </w:r>
      <w:r>
        <w:t xml:space="preserve">be </w:t>
      </w:r>
      <w:r w:rsidDel="002A372D">
        <w:t xml:space="preserve">cheaper to buy and </w:t>
      </w:r>
      <w:r w:rsidR="00117B57">
        <w:t xml:space="preserve">will be cheaper </w:t>
      </w:r>
      <w:r w:rsidDel="002A372D">
        <w:t>to operate. Although electricity bills will increase, the total household energy bill will decrease for these households. The total energy costs for households with and without an electric vehicle are shown in</w:t>
      </w:r>
      <w:r w:rsidR="00824AE5">
        <w:t xml:space="preserve"> </w:t>
      </w:r>
      <w:r w:rsidR="00222B10">
        <w:t>Figure 5.2</w:t>
      </w:r>
      <w:r w:rsidR="00824AE5">
        <w:t>.</w:t>
      </w:r>
    </w:p>
    <w:p w14:paraId="15FCEA6E" w14:textId="683F419B" w:rsidR="00D61ADD" w:rsidDel="002A372D" w:rsidRDefault="1738AD55" w:rsidP="00925EE7">
      <w:pPr>
        <w:keepNext/>
        <w:jc w:val="center"/>
      </w:pPr>
      <w:r>
        <w:rPr>
          <w:noProof/>
        </w:rPr>
        <w:drawing>
          <wp:inline distT="0" distB="0" distL="0" distR="0" wp14:anchorId="1E05D829" wp14:editId="78CB4F4D">
            <wp:extent cx="4170045" cy="2962910"/>
            <wp:effectExtent l="0" t="0" r="1905"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51">
                      <a:extLst>
                        <a:ext uri="{28A0092B-C50C-407E-A947-70E740481C1C}">
                          <a14:useLocalDpi xmlns:a14="http://schemas.microsoft.com/office/drawing/2010/main" val="0"/>
                        </a:ext>
                      </a:extLst>
                    </a:blip>
                    <a:stretch>
                      <a:fillRect/>
                    </a:stretch>
                  </pic:blipFill>
                  <pic:spPr>
                    <a:xfrm>
                      <a:off x="0" y="0"/>
                      <a:ext cx="4170045" cy="2962910"/>
                    </a:xfrm>
                    <a:prstGeom prst="rect">
                      <a:avLst/>
                    </a:prstGeom>
                  </pic:spPr>
                </pic:pic>
              </a:graphicData>
            </a:graphic>
          </wp:inline>
        </w:drawing>
      </w:r>
    </w:p>
    <w:p w14:paraId="5F6E602C" w14:textId="6737BF0A" w:rsidR="00D61ADD" w:rsidRDefault="00D61ADD" w:rsidP="006A4B63">
      <w:pPr>
        <w:pStyle w:val="Caption"/>
      </w:pPr>
      <w:bookmarkStart w:id="178" w:name="_Ref58787546"/>
      <w:r>
        <w:t xml:space="preserve">Figure </w:t>
      </w:r>
      <w:bookmarkEnd w:id="178"/>
      <w:r w:rsidR="00A5379F">
        <w:t>5.2</w:t>
      </w:r>
      <w:r>
        <w:t xml:space="preserve">: </w:t>
      </w:r>
      <w:r w:rsidRPr="00BC2293">
        <w:t>Total household energy cost in 2035 for a single car household.</w:t>
      </w:r>
    </w:p>
    <w:p w14:paraId="319F8CEA" w14:textId="77777777" w:rsidR="00AA1AA3" w:rsidRPr="00AA1AA3" w:rsidRDefault="00AA1AA3" w:rsidP="00AA1AA3">
      <w:pPr>
        <w:spacing w:before="0"/>
        <w:jc w:val="right"/>
      </w:pPr>
      <w:r w:rsidRPr="00295A62">
        <w:t xml:space="preserve">Source: </w:t>
      </w:r>
      <w:r>
        <w:t>Commission analysis.</w:t>
      </w:r>
    </w:p>
    <w:p w14:paraId="286C62AF" w14:textId="2343204E" w:rsidR="00D61ADD" w:rsidDel="002A372D" w:rsidRDefault="00D61ADD" w:rsidP="00D61ADD">
      <w:r w:rsidDel="002A372D">
        <w:t xml:space="preserve">However, lower income and </w:t>
      </w:r>
      <w:r w:rsidR="006D5ECF">
        <w:t>rental</w:t>
      </w:r>
      <w:r w:rsidDel="002A372D">
        <w:t xml:space="preserve"> households may be less able to </w:t>
      </w:r>
      <w:r w:rsidR="006549B3">
        <w:t>afford</w:t>
      </w:r>
      <w:r w:rsidDel="002A372D">
        <w:t xml:space="preserve"> electric vehicle than wealthier households due to the upfront cost of electric vehicles. </w:t>
      </w:r>
      <w:r w:rsidR="00EA5DE5" w:rsidDel="002A372D">
        <w:t xml:space="preserve">It may also be challenging for those who </w:t>
      </w:r>
      <w:r w:rsidR="00B8160F" w:rsidDel="002A372D">
        <w:t>can</w:t>
      </w:r>
      <w:r w:rsidR="00B8160F">
        <w:t>not</w:t>
      </w:r>
      <w:r w:rsidR="00EA5DE5" w:rsidDel="002A372D">
        <w:t xml:space="preserve"> charge an electric vehicle at home</w:t>
      </w:r>
      <w:r w:rsidR="003116B6">
        <w:t xml:space="preserve">, for example </w:t>
      </w:r>
      <w:r w:rsidR="006B5A57">
        <w:t>people living in apartments</w:t>
      </w:r>
      <w:r w:rsidR="00EA5DE5" w:rsidDel="002A372D">
        <w:t>.</w:t>
      </w:r>
      <w:r w:rsidR="00EA5DE5">
        <w:t xml:space="preserve"> </w:t>
      </w:r>
      <w:r w:rsidR="00DC7D2A">
        <w:t>We have heard throughout our engagement that t</w:t>
      </w:r>
      <w:r w:rsidDel="002A372D">
        <w:t xml:space="preserve">his challenge is particularly relevant </w:t>
      </w:r>
      <w:r w:rsidR="00676900">
        <w:t>for</w:t>
      </w:r>
      <w:r w:rsidDel="002A372D">
        <w:t xml:space="preserve"> people with disabilities who often rely on a vehicle to get around, and for some Māori households who are disproportionately represented </w:t>
      </w:r>
      <w:r w:rsidR="00676900">
        <w:t>among those with</w:t>
      </w:r>
      <w:r w:rsidR="00676900" w:rsidDel="002A372D">
        <w:t xml:space="preserve"> </w:t>
      </w:r>
      <w:r w:rsidDel="002A372D">
        <w:t>low income</w:t>
      </w:r>
      <w:r w:rsidR="00676900">
        <w:t>s</w:t>
      </w:r>
      <w:r w:rsidDel="002A372D">
        <w:t xml:space="preserve">. </w:t>
      </w:r>
    </w:p>
    <w:p w14:paraId="2299A3F1" w14:textId="77777777" w:rsidR="00D61ADD" w:rsidRPr="007A67B1" w:rsidDel="002A372D" w:rsidRDefault="00D61ADD" w:rsidP="00D61ADD">
      <w:r w:rsidRPr="007A67B1" w:rsidDel="002A372D">
        <w:t xml:space="preserve">Access to transport is a particular issue for </w:t>
      </w:r>
      <w:r w:rsidRPr="008C5DDD" w:rsidDel="002A372D">
        <w:t>some</w:t>
      </w:r>
      <w:r w:rsidDel="002A372D">
        <w:t xml:space="preserve"> </w:t>
      </w:r>
      <w:r w:rsidRPr="007A67B1" w:rsidDel="002A372D">
        <w:t xml:space="preserve">Māori. Transport is hugely important for Māori to connect to their </w:t>
      </w:r>
      <w:proofErr w:type="spellStart"/>
      <w:r w:rsidRPr="007A67B1" w:rsidDel="002A372D">
        <w:t>whānau</w:t>
      </w:r>
      <w:proofErr w:type="spellEnd"/>
      <w:r w:rsidRPr="007A67B1" w:rsidDel="002A372D">
        <w:t xml:space="preserve">, </w:t>
      </w:r>
      <w:proofErr w:type="spellStart"/>
      <w:r w:rsidRPr="007A67B1" w:rsidDel="002A372D">
        <w:t>haukāinga</w:t>
      </w:r>
      <w:proofErr w:type="spellEnd"/>
      <w:r w:rsidRPr="007A67B1" w:rsidDel="002A372D">
        <w:t xml:space="preserve">, and </w:t>
      </w:r>
      <w:proofErr w:type="spellStart"/>
      <w:r w:rsidRPr="007A67B1" w:rsidDel="002A372D">
        <w:t>tūrangawaewae</w:t>
      </w:r>
      <w:proofErr w:type="spellEnd"/>
      <w:r w:rsidRPr="007A67B1" w:rsidDel="002A372D">
        <w:t>. About a quarter of Māori in Aotearoa live in Auckland</w:t>
      </w:r>
      <w:r w:rsidDel="002A372D">
        <w:t>. H</w:t>
      </w:r>
      <w:r w:rsidRPr="007A67B1" w:rsidDel="002A372D">
        <w:t xml:space="preserve">owever, many </w:t>
      </w:r>
      <w:r w:rsidDel="002A372D">
        <w:t>have whakapapa connections</w:t>
      </w:r>
      <w:r w:rsidRPr="007A67B1" w:rsidDel="002A372D">
        <w:t xml:space="preserve"> outside of Auckland and may need to travel long distances to participate in iwi</w:t>
      </w:r>
      <w:r w:rsidDel="002A372D">
        <w:t xml:space="preserve">, </w:t>
      </w:r>
      <w:r w:rsidRPr="007A67B1" w:rsidDel="002A372D">
        <w:t>hap</w:t>
      </w:r>
      <w:r w:rsidDel="002A372D">
        <w:rPr>
          <w:lang w:val="mi-NZ"/>
        </w:rPr>
        <w:t>ū, and whānau</w:t>
      </w:r>
      <w:r w:rsidRPr="007A67B1" w:rsidDel="002A372D">
        <w:t xml:space="preserve"> activities and events. </w:t>
      </w:r>
      <w:r w:rsidDel="002A372D">
        <w:t>Some Māori households are large or intergenerational and require larger vehicles.</w:t>
      </w:r>
      <w:r w:rsidRPr="007A67B1" w:rsidDel="002A372D">
        <w:t xml:space="preserve"> </w:t>
      </w:r>
      <w:r w:rsidDel="002A372D">
        <w:t>T</w:t>
      </w:r>
      <w:r w:rsidRPr="007A67B1" w:rsidDel="002A372D">
        <w:t>ransport</w:t>
      </w:r>
      <w:r w:rsidDel="002A372D">
        <w:t xml:space="preserve">, particularly </w:t>
      </w:r>
      <w:proofErr w:type="spellStart"/>
      <w:r w:rsidDel="002A372D">
        <w:t>utes</w:t>
      </w:r>
      <w:proofErr w:type="spellEnd"/>
      <w:r w:rsidDel="002A372D">
        <w:t>,</w:t>
      </w:r>
      <w:r w:rsidRPr="007A67B1" w:rsidDel="002A372D">
        <w:t xml:space="preserve"> is </w:t>
      </w:r>
      <w:r w:rsidDel="002A372D">
        <w:t>also</w:t>
      </w:r>
      <w:r w:rsidRPr="007A67B1" w:rsidDel="002A372D">
        <w:t xml:space="preserve"> a key enabler for </w:t>
      </w:r>
      <w:r w:rsidDel="002A372D">
        <w:t xml:space="preserve">the </w:t>
      </w:r>
      <w:proofErr w:type="spellStart"/>
      <w:r w:rsidDel="002A372D">
        <w:t>haukāinga</w:t>
      </w:r>
      <w:proofErr w:type="spellEnd"/>
      <w:r w:rsidDel="002A372D">
        <w:t xml:space="preserve"> to</w:t>
      </w:r>
      <w:r w:rsidRPr="007A67B1" w:rsidDel="002A372D">
        <w:t xml:space="preserve"> collect resources and provid</w:t>
      </w:r>
      <w:r w:rsidDel="002A372D">
        <w:t>e</w:t>
      </w:r>
      <w:r w:rsidRPr="007A67B1" w:rsidDel="002A372D">
        <w:t xml:space="preserve"> services to the marae.</w:t>
      </w:r>
      <w:r w:rsidDel="002A372D">
        <w:t xml:space="preserve"> </w:t>
      </w:r>
    </w:p>
    <w:p w14:paraId="7B332A57" w14:textId="596D75F9" w:rsidR="00D61ADD" w:rsidRPr="007A67B1" w:rsidDel="002A372D" w:rsidRDefault="00D61ADD" w:rsidP="00D61ADD">
      <w:r w:rsidRPr="007A67B1" w:rsidDel="002A372D">
        <w:t xml:space="preserve">Some people and businesses have specific transport needs the transition will need to address. Farmers, contractors and others in rural communities need vehicles that can carry heavy loads or access rugged or remote locations. Single- or double-cab </w:t>
      </w:r>
      <w:proofErr w:type="spellStart"/>
      <w:r w:rsidRPr="007A67B1" w:rsidDel="002A372D">
        <w:t>utes</w:t>
      </w:r>
      <w:proofErr w:type="spellEnd"/>
      <w:r w:rsidRPr="007A67B1" w:rsidDel="002A372D">
        <w:t>, farm bikes and quad bikes are an essential part of farming and rural landscapes. Cost-effective and low emissions solutions for these vehicles are available now, or will be in the next few years.</w:t>
      </w:r>
    </w:p>
    <w:p w14:paraId="4D62A314" w14:textId="77777777" w:rsidR="00F062EF" w:rsidRDefault="00F062EF" w:rsidP="00F062EF">
      <w:pPr>
        <w:pStyle w:val="Heading4"/>
      </w:pPr>
      <w:r>
        <w:lastRenderedPageBreak/>
        <w:t>How this can be managed?</w:t>
      </w:r>
    </w:p>
    <w:p w14:paraId="3B77C5BB" w14:textId="7890CFF8" w:rsidR="00C17899" w:rsidRDefault="00940F36" w:rsidP="00EA637D">
      <w:pPr>
        <w:rPr>
          <w:rFonts w:ascii="Calibri" w:hAnsi="Calibri" w:cs="Calibri"/>
          <w:color w:val="000000" w:themeColor="text1"/>
        </w:rPr>
      </w:pPr>
      <w:r w:rsidRPr="71AB2B91">
        <w:t>Targeted assistance will be needed to ensure an equitable transition.</w:t>
      </w:r>
      <w:r w:rsidR="00A44EE7">
        <w:t xml:space="preserve"> </w:t>
      </w:r>
      <w:r w:rsidR="002A372D" w:rsidRPr="71AB2B91">
        <w:rPr>
          <w:rFonts w:ascii="Calibri" w:hAnsi="Calibri" w:cs="Calibri"/>
          <w:color w:val="000000" w:themeColor="text1"/>
        </w:rPr>
        <w:t xml:space="preserve">More public transport, walking and cycling will have a positive impact, particularly on those who live in cities and larger urban areas. </w:t>
      </w:r>
      <w:r w:rsidR="00224BBF">
        <w:rPr>
          <w:rFonts w:ascii="Calibri" w:hAnsi="Calibri" w:cs="Calibri"/>
          <w:color w:val="000000" w:themeColor="text1"/>
        </w:rPr>
        <w:t>Central and local government will need to provide</w:t>
      </w:r>
      <w:r w:rsidR="00224BBF" w:rsidRPr="71AB2B91">
        <w:rPr>
          <w:rFonts w:ascii="Calibri" w:hAnsi="Calibri" w:cs="Calibri"/>
          <w:color w:val="000000" w:themeColor="text1"/>
        </w:rPr>
        <w:t xml:space="preserve"> more and better transport options </w:t>
      </w:r>
      <w:r w:rsidR="00224BBF">
        <w:rPr>
          <w:rFonts w:ascii="Calibri" w:hAnsi="Calibri" w:cs="Calibri"/>
          <w:color w:val="000000" w:themeColor="text1"/>
        </w:rPr>
        <w:t>to</w:t>
      </w:r>
      <w:r w:rsidR="00224BBF" w:rsidRPr="71AB2B91">
        <w:rPr>
          <w:rFonts w:ascii="Calibri" w:hAnsi="Calibri" w:cs="Calibri"/>
          <w:color w:val="000000" w:themeColor="text1"/>
        </w:rPr>
        <w:t xml:space="preserve"> increase access to transport </w:t>
      </w:r>
      <w:r w:rsidR="000B7FBA">
        <w:rPr>
          <w:rFonts w:ascii="Calibri" w:hAnsi="Calibri" w:cs="Calibri"/>
          <w:color w:val="000000" w:themeColor="text1"/>
        </w:rPr>
        <w:t>for</w:t>
      </w:r>
      <w:r w:rsidR="00224BBF" w:rsidRPr="71AB2B91">
        <w:rPr>
          <w:rFonts w:ascii="Calibri" w:hAnsi="Calibri" w:cs="Calibri"/>
          <w:color w:val="000000" w:themeColor="text1"/>
        </w:rPr>
        <w:t xml:space="preserve"> </w:t>
      </w:r>
      <w:r w:rsidR="00224BBF">
        <w:rPr>
          <w:rFonts w:ascii="Calibri" w:hAnsi="Calibri" w:cs="Calibri"/>
          <w:color w:val="000000" w:themeColor="text1"/>
        </w:rPr>
        <w:t>people</w:t>
      </w:r>
      <w:r w:rsidR="00224BBF" w:rsidRPr="71AB2B91">
        <w:rPr>
          <w:rFonts w:ascii="Calibri" w:hAnsi="Calibri" w:cs="Calibri"/>
          <w:color w:val="000000" w:themeColor="text1"/>
        </w:rPr>
        <w:t xml:space="preserve"> with disabilities or on low incomes. Currently public transport is not always a realistic option for people with disabilities and many therefore rely on cars. Good policy and planning </w:t>
      </w:r>
      <w:r w:rsidR="00224BBF">
        <w:rPr>
          <w:rFonts w:ascii="Calibri" w:hAnsi="Calibri" w:cs="Calibri"/>
          <w:color w:val="000000" w:themeColor="text1"/>
        </w:rPr>
        <w:t>will be</w:t>
      </w:r>
      <w:r w:rsidR="00224BBF" w:rsidRPr="71AB2B91">
        <w:rPr>
          <w:rFonts w:ascii="Calibri" w:hAnsi="Calibri" w:cs="Calibri"/>
          <w:color w:val="000000" w:themeColor="text1"/>
        </w:rPr>
        <w:t xml:space="preserve"> needed to ensure that transport systems are integrated and accessible.</w:t>
      </w:r>
    </w:p>
    <w:p w14:paraId="5ED79D64" w14:textId="4CB248CE" w:rsidR="002A372D" w:rsidRDefault="00C17899" w:rsidP="00EA637D">
      <w:pPr>
        <w:rPr>
          <w:rFonts w:ascii="Calibri" w:hAnsi="Calibri" w:cs="Calibri"/>
          <w:color w:val="000000" w:themeColor="text1"/>
        </w:rPr>
      </w:pPr>
      <w:r>
        <w:rPr>
          <w:rFonts w:ascii="Calibri" w:hAnsi="Calibri" w:cs="Calibri"/>
          <w:color w:val="000000" w:themeColor="text1"/>
        </w:rPr>
        <w:t>The Government will also need to provide p</w:t>
      </w:r>
      <w:r w:rsidRPr="007A67B1" w:rsidDel="002A372D">
        <w:t xml:space="preserve">roactive, targeted support </w:t>
      </w:r>
      <w:r>
        <w:t>to</w:t>
      </w:r>
      <w:r w:rsidRPr="007A67B1" w:rsidDel="002A372D">
        <w:t xml:space="preserve"> help lower income households reap the benefits of electric vehicles and bring down costs. </w:t>
      </w:r>
      <w:r w:rsidR="002A372D" w:rsidRPr="71AB2B91">
        <w:rPr>
          <w:rFonts w:ascii="Calibri" w:hAnsi="Calibri" w:cs="Calibri"/>
          <w:color w:val="000000" w:themeColor="text1"/>
        </w:rPr>
        <w:t>Policies that encourage a second-hand electric vehicle market, car sharing</w:t>
      </w:r>
      <w:r w:rsidR="005D341A">
        <w:rPr>
          <w:rFonts w:ascii="Calibri" w:hAnsi="Calibri" w:cs="Calibri"/>
          <w:color w:val="000000" w:themeColor="text1"/>
        </w:rPr>
        <w:t xml:space="preserve"> and leasing</w:t>
      </w:r>
      <w:r w:rsidR="002A372D" w:rsidRPr="71AB2B91">
        <w:rPr>
          <w:rFonts w:ascii="Calibri" w:hAnsi="Calibri" w:cs="Calibri"/>
          <w:color w:val="000000" w:themeColor="text1"/>
        </w:rPr>
        <w:t>, and support to purchase an electric vehicle or electric bike could help.</w:t>
      </w:r>
    </w:p>
    <w:p w14:paraId="510D165C" w14:textId="15B5B776" w:rsidR="006A189D" w:rsidRPr="00DF1564" w:rsidRDefault="006A189D" w:rsidP="00EA637D">
      <w:pPr>
        <w:rPr>
          <w:rFonts w:ascii="Calibri" w:hAnsi="Calibri" w:cs="Calibri"/>
          <w:color w:val="000000"/>
        </w:rPr>
      </w:pPr>
      <w:r>
        <w:rPr>
          <w:rFonts w:ascii="Calibri" w:hAnsi="Calibri" w:cs="Calibri"/>
          <w:color w:val="000000" w:themeColor="text1"/>
        </w:rPr>
        <w:t xml:space="preserve">We have also heard through our engagement the importance of integrating transport </w:t>
      </w:r>
      <w:r w:rsidR="00FB118D">
        <w:rPr>
          <w:rFonts w:ascii="Calibri" w:hAnsi="Calibri" w:cs="Calibri"/>
          <w:color w:val="000000" w:themeColor="text1"/>
        </w:rPr>
        <w:t xml:space="preserve">into urban </w:t>
      </w:r>
      <w:r w:rsidR="00F95F72">
        <w:rPr>
          <w:rFonts w:ascii="Calibri" w:hAnsi="Calibri" w:cs="Calibri"/>
          <w:color w:val="000000" w:themeColor="text1"/>
        </w:rPr>
        <w:t>form</w:t>
      </w:r>
      <w:r w:rsidR="00FB118D">
        <w:rPr>
          <w:rFonts w:ascii="Calibri" w:hAnsi="Calibri" w:cs="Calibri"/>
          <w:color w:val="000000" w:themeColor="text1"/>
        </w:rPr>
        <w:t xml:space="preserve">. </w:t>
      </w:r>
      <w:r w:rsidR="00002666">
        <w:rPr>
          <w:rFonts w:ascii="Calibri" w:hAnsi="Calibri" w:cs="Calibri"/>
          <w:color w:val="000000" w:themeColor="text1"/>
        </w:rPr>
        <w:t>It will be important that central and local government factor this into their</w:t>
      </w:r>
      <w:r w:rsidR="001E322B">
        <w:rPr>
          <w:rFonts w:ascii="Calibri" w:hAnsi="Calibri" w:cs="Calibri"/>
          <w:color w:val="000000" w:themeColor="text1"/>
        </w:rPr>
        <w:t xml:space="preserve"> planning and decision-making.</w:t>
      </w:r>
    </w:p>
    <w:p w14:paraId="00DE6FB7" w14:textId="008D59A1" w:rsidR="002A372D" w:rsidRPr="00083683" w:rsidRDefault="008867DA" w:rsidP="00EA637D">
      <w:pPr>
        <w:pStyle w:val="Heading2"/>
      </w:pPr>
      <w:bookmarkStart w:id="179" w:name="_Toc62650288"/>
      <w:r>
        <w:t xml:space="preserve">5.4 </w:t>
      </w:r>
      <w:r w:rsidR="002A372D" w:rsidRPr="00083683">
        <w:t xml:space="preserve">How Aotearoa earns </w:t>
      </w:r>
      <w:r w:rsidR="005309EB">
        <w:t>its</w:t>
      </w:r>
      <w:r w:rsidR="002A372D" w:rsidRPr="00083683">
        <w:t xml:space="preserve"> way in the world</w:t>
      </w:r>
      <w:bookmarkEnd w:id="179"/>
    </w:p>
    <w:p w14:paraId="70707B58" w14:textId="1B340A29" w:rsidR="002A372D" w:rsidRDefault="002A372D" w:rsidP="00EA637D">
      <w:pPr>
        <w:rPr>
          <w:rFonts w:ascii="Calibri" w:hAnsi="Calibri" w:cs="Calibri"/>
          <w:color w:val="000000" w:themeColor="text1"/>
        </w:rPr>
      </w:pPr>
      <w:r w:rsidRPr="71AB2B91">
        <w:t xml:space="preserve">How the economy </w:t>
      </w:r>
      <w:r w:rsidRPr="71AB2B91">
        <w:rPr>
          <w:rFonts w:ascii="Calibri" w:hAnsi="Calibri" w:cs="Calibri"/>
          <w:color w:val="000000" w:themeColor="text1"/>
        </w:rPr>
        <w:t>grows as Aotearoa transitions to a climate-resilient, low emissions economy will depend on the pace with which Aotearoa acts, the costs to transition and the action from the rest of the world.</w:t>
      </w:r>
    </w:p>
    <w:p w14:paraId="6E631EF1" w14:textId="7257FB40" w:rsidR="007D6377" w:rsidRPr="00DF1564" w:rsidRDefault="007D6377" w:rsidP="007D6377">
      <w:pPr>
        <w:rPr>
          <w:rFonts w:ascii="Calibri" w:hAnsi="Calibri" w:cs="Calibri"/>
          <w:color w:val="000000"/>
        </w:rPr>
      </w:pPr>
      <w:r w:rsidRPr="71AB2B91">
        <w:t xml:space="preserve">With the technologies and practice changes available to Aotearoa, our modelling suggests that what Aotearoa produces and exports for the most part would not need to change significantly </w:t>
      </w:r>
      <w:r>
        <w:t>to meet our proposed</w:t>
      </w:r>
      <w:r w:rsidRPr="71AB2B91">
        <w:t xml:space="preserve"> emissions budgets. However, some sectors such as mining and natural gas would </w:t>
      </w:r>
      <w:r w:rsidR="00283662">
        <w:t>reduce significantly</w:t>
      </w:r>
      <w:r w:rsidRPr="71AB2B91">
        <w:t>.</w:t>
      </w:r>
    </w:p>
    <w:p w14:paraId="002B2564" w14:textId="1CCDA982" w:rsidR="00155053" w:rsidRPr="00683193" w:rsidRDefault="0021303F" w:rsidP="00EA637D">
      <w:r>
        <w:t xml:space="preserve">The </w:t>
      </w:r>
      <w:r w:rsidR="00081F52">
        <w:t xml:space="preserve">pace </w:t>
      </w:r>
      <w:r w:rsidR="00683193">
        <w:t>the</w:t>
      </w:r>
      <w:r w:rsidR="00081F52">
        <w:t xml:space="preserve"> world </w:t>
      </w:r>
      <w:r w:rsidR="0036571F">
        <w:t>acts</w:t>
      </w:r>
      <w:r>
        <w:t xml:space="preserve"> to reduce emissions will</w:t>
      </w:r>
      <w:r w:rsidR="0036571F">
        <w:t xml:space="preserve"> define how much climate change Aotearoa and other countries will need to adapt to.</w:t>
      </w:r>
      <w:r>
        <w:t xml:space="preserve"> </w:t>
      </w:r>
      <w:r w:rsidR="00DD6455" w:rsidRPr="71AB2B91">
        <w:t xml:space="preserve">While there are estimates of the damages from more severe climate change, there is a growing body of research showing that these estimates significantly underestimate the true cost. </w:t>
      </w:r>
      <w:r w:rsidR="009E7ABD">
        <w:t xml:space="preserve">This is because it is challenging to </w:t>
      </w:r>
      <w:r w:rsidR="00C97AA1">
        <w:t>quantify</w:t>
      </w:r>
      <w:r w:rsidR="009E7ABD">
        <w:t xml:space="preserve"> </w:t>
      </w:r>
      <w:r w:rsidR="000B57FB">
        <w:t xml:space="preserve">many of the most serious consequences </w:t>
      </w:r>
      <w:r w:rsidR="009E7ABD">
        <w:t>of climate change</w:t>
      </w:r>
      <w:r w:rsidR="00C97AA1">
        <w:t xml:space="preserve"> as they lie outside of human experience. </w:t>
      </w:r>
      <w:r w:rsidR="00A26534">
        <w:t xml:space="preserve">However, researchers </w:t>
      </w:r>
      <w:r w:rsidR="00B25559">
        <w:t xml:space="preserve">note that these risks provide a compelling reason for the </w:t>
      </w:r>
      <w:r w:rsidR="00C41FD2">
        <w:t>world</w:t>
      </w:r>
      <w:r w:rsidR="00B25559">
        <w:t xml:space="preserve"> to work together to reduce emissions</w:t>
      </w:r>
      <w:r w:rsidR="0050173E">
        <w:t>.</w:t>
      </w:r>
      <w:r w:rsidR="00C97AA1">
        <w:t xml:space="preserve"> </w:t>
      </w:r>
    </w:p>
    <w:p w14:paraId="6F970F87" w14:textId="103A18F6" w:rsidR="002A372D" w:rsidRPr="00DF1564" w:rsidRDefault="002A372D" w:rsidP="00EA637D">
      <w:pPr>
        <w:rPr>
          <w:rFonts w:ascii="Calibri" w:hAnsi="Calibri" w:cs="Calibri"/>
          <w:color w:val="000000"/>
        </w:rPr>
      </w:pPr>
      <w:r w:rsidRPr="71AB2B91">
        <w:t xml:space="preserve">International and domestic research </w:t>
      </w:r>
      <w:r w:rsidR="00C91E19">
        <w:t xml:space="preserve">also </w:t>
      </w:r>
      <w:r w:rsidRPr="71AB2B91">
        <w:t xml:space="preserve">suggests </w:t>
      </w:r>
      <w:r w:rsidR="00C91E19">
        <w:t xml:space="preserve">there are </w:t>
      </w:r>
      <w:r w:rsidRPr="71AB2B91">
        <w:t>significant benefits to reducing emissions</w:t>
      </w:r>
      <w:r w:rsidR="00C91E19">
        <w:t xml:space="preserve"> </w:t>
      </w:r>
      <w:r w:rsidRPr="71AB2B91">
        <w:t>in the more immediate term. Benefits to health, productivity and incomes all tip the balance further in favour of acting to reduce emissions.</w:t>
      </w:r>
    </w:p>
    <w:p w14:paraId="113BA52F" w14:textId="0C45CBB1" w:rsidR="002A372D" w:rsidRPr="00DF1564" w:rsidRDefault="002A372D" w:rsidP="00EA637D">
      <w:pPr>
        <w:rPr>
          <w:color w:val="000000"/>
        </w:rPr>
      </w:pPr>
      <w:r w:rsidRPr="71AB2B91">
        <w:t xml:space="preserve">Our economic modelling indicates </w:t>
      </w:r>
      <w:r w:rsidR="00753D7D">
        <w:t>the</w:t>
      </w:r>
      <w:r w:rsidRPr="71AB2B91">
        <w:t xml:space="preserve"> economy would continue to grow under our proposed emissions budgets. Under current policy settings, GDP </w:t>
      </w:r>
      <w:r w:rsidR="00F66CF1">
        <w:t>is projected to</w:t>
      </w:r>
      <w:r w:rsidR="00F66CF1" w:rsidRPr="71AB2B91">
        <w:t xml:space="preserve"> </w:t>
      </w:r>
      <w:r w:rsidRPr="71AB2B91">
        <w:t xml:space="preserve">grow to $396 billion by 2035, and $512 billion by 2050. This does not include the climate impacts that would be more severe if Aotearoa </w:t>
      </w:r>
      <w:r w:rsidR="003C74BF">
        <w:t xml:space="preserve">and other countries </w:t>
      </w:r>
      <w:r w:rsidRPr="71AB2B91">
        <w:t xml:space="preserve">did not </w:t>
      </w:r>
      <w:r w:rsidR="003C74BF">
        <w:t>act to reduce emissions</w:t>
      </w:r>
      <w:r w:rsidRPr="71AB2B91">
        <w:t>.</w:t>
      </w:r>
      <w:r w:rsidR="001A754E">
        <w:t xml:space="preserve"> We have </w:t>
      </w:r>
      <w:r w:rsidR="003C74BF">
        <w:t xml:space="preserve">also </w:t>
      </w:r>
      <w:r w:rsidR="001A754E">
        <w:t>heard consistently from the food and fibre sector that Aotearoa</w:t>
      </w:r>
      <w:r w:rsidR="001607DC">
        <w:t xml:space="preserve"> businesses will lose access to </w:t>
      </w:r>
      <w:r w:rsidR="00F37B3C">
        <w:t xml:space="preserve">some international </w:t>
      </w:r>
      <w:r w:rsidR="001607DC">
        <w:t>market</w:t>
      </w:r>
      <w:r w:rsidR="00F37B3C">
        <w:t>s</w:t>
      </w:r>
      <w:r w:rsidR="001607DC">
        <w:t xml:space="preserve"> if </w:t>
      </w:r>
      <w:r w:rsidR="006A7882">
        <w:t>we</w:t>
      </w:r>
      <w:r w:rsidR="001607DC">
        <w:t xml:space="preserve"> fail to take timely action </w:t>
      </w:r>
      <w:r w:rsidR="00093606">
        <w:t>to reduce emissions.</w:t>
      </w:r>
    </w:p>
    <w:p w14:paraId="7D34D2EA" w14:textId="773ACB7B" w:rsidR="003C74BF" w:rsidRDefault="00DC2C4B" w:rsidP="003C74BF">
      <w:pPr>
        <w:rPr>
          <w:rFonts w:ascii="Calibri" w:hAnsi="Calibri" w:cs="Calibri"/>
          <w:color w:val="000000" w:themeColor="text1"/>
        </w:rPr>
      </w:pPr>
      <w:r>
        <w:lastRenderedPageBreak/>
        <w:t xml:space="preserve">Our modelling </w:t>
      </w:r>
      <w:r w:rsidR="001062D2">
        <w:t>suggests</w:t>
      </w:r>
      <w:r>
        <w:t xml:space="preserve"> that </w:t>
      </w:r>
      <w:r w:rsidR="003C74BF" w:rsidRPr="71AB2B91">
        <w:rPr>
          <w:rFonts w:ascii="Calibri" w:hAnsi="Calibri" w:cs="Calibri"/>
          <w:color w:val="000000" w:themeColor="text1"/>
        </w:rPr>
        <w:t>meet</w:t>
      </w:r>
      <w:r w:rsidR="00A35F12">
        <w:rPr>
          <w:rFonts w:ascii="Calibri" w:hAnsi="Calibri" w:cs="Calibri"/>
          <w:color w:val="000000" w:themeColor="text1"/>
        </w:rPr>
        <w:t>ing</w:t>
      </w:r>
      <w:r w:rsidR="003C74BF" w:rsidRPr="71AB2B91">
        <w:rPr>
          <w:rFonts w:ascii="Calibri" w:hAnsi="Calibri" w:cs="Calibri"/>
          <w:color w:val="000000" w:themeColor="text1"/>
        </w:rPr>
        <w:t xml:space="preserve"> </w:t>
      </w:r>
      <w:r w:rsidR="00B8180F">
        <w:rPr>
          <w:rFonts w:ascii="Calibri" w:hAnsi="Calibri" w:cs="Calibri"/>
          <w:color w:val="000000" w:themeColor="text1"/>
        </w:rPr>
        <w:t>the 2050</w:t>
      </w:r>
      <w:r w:rsidR="003C74BF" w:rsidRPr="71AB2B91">
        <w:rPr>
          <w:rFonts w:ascii="Calibri" w:hAnsi="Calibri" w:cs="Calibri"/>
          <w:color w:val="000000" w:themeColor="text1"/>
        </w:rPr>
        <w:t xml:space="preserve"> targets for biogenic methane and long-lived gases would result in GDP growing </w:t>
      </w:r>
      <w:r w:rsidR="003C74BF">
        <w:rPr>
          <w:rFonts w:ascii="Calibri" w:hAnsi="Calibri" w:cs="Calibri"/>
          <w:color w:val="000000" w:themeColor="text1"/>
        </w:rPr>
        <w:t xml:space="preserve">to </w:t>
      </w:r>
      <w:r w:rsidR="0043752C">
        <w:rPr>
          <w:rFonts w:ascii="Calibri" w:hAnsi="Calibri" w:cs="Calibri"/>
          <w:color w:val="000000" w:themeColor="text1"/>
        </w:rPr>
        <w:t xml:space="preserve">about </w:t>
      </w:r>
      <w:r w:rsidR="003C74BF" w:rsidRPr="71AB2B91">
        <w:rPr>
          <w:rFonts w:ascii="Calibri" w:hAnsi="Calibri" w:cs="Calibri"/>
          <w:color w:val="000000" w:themeColor="text1"/>
        </w:rPr>
        <w:t xml:space="preserve">$508 billion by 2050. This the equivalent of taking another </w:t>
      </w:r>
      <w:r w:rsidR="0043752C">
        <w:rPr>
          <w:rFonts w:ascii="Calibri" w:hAnsi="Calibri" w:cs="Calibri"/>
          <w:color w:val="000000" w:themeColor="text1"/>
        </w:rPr>
        <w:t>6</w:t>
      </w:r>
      <w:r w:rsidR="003C74BF" w:rsidRPr="71AB2B91">
        <w:rPr>
          <w:rFonts w:ascii="Calibri" w:hAnsi="Calibri" w:cs="Calibri"/>
          <w:color w:val="000000" w:themeColor="text1"/>
        </w:rPr>
        <w:t xml:space="preserve"> to </w:t>
      </w:r>
      <w:r w:rsidR="003C74BF">
        <w:rPr>
          <w:rFonts w:ascii="Calibri" w:hAnsi="Calibri" w:cs="Calibri"/>
          <w:color w:val="000000" w:themeColor="text1"/>
        </w:rPr>
        <w:t>7</w:t>
      </w:r>
      <w:r w:rsidR="003C74BF" w:rsidRPr="71AB2B91">
        <w:rPr>
          <w:rFonts w:ascii="Calibri" w:hAnsi="Calibri" w:cs="Calibri"/>
          <w:color w:val="000000" w:themeColor="text1"/>
        </w:rPr>
        <w:t xml:space="preserve"> months to get to the same level of GDP</w:t>
      </w:r>
      <w:r w:rsidR="00107109">
        <w:rPr>
          <w:rFonts w:ascii="Calibri" w:hAnsi="Calibri" w:cs="Calibri"/>
          <w:color w:val="000000" w:themeColor="text1"/>
        </w:rPr>
        <w:t xml:space="preserve"> as </w:t>
      </w:r>
      <w:r w:rsidR="002B3B04">
        <w:rPr>
          <w:rFonts w:ascii="Calibri" w:hAnsi="Calibri" w:cs="Calibri"/>
          <w:color w:val="000000" w:themeColor="text1"/>
        </w:rPr>
        <w:t>under current policy settings</w:t>
      </w:r>
      <w:r w:rsidR="003C74BF" w:rsidRPr="71AB2B91">
        <w:rPr>
          <w:rFonts w:ascii="Calibri" w:hAnsi="Calibri" w:cs="Calibri"/>
          <w:color w:val="000000" w:themeColor="text1"/>
        </w:rPr>
        <w:t xml:space="preserve">. </w:t>
      </w:r>
    </w:p>
    <w:p w14:paraId="6581BDEC" w14:textId="1ABA50DF" w:rsidR="00F30C0C" w:rsidRPr="00DF1564" w:rsidRDefault="003C74BF" w:rsidP="00EA637D">
      <w:pPr>
        <w:rPr>
          <w:rFonts w:ascii="Calibri" w:hAnsi="Calibri" w:cs="Calibri"/>
          <w:color w:val="000000"/>
        </w:rPr>
      </w:pPr>
      <w:r>
        <w:rPr>
          <w:rFonts w:ascii="Calibri" w:hAnsi="Calibri" w:cs="Calibri"/>
          <w:color w:val="000000" w:themeColor="text1"/>
        </w:rPr>
        <w:t xml:space="preserve">Looking out to 2035, </w:t>
      </w:r>
      <w:r>
        <w:t>o</w:t>
      </w:r>
      <w:r w:rsidR="002A372D" w:rsidRPr="71AB2B91">
        <w:t>ur modelling suggests that reducing</w:t>
      </w:r>
      <w:r w:rsidR="002A372D" w:rsidRPr="71AB2B91">
        <w:rPr>
          <w:rFonts w:ascii="Calibri" w:hAnsi="Calibri" w:cs="Calibri"/>
          <w:color w:val="000000" w:themeColor="text1"/>
        </w:rPr>
        <w:t xml:space="preserve"> emissions to meet our proposed emissions budgets would cost Aotearoa no more than $</w:t>
      </w:r>
      <w:r>
        <w:rPr>
          <w:rFonts w:ascii="Calibri" w:hAnsi="Calibri" w:cs="Calibri"/>
          <w:color w:val="000000" w:themeColor="text1"/>
        </w:rPr>
        <w:t>190</w:t>
      </w:r>
      <w:r w:rsidR="002A372D" w:rsidRPr="71AB2B91">
        <w:rPr>
          <w:rFonts w:ascii="Calibri" w:hAnsi="Calibri" w:cs="Calibri"/>
          <w:color w:val="000000" w:themeColor="text1"/>
        </w:rPr>
        <w:t xml:space="preserve"> million each year over emissions budget 1, $2.3 billion each year over emissions budget 2, and $4.3 billion each year over emission</w:t>
      </w:r>
      <w:r>
        <w:rPr>
          <w:rFonts w:ascii="Calibri" w:hAnsi="Calibri" w:cs="Calibri"/>
          <w:color w:val="000000" w:themeColor="text1"/>
        </w:rPr>
        <w:t>s</w:t>
      </w:r>
      <w:r w:rsidR="002A372D" w:rsidRPr="71AB2B91">
        <w:rPr>
          <w:rFonts w:ascii="Calibri" w:hAnsi="Calibri" w:cs="Calibri"/>
          <w:color w:val="000000" w:themeColor="text1"/>
        </w:rPr>
        <w:t xml:space="preserve"> budget 3.</w:t>
      </w:r>
      <w:r>
        <w:rPr>
          <w:rFonts w:ascii="Calibri" w:hAnsi="Calibri" w:cs="Calibri"/>
          <w:color w:val="000000" w:themeColor="text1"/>
        </w:rPr>
        <w:t xml:space="preserve"> </w:t>
      </w:r>
      <w:r w:rsidR="00F8540F">
        <w:rPr>
          <w:rFonts w:ascii="Calibri" w:hAnsi="Calibri" w:cs="Calibri"/>
          <w:color w:val="000000" w:themeColor="text1"/>
        </w:rPr>
        <w:t xml:space="preserve">It is difficult to </w:t>
      </w:r>
      <w:r w:rsidR="00DD2880">
        <w:rPr>
          <w:rFonts w:ascii="Calibri" w:hAnsi="Calibri" w:cs="Calibri"/>
          <w:color w:val="000000" w:themeColor="text1"/>
        </w:rPr>
        <w:t>estimate the benefits of action with any accuracy as there is significant uncertainty in how the benefits will actually be realised.</w:t>
      </w:r>
    </w:p>
    <w:p w14:paraId="71E6A8F8" w14:textId="779805ED" w:rsidR="0027527F" w:rsidRPr="003C74BF" w:rsidRDefault="0027527F" w:rsidP="003C74BF">
      <w:pPr>
        <w:rPr>
          <w:rFonts w:ascii="Calibri" w:hAnsi="Calibri" w:cs="Calibri"/>
          <w:color w:val="000000" w:themeColor="text1"/>
        </w:rPr>
      </w:pPr>
      <w:r>
        <w:rPr>
          <w:rFonts w:ascii="Calibri" w:hAnsi="Calibri" w:cs="Calibri"/>
          <w:color w:val="000000" w:themeColor="text1"/>
        </w:rPr>
        <w:t>These findings are in line with international estimates, such as those by the United Kingdom Committee on Climate Change and European Commission (see Chapter 12 of the Evidence Report). Internationally, the cost of deploying technology to meet emissions reduction targets is decreasing faster than expected. As a result, countries like United Kingdom have re-assessed cost estimates of greenhouse gas emissions targets downwards over time.</w:t>
      </w:r>
    </w:p>
    <w:p w14:paraId="2E8561C1" w14:textId="7FD59C7A" w:rsidR="003C74BF" w:rsidRDefault="003C74BF" w:rsidP="00EA637D">
      <w:pPr>
        <w:rPr>
          <w:rFonts w:ascii="Calibri" w:hAnsi="Calibri" w:cs="Calibri"/>
          <w:color w:val="000000" w:themeColor="text1"/>
        </w:rPr>
      </w:pPr>
      <w:r>
        <w:rPr>
          <w:rFonts w:ascii="Calibri" w:hAnsi="Calibri" w:cs="Calibri"/>
          <w:color w:val="000000" w:themeColor="text1"/>
        </w:rPr>
        <w:t>The economy will continue to experience external shocks over time. The COVID-19 pandemic is an example of this. While these can be difficult times, they also provide opportunities to bring forward investment that stimulates the economy and accelerate the climate transition.</w:t>
      </w:r>
    </w:p>
    <w:p w14:paraId="70B73458" w14:textId="638C2F48" w:rsidR="00370910" w:rsidRPr="00370910" w:rsidRDefault="00370910" w:rsidP="00370910">
      <w:pPr>
        <w:pStyle w:val="Heading4"/>
      </w:pPr>
      <w:r w:rsidRPr="00370910">
        <w:t>What will the overall impact be</w:t>
      </w:r>
      <w:r w:rsidR="003A3221" w:rsidRPr="00370910">
        <w:t>?</w:t>
      </w:r>
      <w:r w:rsidR="003A3221" w:rsidRPr="00370910">
        <w:rPr>
          <w:lang w:val="en-US"/>
        </w:rPr>
        <w:t xml:space="preserve"> ​</w:t>
      </w:r>
    </w:p>
    <w:p w14:paraId="3F6001D0" w14:textId="71119642" w:rsidR="00370910" w:rsidRPr="00370910" w:rsidRDefault="00370910" w:rsidP="00370910">
      <w:r w:rsidRPr="00370910">
        <w:t xml:space="preserve">Our modelling shows that </w:t>
      </w:r>
      <w:r w:rsidR="003C74BF">
        <w:t>Aotearoa</w:t>
      </w:r>
      <w:r w:rsidRPr="00370910">
        <w:t xml:space="preserve"> can decarbonise the economy while continuing to grow GDP. The overall costs of meeting </w:t>
      </w:r>
      <w:r w:rsidR="005A2187">
        <w:t>the country’s</w:t>
      </w:r>
      <w:r w:rsidRPr="00370910">
        <w:t xml:space="preserve"> targets and our proposed emissions budgets </w:t>
      </w:r>
      <w:r w:rsidR="00A57E26">
        <w:t>are estimated</w:t>
      </w:r>
      <w:r w:rsidR="003C74BF">
        <w:t xml:space="preserve"> </w:t>
      </w:r>
      <w:r w:rsidRPr="00370910">
        <w:t>at</w:t>
      </w:r>
      <w:r w:rsidR="003C74BF">
        <w:t xml:space="preserve"> </w:t>
      </w:r>
      <w:r w:rsidRPr="00370910">
        <w:t>less than 1% of projected annual GDP</w:t>
      </w:r>
      <w:r w:rsidR="00A57E26">
        <w:t>. This is significantly</w:t>
      </w:r>
      <w:r w:rsidR="003C74BF">
        <w:t xml:space="preserve"> </w:t>
      </w:r>
      <w:r w:rsidRPr="00370910">
        <w:t>lower than what was estimated when the 2050 targets were set</w:t>
      </w:r>
      <w:r w:rsidR="00A57E26">
        <w:t xml:space="preserve"> </w:t>
      </w:r>
      <w:r w:rsidR="00A57E26">
        <w:rPr>
          <w:rFonts w:ascii="Calibri" w:hAnsi="Calibri" w:cs="Calibri"/>
          <w:color w:val="000000" w:themeColor="text1"/>
        </w:rPr>
        <w:t xml:space="preserve">(see Chapter </w:t>
      </w:r>
      <w:r w:rsidR="00CF6DAD">
        <w:rPr>
          <w:rFonts w:ascii="Calibri" w:hAnsi="Calibri" w:cs="Calibri"/>
          <w:color w:val="000000" w:themeColor="text1"/>
        </w:rPr>
        <w:t>12</w:t>
      </w:r>
      <w:r w:rsidR="00A57E26">
        <w:rPr>
          <w:rFonts w:ascii="Calibri" w:hAnsi="Calibri" w:cs="Calibri"/>
          <w:color w:val="000000" w:themeColor="text1"/>
        </w:rPr>
        <w:t xml:space="preserve"> of the Evidence Report)</w:t>
      </w:r>
      <w:r w:rsidRPr="00370910">
        <w:t xml:space="preserve">. </w:t>
      </w:r>
      <w:r w:rsidRPr="00370910">
        <w:rPr>
          <w:lang w:val="en-US"/>
        </w:rPr>
        <w:t>International experience shows that estimated costs are often overstated because technologies improve faster than expected</w:t>
      </w:r>
      <w:r w:rsidR="003A3221" w:rsidRPr="00370910">
        <w:rPr>
          <w:lang w:val="en-US"/>
        </w:rPr>
        <w:t>.</w:t>
      </w:r>
      <w:r w:rsidR="003A3221" w:rsidRPr="00370910">
        <w:t xml:space="preserve"> ​</w:t>
      </w:r>
    </w:p>
    <w:p w14:paraId="61326D7D" w14:textId="77777777" w:rsidR="00370910" w:rsidRPr="00370910" w:rsidRDefault="00370910" w:rsidP="00370910">
      <w:r w:rsidRPr="00370910">
        <w:rPr>
          <w:lang w:val="en-US"/>
        </w:rPr>
        <w:t>While the overall costs are small relative to the size of the whole economy, they will not be evenly felt. Some sectors of society will experience greater impacts, both positive and negative. Government must put in place policies to support those most disadvantaged and those least able to adjust, and to ensure an equitable and inclusive transition. This is discussed elsewhere throughout this chapter.</w:t>
      </w:r>
    </w:p>
    <w:p w14:paraId="0722C1D6" w14:textId="7C398DC9" w:rsidR="00D22E63" w:rsidRPr="00BD7C8B" w:rsidRDefault="00370910" w:rsidP="00EA637D">
      <w:pPr>
        <w:rPr>
          <w:rFonts w:ascii="Calibri" w:hAnsi="Calibri" w:cs="Calibri"/>
          <w:color w:val="000000"/>
        </w:rPr>
      </w:pPr>
      <w:r w:rsidRPr="00370910">
        <w:t>Taking the recommended actions now will avoid unnecessary costs. </w:t>
      </w:r>
      <w:r w:rsidRPr="00370910">
        <w:rPr>
          <w:lang w:val="en-US"/>
        </w:rPr>
        <w:t xml:space="preserve">Aotearoa will need to make significant investments now, but these will pay dividends in the future. These investments can stimulate the economy and support the post-COVID-19 recovery. Some of these investments, such as investments in energy efficiency, can pay for themselves through savings in energy use. </w:t>
      </w:r>
    </w:p>
    <w:p w14:paraId="68509863" w14:textId="4815D2B9" w:rsidR="002A372D" w:rsidRPr="00241DF1" w:rsidRDefault="008867DA" w:rsidP="00EA637D">
      <w:pPr>
        <w:pStyle w:val="Heading2"/>
      </w:pPr>
      <w:bookmarkStart w:id="180" w:name="_Toc62650289"/>
      <w:r>
        <w:t xml:space="preserve">5.5 </w:t>
      </w:r>
      <w:r w:rsidR="005A2187">
        <w:t>B</w:t>
      </w:r>
      <w:r w:rsidR="002A372D" w:rsidRPr="00940C7F">
        <w:t>usiness</w:t>
      </w:r>
      <w:r w:rsidR="00145689">
        <w:t xml:space="preserve">, </w:t>
      </w:r>
      <w:r w:rsidR="002A372D" w:rsidRPr="00241DF1">
        <w:t>industry</w:t>
      </w:r>
      <w:r w:rsidR="00145689">
        <w:t xml:space="preserve"> and workers</w:t>
      </w:r>
      <w:bookmarkEnd w:id="180"/>
    </w:p>
    <w:p w14:paraId="76F2EF85" w14:textId="5F6DA8F4" w:rsidR="002A372D" w:rsidRPr="00BD7C8B" w:rsidRDefault="002A372D" w:rsidP="00F75D69">
      <w:pPr>
        <w:rPr>
          <w:rFonts w:ascii="Calibri" w:hAnsi="Calibri" w:cs="Calibri"/>
          <w:color w:val="000000"/>
        </w:rPr>
      </w:pPr>
      <w:r w:rsidRPr="71AB2B91">
        <w:t xml:space="preserve">Many businesses in Aotearoa are connected to the global economy and compete in international markets. We have heard from businesses that </w:t>
      </w:r>
      <w:r w:rsidR="00C37B3A">
        <w:t xml:space="preserve">they want to transition, but they need strong stable and predictable </w:t>
      </w:r>
      <w:r w:rsidRPr="71AB2B91">
        <w:t>policy</w:t>
      </w:r>
      <w:r w:rsidR="00D61909">
        <w:t xml:space="preserve"> to allow them to plan. If not managed well, </w:t>
      </w:r>
      <w:r>
        <w:t>climate policy</w:t>
      </w:r>
      <w:r w:rsidRPr="71AB2B91">
        <w:t xml:space="preserve"> could potentially increase costs and reduce their competitiveness. </w:t>
      </w:r>
      <w:r w:rsidR="004442BB">
        <w:t>At the same time, there are risks to market access if businesses do not reduce emissions as international markets are increasingly seeking low emissions products.</w:t>
      </w:r>
      <w:r>
        <w:t xml:space="preserve"> </w:t>
      </w:r>
      <w:r w:rsidRPr="71AB2B91">
        <w:rPr>
          <w:rFonts w:ascii="Calibri" w:hAnsi="Calibri" w:cs="Calibri"/>
          <w:color w:val="000000" w:themeColor="text1"/>
        </w:rPr>
        <w:t>It will be important to monitor global markets and actions by competitors to understand the impacts. This is an important ongoing task for the Commission.</w:t>
      </w:r>
    </w:p>
    <w:p w14:paraId="60DBAE2F" w14:textId="7EE2BCE8" w:rsidR="002A372D" w:rsidRPr="00BD7C8B" w:rsidRDefault="002A372D" w:rsidP="00F75D69">
      <w:pPr>
        <w:rPr>
          <w:rFonts w:ascii="Calibri" w:hAnsi="Calibri" w:cs="Calibri"/>
          <w:color w:val="000000"/>
        </w:rPr>
      </w:pPr>
      <w:r w:rsidRPr="71AB2B91">
        <w:lastRenderedPageBreak/>
        <w:t>Aotearoa has built up thriving industries that have provided New Zealanders with livelihoods and been significant contributors to our economy. Our country has benefited from</w:t>
      </w:r>
      <w:r w:rsidRPr="71AB2B91">
        <w:rPr>
          <w:rFonts w:ascii="Calibri" w:hAnsi="Calibri" w:cs="Calibri"/>
          <w:color w:val="000000" w:themeColor="text1"/>
        </w:rPr>
        <w:t xml:space="preserve"> working the land, with the food and fibre sector a major employer and providing 35% of </w:t>
      </w:r>
      <w:r w:rsidR="005A2187">
        <w:rPr>
          <w:rFonts w:ascii="Calibri" w:hAnsi="Calibri" w:cs="Calibri"/>
          <w:color w:val="000000" w:themeColor="text1"/>
        </w:rPr>
        <w:t>the country’s</w:t>
      </w:r>
      <w:r w:rsidR="005A2187" w:rsidRPr="71AB2B91">
        <w:rPr>
          <w:rFonts w:ascii="Calibri" w:hAnsi="Calibri" w:cs="Calibri"/>
          <w:color w:val="000000" w:themeColor="text1"/>
        </w:rPr>
        <w:t xml:space="preserve"> </w:t>
      </w:r>
      <w:r w:rsidRPr="71AB2B91">
        <w:rPr>
          <w:rFonts w:ascii="Calibri" w:hAnsi="Calibri" w:cs="Calibri"/>
          <w:color w:val="000000" w:themeColor="text1"/>
        </w:rPr>
        <w:t>exports. Mining, oil and gas, and other industries have been important for regional economic development, providing many with jobs. These industries were</w:t>
      </w:r>
      <w:r w:rsidR="00CC70C0">
        <w:rPr>
          <w:rFonts w:ascii="Calibri" w:hAnsi="Calibri" w:cs="Calibri"/>
          <w:color w:val="000000" w:themeColor="text1"/>
        </w:rPr>
        <w:t xml:space="preserve"> </w:t>
      </w:r>
      <w:r w:rsidRPr="71AB2B91">
        <w:rPr>
          <w:rFonts w:ascii="Calibri" w:hAnsi="Calibri" w:cs="Calibri"/>
          <w:color w:val="000000" w:themeColor="text1"/>
        </w:rPr>
        <w:t>n</w:t>
      </w:r>
      <w:r w:rsidR="00CC70C0">
        <w:rPr>
          <w:rFonts w:ascii="Calibri" w:hAnsi="Calibri" w:cs="Calibri"/>
          <w:color w:val="000000" w:themeColor="text1"/>
        </w:rPr>
        <w:t>o</w:t>
      </w:r>
      <w:r w:rsidRPr="71AB2B91">
        <w:rPr>
          <w:rFonts w:ascii="Calibri" w:hAnsi="Calibri" w:cs="Calibri"/>
          <w:color w:val="000000" w:themeColor="text1"/>
        </w:rPr>
        <w:t>t built with the knowledge of their emissions, and helped Aotearoa thrive.</w:t>
      </w:r>
    </w:p>
    <w:p w14:paraId="66B63E6D" w14:textId="65880E7D" w:rsidR="002A372D" w:rsidRPr="00C537A9" w:rsidRDefault="008867DA" w:rsidP="00F75D69">
      <w:pPr>
        <w:pStyle w:val="Heading3"/>
      </w:pPr>
      <w:bookmarkStart w:id="181" w:name="_Toc62649349"/>
      <w:bookmarkStart w:id="182" w:name="_Toc62650290"/>
      <w:r>
        <w:t xml:space="preserve">5.5.1 </w:t>
      </w:r>
      <w:r w:rsidR="002A372D" w:rsidRPr="00940C7F">
        <w:t>Food and fibre production</w:t>
      </w:r>
      <w:bookmarkEnd w:id="181"/>
      <w:bookmarkEnd w:id="182"/>
    </w:p>
    <w:p w14:paraId="6D0BFB60" w14:textId="3F07F977" w:rsidR="005C48AC" w:rsidRDefault="002A372D" w:rsidP="00F75D69">
      <w:r w:rsidRPr="71AB2B91">
        <w:t xml:space="preserve">As part of the climate transition, </w:t>
      </w:r>
      <w:r w:rsidR="004E334F">
        <w:t xml:space="preserve">the food and fibre sector will need to reduce on-farm </w:t>
      </w:r>
      <w:r w:rsidR="004E334F" w:rsidRPr="71AB2B91">
        <w:t>biogenic methane and nitrous oxide emissions</w:t>
      </w:r>
      <w:r w:rsidR="004E334F">
        <w:t xml:space="preserve">, and carbon dioxide emissions from </w:t>
      </w:r>
      <w:r w:rsidR="00B1244A">
        <w:t>transport and processing plants.</w:t>
      </w:r>
      <w:r w:rsidR="004E334F">
        <w:t xml:space="preserve"> </w:t>
      </w:r>
      <w:r w:rsidR="003303AF">
        <w:t xml:space="preserve">Farmer innovation </w:t>
      </w:r>
      <w:r w:rsidR="002F293D">
        <w:t xml:space="preserve">and competing in markets against subsidised </w:t>
      </w:r>
      <w:r w:rsidR="00313A75">
        <w:t>producers</w:t>
      </w:r>
      <w:r w:rsidR="003303AF">
        <w:t xml:space="preserve"> means that</w:t>
      </w:r>
      <w:r w:rsidR="00B1244A">
        <w:t xml:space="preserve"> </w:t>
      </w:r>
      <w:r w:rsidR="005A2187">
        <w:t xml:space="preserve">the country’s </w:t>
      </w:r>
      <w:r w:rsidR="00B1244A">
        <w:t>pasture</w:t>
      </w:r>
      <w:r w:rsidR="002A62B7">
        <w:t>-</w:t>
      </w:r>
      <w:r w:rsidR="00B1244A">
        <w:t xml:space="preserve">based </w:t>
      </w:r>
      <w:r w:rsidR="00400F77">
        <w:t xml:space="preserve">agriculture </w:t>
      </w:r>
      <w:r w:rsidR="00B1244A">
        <w:t>ha</w:t>
      </w:r>
      <w:r w:rsidR="00400F77">
        <w:t>s</w:t>
      </w:r>
      <w:r w:rsidR="00B1244A">
        <w:t xml:space="preserve"> one of the lowest emissions footprints in the world</w:t>
      </w:r>
      <w:r w:rsidR="003303AF">
        <w:t xml:space="preserve">. </w:t>
      </w:r>
    </w:p>
    <w:p w14:paraId="08DFB876" w14:textId="22DC0080" w:rsidR="004E334F" w:rsidRDefault="003303AF" w:rsidP="00F75D69">
      <w:r>
        <w:t>However</w:t>
      </w:r>
      <w:r w:rsidR="00B1244A">
        <w:t xml:space="preserve">, Aotearoa may lose market access as global markets increasingly seek lower emissions products such as </w:t>
      </w:r>
      <w:r w:rsidR="003C74BF">
        <w:t xml:space="preserve">low emissions </w:t>
      </w:r>
      <w:r w:rsidR="00B1244A">
        <w:t>alternative and synthetic proteins.</w:t>
      </w:r>
      <w:r w:rsidR="00B1244A" w:rsidRPr="71AB2B91">
        <w:t xml:space="preserve"> </w:t>
      </w:r>
      <w:r w:rsidR="00C25F73">
        <w:t>There is good reason to believe that production in Aotearoa will be competitive in a low emissions future where meat and dairy products are still consumed.</w:t>
      </w:r>
    </w:p>
    <w:p w14:paraId="0A921FDE" w14:textId="2FFA233F" w:rsidR="00114E7A" w:rsidRDefault="007F6966" w:rsidP="00F75D69">
      <w:r>
        <w:t>Farmers are already taking action to improve water quality</w:t>
      </w:r>
      <w:r w:rsidR="00114E7A">
        <w:t>. Many</w:t>
      </w:r>
      <w:r>
        <w:t xml:space="preserve"> of </w:t>
      </w:r>
      <w:r w:rsidR="00114E7A">
        <w:t>these actions</w:t>
      </w:r>
      <w:r>
        <w:t xml:space="preserve"> </w:t>
      </w:r>
      <w:r w:rsidR="000D7316">
        <w:t xml:space="preserve">also reduce greenhouse gas emissions. </w:t>
      </w:r>
      <w:r w:rsidR="00B67702">
        <w:t xml:space="preserve">This has also been identified and prioritised by </w:t>
      </w:r>
      <w:r w:rsidR="00F52AAB">
        <w:t>g</w:t>
      </w:r>
      <w:r w:rsidR="00B67702">
        <w:t>overnment.</w:t>
      </w:r>
    </w:p>
    <w:p w14:paraId="41A480C6" w14:textId="223F55B3" w:rsidR="002A372D" w:rsidRDefault="002A372D" w:rsidP="00F75D69">
      <w:r w:rsidRPr="71AB2B91">
        <w:t xml:space="preserve">Meeting our proposed emissions budgets </w:t>
      </w:r>
      <w:r w:rsidR="00026E0D">
        <w:t xml:space="preserve">through to 2035 </w:t>
      </w:r>
      <w:r w:rsidR="004C2803">
        <w:t>c</w:t>
      </w:r>
      <w:r w:rsidR="00104405">
        <w:t xml:space="preserve">ould </w:t>
      </w:r>
      <w:r w:rsidRPr="71AB2B91">
        <w:t xml:space="preserve">result in </w:t>
      </w:r>
      <w:r w:rsidR="004C2803">
        <w:t>little change to</w:t>
      </w:r>
      <w:r w:rsidRPr="71AB2B91">
        <w:t xml:space="preserve"> </w:t>
      </w:r>
      <w:r w:rsidR="0072009B">
        <w:t xml:space="preserve">the level of </w:t>
      </w:r>
      <w:r w:rsidR="007F6966">
        <w:t>agricultural production as there are practices changes that can be made on</w:t>
      </w:r>
      <w:r w:rsidR="00F07695">
        <w:t>-</w:t>
      </w:r>
      <w:r w:rsidR="007F6966">
        <w:t xml:space="preserve">farm to reduce emissions without reducing production. </w:t>
      </w:r>
      <w:r w:rsidR="003F4CF4">
        <w:t>However, the output of milk solids would</w:t>
      </w:r>
      <w:r w:rsidRPr="71AB2B91">
        <w:t xml:space="preserve"> </w:t>
      </w:r>
      <w:r w:rsidR="00F66928">
        <w:t>increas</w:t>
      </w:r>
      <w:r w:rsidR="003F4CF4">
        <w:t>e</w:t>
      </w:r>
      <w:r w:rsidR="00F66928">
        <w:t xml:space="preserve"> slightly</w:t>
      </w:r>
      <w:r w:rsidR="00D37640">
        <w:t xml:space="preserve"> and meat output reduc</w:t>
      </w:r>
      <w:r w:rsidR="003F4CF4">
        <w:t>e</w:t>
      </w:r>
      <w:r w:rsidR="00D37640">
        <w:t xml:space="preserve"> slightly</w:t>
      </w:r>
      <w:r w:rsidR="00F66928" w:rsidRPr="71AB2B91">
        <w:t xml:space="preserve"> </w:t>
      </w:r>
      <w:r w:rsidRPr="71AB2B91">
        <w:t>compared to what would happen under current policy settings</w:t>
      </w:r>
      <w:r w:rsidR="00D37640">
        <w:t xml:space="preserve"> (</w:t>
      </w:r>
      <w:r w:rsidR="0027568F">
        <w:t>Figure 5.3</w:t>
      </w:r>
      <w:r w:rsidR="00D37640">
        <w:t>)</w:t>
      </w:r>
      <w:r w:rsidRPr="71AB2B91">
        <w:t xml:space="preserve">. </w:t>
      </w:r>
      <w:r w:rsidR="00186C4E">
        <w:t xml:space="preserve">The impacts on production </w:t>
      </w:r>
      <w:r w:rsidR="0031190A">
        <w:t>beyond 2035 would depend on the availability of new technologies such as a methane inhibitor or vaccine.</w:t>
      </w:r>
      <w:r>
        <w:t xml:space="preserve"> </w:t>
      </w:r>
    </w:p>
    <w:p w14:paraId="12017942" w14:textId="789E2466" w:rsidR="00DC2376" w:rsidRPr="00241DF1" w:rsidRDefault="000C6E4F" w:rsidP="00D84DFD">
      <w:pPr>
        <w:pStyle w:val="Heading4"/>
        <w:rPr>
          <w:b/>
          <w:color w:val="000000"/>
        </w:rPr>
      </w:pPr>
      <w:r>
        <w:t>How can this be managed</w:t>
      </w:r>
      <w:r w:rsidR="00DC2376">
        <w:t>?</w:t>
      </w:r>
      <w:r w:rsidR="00DC2376" w:rsidRPr="00241DF1">
        <w:rPr>
          <w:b/>
          <w:color w:val="000000"/>
        </w:rPr>
        <w:t xml:space="preserve"> </w:t>
      </w:r>
    </w:p>
    <w:p w14:paraId="4C6EA60A" w14:textId="5FB0B3C4" w:rsidR="00B37E2E" w:rsidRDefault="00DC2376" w:rsidP="00DC2376">
      <w:r w:rsidRPr="71AB2B91">
        <w:t xml:space="preserve">Farm businesses will need to adopt practice changes and take up new technology as it becomes available. </w:t>
      </w:r>
      <w:r w:rsidR="00E17CD5">
        <w:t xml:space="preserve">Action could result in improved international market access. </w:t>
      </w:r>
      <w:r w:rsidR="00DD7008">
        <w:t>However, i</w:t>
      </w:r>
      <w:r w:rsidRPr="71AB2B91">
        <w:t>t may be challenging for the</w:t>
      </w:r>
      <w:r w:rsidR="006B369F">
        <w:t xml:space="preserve"> food and fibre sector </w:t>
      </w:r>
      <w:r w:rsidRPr="71AB2B91">
        <w:t>to pass on any costs</w:t>
      </w:r>
      <w:r w:rsidR="00500FB6">
        <w:t>. O</w:t>
      </w:r>
      <w:r w:rsidR="003F6DF1">
        <w:t xml:space="preserve">ur path suggests that </w:t>
      </w:r>
      <w:r w:rsidR="008B3990">
        <w:t>making these changes to reduce emissions on</w:t>
      </w:r>
      <w:r w:rsidR="00127309">
        <w:t>-</w:t>
      </w:r>
      <w:r w:rsidR="008B3990">
        <w:t xml:space="preserve">farm will have little impact on </w:t>
      </w:r>
      <w:r w:rsidR="000F41D2">
        <w:t>how much food and fibre is produced</w:t>
      </w:r>
      <w:r w:rsidR="001546D8">
        <w:t xml:space="preserve"> in Aotearoa</w:t>
      </w:r>
      <w:r w:rsidR="0040260F">
        <w:t>.</w:t>
      </w:r>
      <w:r w:rsidR="005E29EB">
        <w:t xml:space="preserve"> </w:t>
      </w:r>
    </w:p>
    <w:p w14:paraId="2BEAE6DC" w14:textId="2A26F9A3" w:rsidR="001F5ECD" w:rsidRDefault="005A2187" w:rsidP="00DC2376">
      <w:r>
        <w:t>Approximately</w:t>
      </w:r>
      <w:r w:rsidR="0030150C" w:rsidRPr="71AB2B91">
        <w:t xml:space="preserve"> 20,000 to 30,000 farm businesses </w:t>
      </w:r>
      <w:r>
        <w:t xml:space="preserve">in Aotearoa </w:t>
      </w:r>
      <w:r w:rsidR="0030150C" w:rsidRPr="71AB2B91">
        <w:t>will need to reduce their biogenic methane and nitrous oxide emissions</w:t>
      </w:r>
      <w:r w:rsidR="0030150C">
        <w:t xml:space="preserve"> by making on-farm practice changes</w:t>
      </w:r>
      <w:r w:rsidR="0030150C" w:rsidRPr="71AB2B91">
        <w:t xml:space="preserve">. </w:t>
      </w:r>
      <w:r w:rsidR="00500FB6">
        <w:t>Many farmers are already making these changes but will need to push these changes further.</w:t>
      </w:r>
      <w:r w:rsidR="0030150C" w:rsidRPr="71AB2B91">
        <w:t xml:space="preserve"> </w:t>
      </w:r>
      <w:r w:rsidR="0076043B">
        <w:t xml:space="preserve">Making these changes will require </w:t>
      </w:r>
      <w:r w:rsidR="00EB20C8" w:rsidRPr="00EB20C8">
        <w:t>skilled farm management and high-quality data</w:t>
      </w:r>
      <w:r w:rsidR="0076043B">
        <w:t xml:space="preserve">. </w:t>
      </w:r>
      <w:r w:rsidR="00935F37">
        <w:t>Advisory s</w:t>
      </w:r>
      <w:r w:rsidR="00386403">
        <w:t xml:space="preserve">ervices will need to work closely with farm managers </w:t>
      </w:r>
      <w:r w:rsidR="00DC6304">
        <w:t>to achieve this.</w:t>
      </w:r>
    </w:p>
    <w:p w14:paraId="5D959AFD" w14:textId="34439C36" w:rsidR="00DC2376" w:rsidRPr="00BD7C8B" w:rsidRDefault="00E43024" w:rsidP="00DC2376">
      <w:pPr>
        <w:rPr>
          <w:color w:val="000000"/>
        </w:rPr>
      </w:pPr>
      <w:r>
        <w:t>N</w:t>
      </w:r>
      <w:r w:rsidR="005E29EB">
        <w:t xml:space="preserve">ew technologies such as </w:t>
      </w:r>
      <w:r>
        <w:t>a methane inhibitor or vaccine would h</w:t>
      </w:r>
      <w:r w:rsidR="00E46A83">
        <w:t>elp to significantly reduce emissions from the sector</w:t>
      </w:r>
      <w:r w:rsidR="00BF4503">
        <w:t xml:space="preserve"> without reducing production. These technologies are not yet available, and so research and development</w:t>
      </w:r>
      <w:r w:rsidR="00F561CD">
        <w:t xml:space="preserve"> to help bring these technologies forward</w:t>
      </w:r>
      <w:r w:rsidR="00BF4503">
        <w:t>, and systems for deploying such technologies when they become available will benefit the sector</w:t>
      </w:r>
      <w:r w:rsidR="00B37E2E">
        <w:t xml:space="preserve"> and </w:t>
      </w:r>
      <w:r w:rsidR="005A2187">
        <w:t xml:space="preserve">the </w:t>
      </w:r>
      <w:r w:rsidR="00B37E2E">
        <w:t>economy</w:t>
      </w:r>
      <w:r w:rsidR="009E10A2">
        <w:t xml:space="preserve"> </w:t>
      </w:r>
      <w:r w:rsidR="009E10A2" w:rsidRPr="00D1383C">
        <w:t xml:space="preserve">(see </w:t>
      </w:r>
      <w:r w:rsidR="00CD53BD" w:rsidRPr="00D1383C">
        <w:t>c</w:t>
      </w:r>
      <w:r w:rsidR="009E10A2" w:rsidRPr="00D1383C">
        <w:t xml:space="preserve">hapter 6, </w:t>
      </w:r>
      <w:r w:rsidR="006B0C3B" w:rsidRPr="00D1383C">
        <w:t>t</w:t>
      </w:r>
      <w:r w:rsidR="009E10A2" w:rsidRPr="00D1383C">
        <w:t>ime</w:t>
      </w:r>
      <w:r w:rsidR="006B0C3B" w:rsidRPr="00D1383C">
        <w:t>-c</w:t>
      </w:r>
      <w:r w:rsidR="009E10A2" w:rsidRPr="00D1383C">
        <w:t xml:space="preserve">ritical </w:t>
      </w:r>
      <w:r w:rsidR="006B0C3B" w:rsidRPr="00D1383C">
        <w:t>necessary action</w:t>
      </w:r>
      <w:r w:rsidR="009E10A2" w:rsidRPr="00D1383C">
        <w:t xml:space="preserve"> </w:t>
      </w:r>
      <w:r w:rsidR="00255D0B" w:rsidRPr="00D1383C" w:rsidDel="00255D0B">
        <w:t>4</w:t>
      </w:r>
      <w:r w:rsidR="009E10A2" w:rsidRPr="00D1383C">
        <w:t>)</w:t>
      </w:r>
      <w:r w:rsidR="00BF4503" w:rsidRPr="00D1383C">
        <w:t>.</w:t>
      </w:r>
    </w:p>
    <w:p w14:paraId="1E893D4D" w14:textId="77777777" w:rsidR="00DC2376" w:rsidRPr="00BD7C8B" w:rsidRDefault="00DC2376" w:rsidP="00F75D69">
      <w:pPr>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6"/>
        <w:gridCol w:w="2758"/>
      </w:tblGrid>
      <w:tr w:rsidR="00104405" w14:paraId="321ED05C" w14:textId="77777777" w:rsidTr="060512C8">
        <w:tc>
          <w:tcPr>
            <w:tcW w:w="4587" w:type="dxa"/>
          </w:tcPr>
          <w:p w14:paraId="18044180" w14:textId="199CDB9E" w:rsidR="00D54E33" w:rsidRDefault="00104405" w:rsidP="00104405">
            <w:pPr>
              <w:spacing w:before="0" w:after="0"/>
              <w:rPr>
                <w:noProof/>
              </w:rPr>
            </w:pPr>
            <w:r>
              <w:rPr>
                <w:noProof/>
              </w:rPr>
              <w:lastRenderedPageBreak/>
              <w:drawing>
                <wp:inline distT="0" distB="0" distL="0" distR="0" wp14:anchorId="7F3C0DAE" wp14:editId="49A30AE5">
                  <wp:extent cx="3940385" cy="7959262"/>
                  <wp:effectExtent l="0" t="0" r="317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2">
                            <a:extLst>
                              <a:ext uri="{28A0092B-C50C-407E-A947-70E740481C1C}">
                                <a14:useLocalDpi xmlns:a14="http://schemas.microsoft.com/office/drawing/2010/main" val="0"/>
                              </a:ext>
                            </a:extLst>
                          </a:blip>
                          <a:stretch>
                            <a:fillRect/>
                          </a:stretch>
                        </pic:blipFill>
                        <pic:spPr>
                          <a:xfrm>
                            <a:off x="0" y="0"/>
                            <a:ext cx="3940385" cy="7959262"/>
                          </a:xfrm>
                          <a:prstGeom prst="rect">
                            <a:avLst/>
                          </a:prstGeom>
                        </pic:spPr>
                      </pic:pic>
                    </a:graphicData>
                  </a:graphic>
                </wp:inline>
              </w:drawing>
            </w:r>
          </w:p>
        </w:tc>
        <w:tc>
          <w:tcPr>
            <w:tcW w:w="4587" w:type="dxa"/>
            <w:vAlign w:val="center"/>
          </w:tcPr>
          <w:p w14:paraId="7651906E" w14:textId="204B58E1" w:rsidR="00D54E33" w:rsidRDefault="00D54E33" w:rsidP="00D54E33">
            <w:pPr>
              <w:rPr>
                <w:noProof/>
              </w:rPr>
            </w:pPr>
            <w:r>
              <w:rPr>
                <w:noProof/>
                <w:color w:val="000000"/>
              </w:rPr>
              <w:drawing>
                <wp:inline distT="0" distB="0" distL="0" distR="0" wp14:anchorId="433DDA02" wp14:editId="2CD932DF">
                  <wp:extent cx="1581150" cy="10176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3026" t="31533" r="874" b="30316"/>
                          <a:stretch/>
                        </pic:blipFill>
                        <pic:spPr bwMode="auto">
                          <a:xfrm>
                            <a:off x="0" y="0"/>
                            <a:ext cx="1608332" cy="10351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235D61" w14:textId="071A79D8" w:rsidR="00D54E33" w:rsidRDefault="00D37640" w:rsidP="00D37640">
      <w:pPr>
        <w:pStyle w:val="Caption"/>
      </w:pPr>
      <w:bookmarkStart w:id="183" w:name="_Ref58760901"/>
      <w:r>
        <w:t xml:space="preserve">Figure </w:t>
      </w:r>
      <w:r w:rsidR="00EB2A15">
        <w:t>5.3</w:t>
      </w:r>
      <w:r>
        <w:t>:</w:t>
      </w:r>
      <w:bookmarkEnd w:id="183"/>
      <w:r>
        <w:t xml:space="preserve"> The changes in output of milk solids, meat and forestry </w:t>
      </w:r>
      <w:r w:rsidR="000C676A">
        <w:t xml:space="preserve">that would occur in our path </w:t>
      </w:r>
      <w:r>
        <w:t>over the first three emissions budgets and out to 2050.</w:t>
      </w:r>
    </w:p>
    <w:p w14:paraId="5EED125B" w14:textId="7443B1B2" w:rsidR="002A372D" w:rsidRDefault="00AA1AA3" w:rsidP="00400204">
      <w:pPr>
        <w:spacing w:before="0"/>
        <w:jc w:val="right"/>
        <w:rPr>
          <w:color w:val="000000"/>
        </w:rPr>
      </w:pPr>
      <w:r w:rsidRPr="00295A62">
        <w:t xml:space="preserve">Source: </w:t>
      </w:r>
      <w:r>
        <w:t>Commission analysis.</w:t>
      </w:r>
      <w:r w:rsidR="008676FB" w:rsidRPr="008676FB">
        <w:rPr>
          <w:noProof/>
        </w:rPr>
        <w:t xml:space="preserve"> </w:t>
      </w:r>
    </w:p>
    <w:p w14:paraId="04C3E284" w14:textId="4DDEF8FA" w:rsidR="002A372D" w:rsidRPr="00241DF1" w:rsidRDefault="008867DA" w:rsidP="00952425">
      <w:pPr>
        <w:pStyle w:val="Heading3"/>
        <w:rPr>
          <w:rFonts w:ascii="Calibri" w:hAnsi="Calibri" w:cs="Calibri"/>
          <w:i/>
          <w:color w:val="000000"/>
        </w:rPr>
      </w:pPr>
      <w:bookmarkStart w:id="184" w:name="_Toc62649350"/>
      <w:bookmarkStart w:id="185" w:name="_Toc62650291"/>
      <w:r>
        <w:lastRenderedPageBreak/>
        <w:t xml:space="preserve">5.5.2 </w:t>
      </w:r>
      <w:r w:rsidR="002A372D" w:rsidRPr="008901DC">
        <w:t>Energy sector</w:t>
      </w:r>
      <w:bookmarkEnd w:id="184"/>
      <w:bookmarkEnd w:id="185"/>
    </w:p>
    <w:p w14:paraId="4BDAB24A" w14:textId="6DAA6ADF" w:rsidR="00035F27" w:rsidRDefault="00035F27" w:rsidP="00952425">
      <w:r>
        <w:t>Energy is a vital part of New Zealanders</w:t>
      </w:r>
      <w:r w:rsidR="00286EB4">
        <w:t>’</w:t>
      </w:r>
      <w:r>
        <w:t xml:space="preserve"> day-to-day lives</w:t>
      </w:r>
      <w:r w:rsidR="00DF5FA0">
        <w:t>. As well as using energy at home and to power vehicles, it is also used to</w:t>
      </w:r>
      <w:r w:rsidR="00503AA0">
        <w:t xml:space="preserve"> provide </w:t>
      </w:r>
      <w:r w:rsidR="00983999">
        <w:t xml:space="preserve">process heat to produce goods </w:t>
      </w:r>
      <w:r w:rsidR="002810D4">
        <w:t xml:space="preserve">that are </w:t>
      </w:r>
      <w:r w:rsidR="00983999">
        <w:t xml:space="preserve">used here in Aotearoa and </w:t>
      </w:r>
      <w:r w:rsidR="002810D4">
        <w:t>sold around the world.</w:t>
      </w:r>
    </w:p>
    <w:p w14:paraId="69D59D85" w14:textId="789C1289" w:rsidR="002A372D" w:rsidRPr="00241DF1" w:rsidRDefault="002A372D" w:rsidP="00952425">
      <w:pPr>
        <w:rPr>
          <w:color w:val="000000"/>
        </w:rPr>
      </w:pPr>
      <w:r w:rsidRPr="71AB2B91">
        <w:t xml:space="preserve">Meeting our proposed emissions budgets would require a transformation of </w:t>
      </w:r>
      <w:r w:rsidR="00D55A52">
        <w:t>the country’s</w:t>
      </w:r>
      <w:r w:rsidRPr="71AB2B91">
        <w:t xml:space="preserve"> energy system. </w:t>
      </w:r>
      <w:r w:rsidR="002810D4">
        <w:t>Our path</w:t>
      </w:r>
      <w:r w:rsidR="00D259CB">
        <w:t xml:space="preserve"> shows that </w:t>
      </w:r>
      <w:r w:rsidR="00231A27">
        <w:t xml:space="preserve">annual </w:t>
      </w:r>
      <w:r w:rsidR="00D259CB">
        <w:t>e</w:t>
      </w:r>
      <w:r w:rsidR="002810D4" w:rsidRPr="71AB2B91">
        <w:t xml:space="preserve">lectricity generation would need to increase by around </w:t>
      </w:r>
      <w:r w:rsidR="00231A27">
        <w:t>2</w:t>
      </w:r>
      <w:r w:rsidR="002810D4" w:rsidRPr="71AB2B91">
        <w:t xml:space="preserve">0% </w:t>
      </w:r>
      <w:r w:rsidR="00231A27">
        <w:t xml:space="preserve">over 2018 levels by 2035 </w:t>
      </w:r>
      <w:r w:rsidR="002810D4" w:rsidRPr="71AB2B91">
        <w:t xml:space="preserve">to </w:t>
      </w:r>
      <w:r w:rsidR="00180E71">
        <w:t>meet</w:t>
      </w:r>
      <w:r w:rsidR="002810D4" w:rsidRPr="71AB2B91">
        <w:t xml:space="preserve"> industry and ele</w:t>
      </w:r>
      <w:r w:rsidR="001B4FB9">
        <w:t>ctric</w:t>
      </w:r>
      <w:r w:rsidR="002810D4" w:rsidRPr="71AB2B91">
        <w:t xml:space="preserve"> </w:t>
      </w:r>
      <w:proofErr w:type="spellStart"/>
      <w:r w:rsidR="002810D4" w:rsidRPr="71AB2B91">
        <w:t>vehicles</w:t>
      </w:r>
      <w:proofErr w:type="spellEnd"/>
      <w:r w:rsidR="00180E71">
        <w:t xml:space="preserve"> needs</w:t>
      </w:r>
      <w:r w:rsidR="002810D4">
        <w:t>.</w:t>
      </w:r>
      <w:r w:rsidR="002810D4" w:rsidRPr="71AB2B91">
        <w:t xml:space="preserve"> </w:t>
      </w:r>
      <w:r w:rsidR="00D259CB">
        <w:t>W</w:t>
      </w:r>
      <w:r w:rsidRPr="71AB2B91">
        <w:t>ind, solar and biomass would expand at a faster rate than expected under current policy settings</w:t>
      </w:r>
      <w:r>
        <w:t xml:space="preserve"> </w:t>
      </w:r>
      <w:r w:rsidR="001906E9">
        <w:t xml:space="preserve">to meet </w:t>
      </w:r>
      <w:r w:rsidR="005A2187">
        <w:t xml:space="preserve">the country’s </w:t>
      </w:r>
      <w:r w:rsidR="001906E9">
        <w:t>energy needs</w:t>
      </w:r>
      <w:r w:rsidRPr="71AB2B91">
        <w:t xml:space="preserve"> and replace coal and natural gas</w:t>
      </w:r>
      <w:r w:rsidR="00D259CB">
        <w:t xml:space="preserve"> (</w:t>
      </w:r>
      <w:r w:rsidR="0027568F">
        <w:t>Figure 5.4</w:t>
      </w:r>
      <w:r w:rsidR="00D259CB">
        <w:t>)</w:t>
      </w:r>
      <w:r w:rsidRPr="71AB2B91">
        <w:t xml:space="preserve">. </w:t>
      </w:r>
    </w:p>
    <w:p w14:paraId="065627C9" w14:textId="4DC2A600" w:rsidR="005A7ACC" w:rsidRDefault="00ED0592" w:rsidP="00952425">
      <w:r>
        <w:t>The Government</w:t>
      </w:r>
      <w:r w:rsidR="002A372D" w:rsidRPr="71AB2B91">
        <w:t xml:space="preserve"> needs to ensure the electricity system can reliably generate enough supply </w:t>
      </w:r>
      <w:r w:rsidR="007300B0">
        <w:t xml:space="preserve">as Aotearoa shifts </w:t>
      </w:r>
      <w:r w:rsidR="002A372D" w:rsidRPr="71AB2B91">
        <w:t xml:space="preserve">away from fossil fuels and increase </w:t>
      </w:r>
      <w:r w:rsidR="00B21CA3">
        <w:t>its</w:t>
      </w:r>
      <w:r w:rsidR="00B21CA3" w:rsidRPr="71AB2B91">
        <w:t xml:space="preserve"> </w:t>
      </w:r>
      <w:r w:rsidR="002A372D" w:rsidRPr="71AB2B91">
        <w:t>dependency on electricity generation. Currently, natural gas and coal provide this security of supply, particularly at peak times and in dry years</w:t>
      </w:r>
      <w:r w:rsidR="00B21CA3">
        <w:t xml:space="preserve"> when hydro lake levels are low</w:t>
      </w:r>
      <w:r w:rsidR="002A372D" w:rsidRPr="71AB2B91">
        <w:t xml:space="preserve">. Relying on electricity to meet much of </w:t>
      </w:r>
      <w:r>
        <w:t>the country’s</w:t>
      </w:r>
      <w:r w:rsidR="002A372D" w:rsidRPr="71AB2B91">
        <w:t xml:space="preserve"> </w:t>
      </w:r>
      <w:r w:rsidR="00E7460E">
        <w:t xml:space="preserve">transport, heating, cooking and industry </w:t>
      </w:r>
      <w:r w:rsidR="002A372D" w:rsidRPr="71AB2B91">
        <w:t xml:space="preserve">needs carries risk in a nation exposed to natural hazards and other potential disruptions. </w:t>
      </w:r>
    </w:p>
    <w:p w14:paraId="469FC26F" w14:textId="1A8CF98F" w:rsidR="002A372D" w:rsidRPr="00BD7C8B" w:rsidRDefault="005A7ACC" w:rsidP="00952425">
      <w:pPr>
        <w:rPr>
          <w:rFonts w:ascii="Calibri" w:hAnsi="Calibri" w:cs="Calibri"/>
          <w:color w:val="000000" w:themeColor="text1"/>
        </w:rPr>
      </w:pPr>
      <w:r w:rsidRPr="007A67B1">
        <w:rPr>
          <w:rFonts w:ascii="Calibri" w:hAnsi="Calibri"/>
          <w:color w:val="000000"/>
          <w:shd w:val="clear" w:color="auto" w:fill="FFFFFF"/>
          <w:lang w:val="en-US"/>
        </w:rPr>
        <w:t xml:space="preserve">In transport, Aotearoa currently relies on imported oil, exposing the country to oil price volatility. Moving to domestic sources of energy for transport could reduce oil imports. This would improve </w:t>
      </w:r>
      <w:r w:rsidR="005A2187">
        <w:rPr>
          <w:rFonts w:ascii="Calibri" w:hAnsi="Calibri"/>
          <w:color w:val="000000"/>
          <w:shd w:val="clear" w:color="auto" w:fill="FFFFFF"/>
          <w:lang w:val="en-US"/>
        </w:rPr>
        <w:t>the country’s</w:t>
      </w:r>
      <w:r w:rsidR="005A2187" w:rsidRPr="007A67B1">
        <w:rPr>
          <w:rFonts w:ascii="Calibri" w:hAnsi="Calibri"/>
          <w:color w:val="000000"/>
          <w:shd w:val="clear" w:color="auto" w:fill="FFFFFF"/>
          <w:lang w:val="en-US"/>
        </w:rPr>
        <w:t xml:space="preserve"> </w:t>
      </w:r>
      <w:r w:rsidRPr="007A67B1">
        <w:rPr>
          <w:rFonts w:ascii="Calibri" w:hAnsi="Calibri"/>
          <w:color w:val="000000"/>
          <w:shd w:val="clear" w:color="auto" w:fill="FFFFFF"/>
          <w:lang w:val="en-US"/>
        </w:rPr>
        <w:t xml:space="preserve">security of supply and provide opportunities for new businesses and jobs. </w:t>
      </w:r>
      <w:r w:rsidR="002A372D" w:rsidRPr="71AB2B91">
        <w:t xml:space="preserve">In the long-term </w:t>
      </w:r>
      <w:r w:rsidR="005A2187">
        <w:t>the country’s</w:t>
      </w:r>
      <w:r w:rsidR="005A2187" w:rsidRPr="71AB2B91">
        <w:t xml:space="preserve"> </w:t>
      </w:r>
      <w:r w:rsidR="002A372D" w:rsidRPr="71AB2B91">
        <w:t>energy vulnerability could increase due to heavy reliance on electricity.</w:t>
      </w:r>
    </w:p>
    <w:p w14:paraId="79F2ECA5" w14:textId="2959BD3B" w:rsidR="002A372D" w:rsidRPr="00241DF1" w:rsidRDefault="000C6E4F" w:rsidP="00D84DFD">
      <w:pPr>
        <w:pStyle w:val="Heading4"/>
        <w:rPr>
          <w:rFonts w:ascii="Calibri" w:hAnsi="Calibri" w:cs="Calibri"/>
          <w:b/>
          <w:color w:val="000000"/>
        </w:rPr>
      </w:pPr>
      <w:r>
        <w:t>How can this be managed</w:t>
      </w:r>
      <w:r w:rsidR="002A372D" w:rsidRPr="00952425">
        <w:t xml:space="preserve">? </w:t>
      </w:r>
    </w:p>
    <w:p w14:paraId="1B6CF54C" w14:textId="4BACA313" w:rsidR="009A37B6" w:rsidRDefault="00342DA2" w:rsidP="00952425">
      <w:r w:rsidRPr="007A67B1">
        <w:rPr>
          <w:lang w:val="en-US"/>
        </w:rPr>
        <w:t>The Government needs to plan to manage the risk</w:t>
      </w:r>
      <w:r>
        <w:rPr>
          <w:lang w:val="en-US"/>
        </w:rPr>
        <w:t xml:space="preserve"> around affordability and security of supply as a result of moving to a low emissions energy system</w:t>
      </w:r>
      <w:r w:rsidRPr="007A67B1">
        <w:rPr>
          <w:lang w:val="en-US"/>
        </w:rPr>
        <w:t xml:space="preserve">. </w:t>
      </w:r>
      <w:r w:rsidRPr="007A67B1">
        <w:t>It is currently investigating</w:t>
      </w:r>
      <w:r>
        <w:t xml:space="preserve"> options for managing dry year risk under the NZ Battery </w:t>
      </w:r>
      <w:r w:rsidR="00BC0AE6">
        <w:t>p</w:t>
      </w:r>
      <w:r>
        <w:t>roject, including</w:t>
      </w:r>
      <w:r w:rsidRPr="007A67B1">
        <w:t xml:space="preserve"> the proposed Lake </w:t>
      </w:r>
      <w:proofErr w:type="spellStart"/>
      <w:r w:rsidRPr="007A67B1">
        <w:t>Onslow</w:t>
      </w:r>
      <w:proofErr w:type="spellEnd"/>
      <w:r w:rsidRPr="007A67B1">
        <w:t xml:space="preserve"> pumped hydro scheme and alternative storage </w:t>
      </w:r>
      <w:r w:rsidR="00BC0AE6">
        <w:t>options</w:t>
      </w:r>
      <w:r w:rsidRPr="007A67B1">
        <w:t xml:space="preserve">. The aim is to provide a large amount of storage capacity to manage </w:t>
      </w:r>
      <w:r>
        <w:t xml:space="preserve">the risk of </w:t>
      </w:r>
      <w:r w:rsidRPr="007A67B1">
        <w:t>dry year</w:t>
      </w:r>
      <w:r>
        <w:t>s where hydro lake levels are low</w:t>
      </w:r>
      <w:r w:rsidRPr="007A67B1">
        <w:t xml:space="preserve">. This project could displace the requirement for thermal generation and achieve an abrupt decarbonisation of the electricity sector. </w:t>
      </w:r>
      <w:r>
        <w:t xml:space="preserve">Any </w:t>
      </w:r>
      <w:r w:rsidR="00253524">
        <w:t>solution</w:t>
      </w:r>
      <w:r>
        <w:t xml:space="preserve"> for managing th</w:t>
      </w:r>
      <w:r w:rsidR="00764944">
        <w:t>e dry year</w:t>
      </w:r>
      <w:r>
        <w:t xml:space="preserve"> risk could be expensive.</w:t>
      </w:r>
    </w:p>
    <w:p w14:paraId="4201F09D" w14:textId="77777777" w:rsidR="002A372D" w:rsidRDefault="002A372D" w:rsidP="00952425">
      <w:pPr>
        <w:rPr>
          <w:rFonts w:ascii="Calibri" w:hAnsi="Calibri" w:cs="Calibri"/>
          <w:color w:val="000000"/>
        </w:rPr>
      </w:pPr>
      <w:r w:rsidRPr="001E3686">
        <w:rPr>
          <w:rFonts w:ascii="Calibri" w:hAnsi="Calibri" w:cs="Calibri"/>
          <w:color w:val="000000"/>
        </w:rPr>
        <w:t>Other actions to increase resilience of the electricity grid and the system include building new generation in the North Island, reinforcing the transmission infrastructure, deploying new technologies such as batteries, and diversifying into new fuels such as biofuels and hydrogen that boost energy security.</w:t>
      </w:r>
    </w:p>
    <w:p w14:paraId="5A76B0D6" w14:textId="7DA7404F" w:rsidR="00253524" w:rsidRDefault="00253524" w:rsidP="00952425">
      <w:pPr>
        <w:rPr>
          <w:rFonts w:ascii="Calibri" w:hAnsi="Calibri" w:cs="Calibri"/>
          <w:color w:val="000000"/>
        </w:rPr>
      </w:pPr>
      <w:r>
        <w:rPr>
          <w:color w:val="000000" w:themeColor="text1"/>
        </w:rPr>
        <w:t xml:space="preserve">All of this will need to be considered by the Government when it is developing a </w:t>
      </w:r>
      <w:r w:rsidRPr="002520DA">
        <w:rPr>
          <w:color w:val="000000" w:themeColor="text1"/>
        </w:rPr>
        <w:t>long-term national energy strategy</w:t>
      </w:r>
      <w:r w:rsidR="008901DC">
        <w:rPr>
          <w:color w:val="000000" w:themeColor="text1"/>
        </w:rPr>
        <w:t xml:space="preserve">. For more information, see </w:t>
      </w:r>
      <w:r w:rsidR="008901DC" w:rsidRPr="00D1383C">
        <w:rPr>
          <w:color w:val="000000" w:themeColor="text1"/>
        </w:rPr>
        <w:t>chapter 6 and time</w:t>
      </w:r>
      <w:r w:rsidR="00D84DFD" w:rsidRPr="00D1383C">
        <w:rPr>
          <w:color w:val="000000" w:themeColor="text1"/>
        </w:rPr>
        <w:t>-</w:t>
      </w:r>
      <w:r w:rsidR="008901DC" w:rsidRPr="00D1383C">
        <w:rPr>
          <w:color w:val="000000" w:themeColor="text1"/>
        </w:rPr>
        <w:t xml:space="preserve">critical </w:t>
      </w:r>
      <w:r w:rsidR="00D84DFD" w:rsidRPr="00D1383C">
        <w:rPr>
          <w:color w:val="000000" w:themeColor="text1"/>
        </w:rPr>
        <w:t>necessary action</w:t>
      </w:r>
      <w:r w:rsidR="008901DC" w:rsidRPr="00D1383C">
        <w:rPr>
          <w:color w:val="000000" w:themeColor="text1"/>
        </w:rPr>
        <w:t xml:space="preserve"> </w:t>
      </w:r>
      <w:r w:rsidR="00255D0B" w:rsidRPr="00D1383C">
        <w:rPr>
          <w:color w:val="000000" w:themeColor="text1"/>
        </w:rPr>
        <w:t>3</w:t>
      </w:r>
      <w:r w:rsidR="008901DC" w:rsidRPr="00D1383C">
        <w:rPr>
          <w:color w:val="000000" w:themeColor="text1"/>
        </w:rPr>
        <w:t>.</w:t>
      </w:r>
    </w:p>
    <w:p w14:paraId="0852B30D" w14:textId="3137F045" w:rsidR="00E50E5E" w:rsidRDefault="003A7BED" w:rsidP="00952425">
      <w:r>
        <w:rPr>
          <w:noProof/>
        </w:rPr>
        <w:lastRenderedPageBreak/>
        <w:drawing>
          <wp:inline distT="0" distB="0" distL="0" distR="0" wp14:anchorId="77F578B1" wp14:editId="6780CBF1">
            <wp:extent cx="5831842" cy="733107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4">
                      <a:extLst>
                        <a:ext uri="{28A0092B-C50C-407E-A947-70E740481C1C}">
                          <a14:useLocalDpi xmlns:a14="http://schemas.microsoft.com/office/drawing/2010/main" val="0"/>
                        </a:ext>
                      </a:extLst>
                    </a:blip>
                    <a:stretch>
                      <a:fillRect/>
                    </a:stretch>
                  </pic:blipFill>
                  <pic:spPr>
                    <a:xfrm>
                      <a:off x="0" y="0"/>
                      <a:ext cx="5831842" cy="7331074"/>
                    </a:xfrm>
                    <a:prstGeom prst="rect">
                      <a:avLst/>
                    </a:prstGeom>
                  </pic:spPr>
                </pic:pic>
              </a:graphicData>
            </a:graphic>
          </wp:inline>
        </w:drawing>
      </w:r>
    </w:p>
    <w:p w14:paraId="52A6B652" w14:textId="4BBAC8CF" w:rsidR="00DA121E" w:rsidRPr="001D251E" w:rsidRDefault="00A3660B" w:rsidP="008A323A">
      <w:pPr>
        <w:spacing w:after="0"/>
        <w:jc w:val="center"/>
      </w:pPr>
      <w:r>
        <w:rPr>
          <w:noProof/>
        </w:rPr>
        <w:drawing>
          <wp:inline distT="0" distB="0" distL="0" distR="0" wp14:anchorId="49735F25" wp14:editId="57B685D7">
            <wp:extent cx="5581816" cy="278114"/>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a:extLst>
                        <a:ext uri="{28A0092B-C50C-407E-A947-70E740481C1C}">
                          <a14:useLocalDpi xmlns:a14="http://schemas.microsoft.com/office/drawing/2010/main" val="0"/>
                        </a:ext>
                      </a:extLst>
                    </a:blip>
                    <a:srcRect l="1509" t="90081" r="2210" b="2072"/>
                    <a:stretch/>
                  </pic:blipFill>
                  <pic:spPr bwMode="auto">
                    <a:xfrm>
                      <a:off x="0" y="0"/>
                      <a:ext cx="5588095" cy="278427"/>
                    </a:xfrm>
                    <a:prstGeom prst="rect">
                      <a:avLst/>
                    </a:prstGeom>
                    <a:noFill/>
                    <a:ln>
                      <a:noFill/>
                    </a:ln>
                    <a:extLst>
                      <a:ext uri="{53640926-AAD7-44D8-BBD7-CCE9431645EC}">
                        <a14:shadowObscured xmlns:a14="http://schemas.microsoft.com/office/drawing/2010/main"/>
                      </a:ext>
                    </a:extLst>
                  </pic:spPr>
                </pic:pic>
              </a:graphicData>
            </a:graphic>
          </wp:inline>
        </w:drawing>
      </w:r>
    </w:p>
    <w:p w14:paraId="31743ADD" w14:textId="6C6F51B8" w:rsidR="002A372D" w:rsidRDefault="000C676A" w:rsidP="000C676A">
      <w:pPr>
        <w:pStyle w:val="Caption"/>
      </w:pPr>
      <w:bookmarkStart w:id="186" w:name="_Ref58763660"/>
      <w:r>
        <w:t xml:space="preserve">Figure </w:t>
      </w:r>
      <w:bookmarkEnd w:id="186"/>
      <w:r w:rsidR="00EB2A15">
        <w:t>5.4</w:t>
      </w:r>
      <w:r>
        <w:t xml:space="preserve">: </w:t>
      </w:r>
      <w:r w:rsidRPr="00C86DDD">
        <w:t xml:space="preserve">The changes in </w:t>
      </w:r>
      <w:r>
        <w:t>demand for coal, natural gas and liquid fossil fuels</w:t>
      </w:r>
      <w:r w:rsidR="004611DC">
        <w:t xml:space="preserve"> (in PJ)</w:t>
      </w:r>
      <w:r>
        <w:t xml:space="preserve">, and in geothermal, wind and solar generation </w:t>
      </w:r>
      <w:r w:rsidR="004611DC">
        <w:t xml:space="preserve">(in </w:t>
      </w:r>
      <w:proofErr w:type="spellStart"/>
      <w:r w:rsidR="004611DC">
        <w:t>TWh</w:t>
      </w:r>
      <w:proofErr w:type="spellEnd"/>
      <w:r w:rsidR="004611DC">
        <w:t>)</w:t>
      </w:r>
      <w:r>
        <w:t xml:space="preserve"> </w:t>
      </w:r>
      <w:r w:rsidRPr="00C86DDD">
        <w:t>that would occur in our path over the first three emissions budgets and out to 2050.</w:t>
      </w:r>
    </w:p>
    <w:p w14:paraId="0ACAF3A0" w14:textId="77777777" w:rsidR="00AA1AA3" w:rsidRPr="00AA1AA3" w:rsidRDefault="00AA1AA3" w:rsidP="00AA1AA3">
      <w:pPr>
        <w:spacing w:before="0"/>
        <w:jc w:val="right"/>
      </w:pPr>
      <w:r w:rsidRPr="00295A62">
        <w:t xml:space="preserve">Source: </w:t>
      </w:r>
      <w:r>
        <w:t>Commission analysis.</w:t>
      </w:r>
    </w:p>
    <w:p w14:paraId="5303064D" w14:textId="7B66B935" w:rsidR="002A372D" w:rsidRPr="00E006CD" w:rsidRDefault="008867DA" w:rsidP="00952425">
      <w:pPr>
        <w:pStyle w:val="Heading3"/>
      </w:pPr>
      <w:bookmarkStart w:id="187" w:name="_Toc62649351"/>
      <w:bookmarkStart w:id="188" w:name="_Toc62650292"/>
      <w:r>
        <w:lastRenderedPageBreak/>
        <w:t xml:space="preserve">5.5.3 </w:t>
      </w:r>
      <w:r w:rsidR="002A372D" w:rsidRPr="00E006CD">
        <w:t>Small business</w:t>
      </w:r>
      <w:bookmarkEnd w:id="187"/>
      <w:bookmarkEnd w:id="188"/>
    </w:p>
    <w:p w14:paraId="778A0792" w14:textId="78886BD7" w:rsidR="002A372D" w:rsidRPr="00E006CD" w:rsidRDefault="002A372D" w:rsidP="00952425">
      <w:pPr>
        <w:rPr>
          <w:rFonts w:ascii="Calibri" w:hAnsi="Calibri" w:cs="Calibri"/>
          <w:color w:val="000000"/>
        </w:rPr>
      </w:pPr>
      <w:r w:rsidRPr="71AB2B91">
        <w:t xml:space="preserve">Businesses with fewer than 20 employees make up about 97% of Aotearoa </w:t>
      </w:r>
      <w:r w:rsidRPr="71AB2B91">
        <w:rPr>
          <w:rFonts w:ascii="Calibri" w:hAnsi="Calibri" w:cs="Calibri"/>
          <w:color w:val="000000" w:themeColor="text1"/>
        </w:rPr>
        <w:t>businesses. They contribute about 30% of employment and over 25% of GDP. They play a crucial role in the economy, especially in supply chains and larger exporting businesses. Many have been particularly affected by the COVID-19 pandemic.</w:t>
      </w:r>
    </w:p>
    <w:p w14:paraId="11C173AF" w14:textId="64FEF8BF" w:rsidR="00975FFE" w:rsidRDefault="00A07DBF" w:rsidP="00952425">
      <w:r>
        <w:t xml:space="preserve">Our emissions budgets and the transition to </w:t>
      </w:r>
      <w:r w:rsidR="00C45B13">
        <w:t>a low emissions economy will affect a</w:t>
      </w:r>
      <w:r w:rsidR="002A372D" w:rsidRPr="71AB2B91">
        <w:t>ll small businesses in some way. Most of this would come via electricity</w:t>
      </w:r>
      <w:r w:rsidR="00273C19">
        <w:t>, natural gas</w:t>
      </w:r>
      <w:r w:rsidR="002A372D" w:rsidRPr="71AB2B91">
        <w:t xml:space="preserve"> and transport prices. </w:t>
      </w:r>
    </w:p>
    <w:p w14:paraId="055173E3" w14:textId="601DDB16" w:rsidR="002A372D" w:rsidRDefault="00975FFE" w:rsidP="00952425">
      <w:pPr>
        <w:rPr>
          <w:rFonts w:ascii="Calibri" w:hAnsi="Calibri" w:cs="Calibri"/>
          <w:color w:val="000000" w:themeColor="text1"/>
        </w:rPr>
      </w:pPr>
      <w:r>
        <w:t>For most small businesses, t</w:t>
      </w:r>
      <w:r w:rsidR="002A372D" w:rsidRPr="71AB2B91">
        <w:t xml:space="preserve">he impact would likely be minor over the course of the first three emissions budgets. This is because </w:t>
      </w:r>
      <w:r w:rsidR="00D85380">
        <w:t xml:space="preserve">our path suggests that </w:t>
      </w:r>
      <w:r w:rsidR="00081DBA">
        <w:t xml:space="preserve">wholesale </w:t>
      </w:r>
      <w:r w:rsidR="002A372D" w:rsidRPr="71AB2B91">
        <w:t xml:space="preserve">electricity prices </w:t>
      </w:r>
      <w:r w:rsidR="00D85380">
        <w:t>would</w:t>
      </w:r>
      <w:r w:rsidR="002A372D" w:rsidRPr="71AB2B91">
        <w:t xml:space="preserve"> decrease</w:t>
      </w:r>
      <w:r w:rsidR="00081DBA">
        <w:t xml:space="preserve"> </w:t>
      </w:r>
      <w:r w:rsidR="00895E1B">
        <w:t>b</w:t>
      </w:r>
      <w:r w:rsidR="00081DBA">
        <w:t>y about 30%</w:t>
      </w:r>
      <w:r w:rsidR="00F940EF">
        <w:t xml:space="preserve"> by 2026 and then return to close to 2021 levels by </w:t>
      </w:r>
      <w:r w:rsidR="001B6D4C">
        <w:t>2035 (</w:t>
      </w:r>
      <w:r w:rsidR="00D4621B">
        <w:t>Figure 5.1</w:t>
      </w:r>
      <w:r w:rsidR="00661246">
        <w:t>)</w:t>
      </w:r>
      <w:r w:rsidR="002A372D" w:rsidRPr="71AB2B91">
        <w:t xml:space="preserve">, </w:t>
      </w:r>
      <w:r w:rsidR="002A372D">
        <w:t xml:space="preserve">and </w:t>
      </w:r>
      <w:r w:rsidR="00D85380">
        <w:t xml:space="preserve">commercial buildings would be </w:t>
      </w:r>
      <w:r w:rsidR="003A3462">
        <w:t>30% more energy efficient and vehicles 17% more fuel efficient by 2035.</w:t>
      </w:r>
    </w:p>
    <w:p w14:paraId="048F0817" w14:textId="3ED4B147" w:rsidR="00130925" w:rsidRPr="000C676A" w:rsidDel="002A372D" w:rsidRDefault="00975FFE" w:rsidP="00130925">
      <w:r w:rsidRPr="000C676A">
        <w:t xml:space="preserve">However, there are </w:t>
      </w:r>
      <w:r w:rsidR="00180654" w:rsidRPr="000C676A">
        <w:t>a number of</w:t>
      </w:r>
      <w:r w:rsidRPr="000C676A">
        <w:t xml:space="preserve"> small businesses that currently rely on natural gas</w:t>
      </w:r>
      <w:r w:rsidR="0007202F" w:rsidRPr="000C676A">
        <w:t>. For example, restaurants</w:t>
      </w:r>
      <w:r w:rsidR="00941468" w:rsidRPr="000C676A">
        <w:t xml:space="preserve">, </w:t>
      </w:r>
      <w:r w:rsidR="0007202F" w:rsidRPr="000C676A">
        <w:t>cafes</w:t>
      </w:r>
      <w:r w:rsidR="00941468" w:rsidRPr="000C676A">
        <w:t xml:space="preserve"> and bars often</w:t>
      </w:r>
      <w:r w:rsidR="0007202F" w:rsidRPr="000C676A">
        <w:t xml:space="preserve"> use natural gas for </w:t>
      </w:r>
      <w:r w:rsidR="00B00E2F" w:rsidRPr="000C676A">
        <w:t>cooking</w:t>
      </w:r>
      <w:r w:rsidR="00941468" w:rsidRPr="000C676A">
        <w:t xml:space="preserve">. </w:t>
      </w:r>
      <w:r w:rsidR="006C5EAF">
        <w:t>T</w:t>
      </w:r>
      <w:r w:rsidR="004C196F" w:rsidRPr="000C676A">
        <w:t xml:space="preserve">hese businesses </w:t>
      </w:r>
      <w:r w:rsidR="006C5EAF">
        <w:t xml:space="preserve">will need </w:t>
      </w:r>
      <w:r w:rsidR="004C196F" w:rsidRPr="000C676A">
        <w:t xml:space="preserve">to move away from natural gas to lower emissions solutions. Our path described in chapter </w:t>
      </w:r>
      <w:r w:rsidR="00B9134A">
        <w:t>3</w:t>
      </w:r>
      <w:r w:rsidR="004C196F" w:rsidRPr="000C676A">
        <w:t xml:space="preserve"> </w:t>
      </w:r>
      <w:r w:rsidR="00B8582B" w:rsidRPr="000C676A">
        <w:t xml:space="preserve">assumes that </w:t>
      </w:r>
      <w:r w:rsidR="009A4A58" w:rsidRPr="000C676A">
        <w:t xml:space="preserve">businesses would replace </w:t>
      </w:r>
      <w:r w:rsidR="00B8582B" w:rsidRPr="000C676A">
        <w:t>natural gas appliances at the end of their natural lifetime</w:t>
      </w:r>
      <w:r w:rsidR="00791A37">
        <w:t xml:space="preserve">. Avoiding replacing these appliances early </w:t>
      </w:r>
      <w:r w:rsidR="009A4A58" w:rsidRPr="000C676A">
        <w:t>avoid</w:t>
      </w:r>
      <w:r w:rsidR="00791A37">
        <w:t>s</w:t>
      </w:r>
      <w:r w:rsidR="009A4A58" w:rsidRPr="000C676A">
        <w:t xml:space="preserve"> significant additional cost. </w:t>
      </w:r>
    </w:p>
    <w:p w14:paraId="685E4BCE" w14:textId="249E197C" w:rsidR="00130925" w:rsidRDefault="005C432B" w:rsidP="00952425">
      <w:r w:rsidRPr="000C676A">
        <w:t xml:space="preserve">Most of </w:t>
      </w:r>
      <w:r w:rsidR="005A2187">
        <w:t xml:space="preserve">the country’s </w:t>
      </w:r>
      <w:r w:rsidR="001D42D2" w:rsidRPr="000C676A">
        <w:t>20,000 to 30,000 farm businesses are also</w:t>
      </w:r>
      <w:r w:rsidRPr="000C676A">
        <w:t xml:space="preserve"> small businesses. The changes needed across this sector</w:t>
      </w:r>
      <w:r w:rsidR="007443A7" w:rsidRPr="000C676A">
        <w:t xml:space="preserve"> are discussed in the food and fibre section above.</w:t>
      </w:r>
    </w:p>
    <w:p w14:paraId="44BE3261" w14:textId="6E200333" w:rsidR="002A372D" w:rsidRPr="00D84DFD" w:rsidRDefault="00F014C1" w:rsidP="00454408">
      <w:pPr>
        <w:pStyle w:val="Heading4"/>
      </w:pPr>
      <w:r w:rsidRPr="00D84DFD">
        <w:t>How can this be managed?</w:t>
      </w:r>
    </w:p>
    <w:p w14:paraId="3F504FED" w14:textId="77777777" w:rsidR="00133ED9" w:rsidRDefault="00324405" w:rsidP="00324405">
      <w:r w:rsidRPr="00F014C1" w:rsidDel="002A372D">
        <w:t>The ability for small businesses to respond, adapt and innovate will depend on information and support, skills and capability, access to capital, and how well the transition is signalled and planned.</w:t>
      </w:r>
      <w:r w:rsidR="0009116C">
        <w:t xml:space="preserve"> </w:t>
      </w:r>
      <w:r w:rsidR="00D55D74">
        <w:t xml:space="preserve">By signalling early the changes that are needed, the Government </w:t>
      </w:r>
      <w:r w:rsidR="009E0AEF">
        <w:t>will give small businesses time to respond</w:t>
      </w:r>
      <w:r w:rsidR="005551DD">
        <w:t xml:space="preserve">. </w:t>
      </w:r>
      <w:r w:rsidR="00D55D74">
        <w:t>This</w:t>
      </w:r>
      <w:r w:rsidR="005551DD">
        <w:t xml:space="preserve"> will</w:t>
      </w:r>
      <w:r w:rsidR="00D85146">
        <w:t xml:space="preserve"> allow them to replace </w:t>
      </w:r>
      <w:r w:rsidR="007976C6">
        <w:t xml:space="preserve">assets such </w:t>
      </w:r>
      <w:r w:rsidR="005551DD">
        <w:t xml:space="preserve">as </w:t>
      </w:r>
      <w:r w:rsidR="007976C6">
        <w:t xml:space="preserve">vehicles or natural gas appliances </w:t>
      </w:r>
      <w:r w:rsidR="005551DD">
        <w:t xml:space="preserve">with low emissions options </w:t>
      </w:r>
      <w:r w:rsidR="00B2526D">
        <w:t>on normal replacement cycles, reducing the cost to those businesses</w:t>
      </w:r>
      <w:r w:rsidR="009E0AEF">
        <w:t xml:space="preserve">. </w:t>
      </w:r>
    </w:p>
    <w:p w14:paraId="44E5E124" w14:textId="1F8D7B89" w:rsidR="00324405" w:rsidRPr="007A67B1" w:rsidDel="002A372D" w:rsidRDefault="004010D0" w:rsidP="00324405">
      <w:r>
        <w:t>The Government will also need to under</w:t>
      </w:r>
      <w:r w:rsidR="00133ED9">
        <w:t xml:space="preserve">stand the barriers that small businesses face, </w:t>
      </w:r>
      <w:r>
        <w:t xml:space="preserve">and </w:t>
      </w:r>
      <w:r w:rsidR="00133ED9">
        <w:t>tailor policy to encourage behaviour change</w:t>
      </w:r>
      <w:r w:rsidR="004D3CF0">
        <w:t xml:space="preserve"> (</w:t>
      </w:r>
      <w:r w:rsidR="00CD53BD" w:rsidRPr="00B9134A">
        <w:t>c</w:t>
      </w:r>
      <w:r w:rsidR="000C6E4F" w:rsidRPr="00B9134A">
        <w:t xml:space="preserve">hapter 6, </w:t>
      </w:r>
      <w:r w:rsidR="00D84DFD" w:rsidRPr="00B9134A">
        <w:t>necessary</w:t>
      </w:r>
      <w:r w:rsidR="000C6E4F" w:rsidRPr="00B9134A">
        <w:t xml:space="preserve"> action on supporting behaviour change</w:t>
      </w:r>
      <w:r w:rsidR="000C6E4F">
        <w:t>)</w:t>
      </w:r>
      <w:r w:rsidR="00133ED9">
        <w:t xml:space="preserve">. </w:t>
      </w:r>
    </w:p>
    <w:p w14:paraId="4F9F8CB4" w14:textId="28F74711" w:rsidR="002A372D" w:rsidRPr="003767C3" w:rsidRDefault="008867DA" w:rsidP="00952425">
      <w:pPr>
        <w:pStyle w:val="Heading3"/>
      </w:pPr>
      <w:bookmarkStart w:id="189" w:name="_Toc62649352"/>
      <w:bookmarkStart w:id="190" w:name="_Toc62650293"/>
      <w:r>
        <w:t xml:space="preserve">5.5.4 </w:t>
      </w:r>
      <w:r w:rsidR="003C619B">
        <w:t>E</w:t>
      </w:r>
      <w:r w:rsidR="002A372D" w:rsidRPr="003767C3">
        <w:t>missions leakage</w:t>
      </w:r>
      <w:bookmarkEnd w:id="189"/>
      <w:bookmarkEnd w:id="190"/>
    </w:p>
    <w:p w14:paraId="69872E78" w14:textId="77777777" w:rsidR="00564D7B" w:rsidRDefault="00564D7B" w:rsidP="00564D7B">
      <w:r>
        <w:t xml:space="preserve">Emissions leakage is a risk created by the uneven implementation of climate policies around the world. Emissions pricing or other policies aimed at reducing emissions may increase costs for emissions intensive businesses and cause them to lose market share to international competitors who do not face similar costs. If this causes production and investment to shift in a way that increases global emissions, it would be counter to the intended effect of the policy as Aotearoa would be exporting emissions rather than reducing them. </w:t>
      </w:r>
    </w:p>
    <w:p w14:paraId="3F377000" w14:textId="7670500D" w:rsidR="00564D7B" w:rsidRDefault="00564D7B" w:rsidP="00564D7B">
      <w:r>
        <w:t xml:space="preserve">In Aotearoa, emissions leakage risk is mitigated by providing potentially affected industrial activities with free allocation of NZUs. This substantially reduces the cost of the </w:t>
      </w:r>
      <w:r w:rsidR="00B64B01">
        <w:t>Emissions Trading Scheme (</w:t>
      </w:r>
      <w:r>
        <w:t>NZ ETS</w:t>
      </w:r>
      <w:r w:rsidR="00B64B01">
        <w:t>)</w:t>
      </w:r>
      <w:r>
        <w:t xml:space="preserve"> for these businesses. It is also expected that when biogenic methane and nitrous oxide emissions are priced, agricultural activities will receive a high level of free allocation that is likely to protect </w:t>
      </w:r>
      <w:r>
        <w:lastRenderedPageBreak/>
        <w:t xml:space="preserve">against emissions leakage. </w:t>
      </w:r>
      <w:r w:rsidRPr="00B9134A">
        <w:t>Chapter 12 of the Evidence Report goes</w:t>
      </w:r>
      <w:r>
        <w:t xml:space="preserve"> into </w:t>
      </w:r>
      <w:r w:rsidR="00A70345">
        <w:t>the issue of emissions leakage in more detail</w:t>
      </w:r>
      <w:r>
        <w:t>.</w:t>
      </w:r>
    </w:p>
    <w:p w14:paraId="31810BFA" w14:textId="6A55DFE9" w:rsidR="002A372D" w:rsidRPr="00D26156" w:rsidRDefault="00F20C87" w:rsidP="00952425">
      <w:pPr>
        <w:rPr>
          <w:b/>
          <w:bCs/>
          <w:color w:val="000000"/>
        </w:rPr>
      </w:pPr>
      <w:r w:rsidRPr="00454408">
        <w:rPr>
          <w:rStyle w:val="Heading4Char"/>
        </w:rPr>
        <w:t>How can this be managed?</w:t>
      </w:r>
    </w:p>
    <w:p w14:paraId="615ABF9E" w14:textId="3E480C9C" w:rsidR="004E353A" w:rsidRDefault="004E353A" w:rsidP="004E353A">
      <w:r>
        <w:t xml:space="preserve">As noted above, current policy settings address emissions leakage risk connected with the NZ ETS. </w:t>
      </w:r>
    </w:p>
    <w:p w14:paraId="7175F88C" w14:textId="49E64403" w:rsidR="004E353A" w:rsidRPr="00E404B5" w:rsidRDefault="004E353A" w:rsidP="004E353A">
      <w:r>
        <w:t>The Commission will be undertaking further analysis on emissions leakage in the coming years. In relation to agriculture, w</w:t>
      </w:r>
      <w:r w:rsidRPr="71AB2B91">
        <w:t xml:space="preserve">e will consider the risk of emissions leakage when providing advice on the level of assistance that should be provided to participants in the agricultural emissions pricing system. We expect to provide this advice in 2022. </w:t>
      </w:r>
    </w:p>
    <w:p w14:paraId="55CCFF21" w14:textId="77777777" w:rsidR="004E353A" w:rsidRDefault="004E353A" w:rsidP="004E353A">
      <w:pPr>
        <w:rPr>
          <w:color w:val="000000"/>
        </w:rPr>
      </w:pPr>
      <w:r w:rsidRPr="00D26156">
        <w:rPr>
          <w:color w:val="000000"/>
        </w:rPr>
        <w:t>We will also advise on the phase out of industrial free allocation</w:t>
      </w:r>
      <w:r>
        <w:rPr>
          <w:color w:val="000000"/>
        </w:rPr>
        <w:t xml:space="preserve"> in the NZ ETS</w:t>
      </w:r>
      <w:r w:rsidRPr="00D26156">
        <w:rPr>
          <w:color w:val="000000"/>
        </w:rPr>
        <w:t>. If an ongoing and substantial risk of emissions leakage becomes evident, industrial free allocation phase out rates could be slowed down. The emissions associated with a slower phase out rate would then have to be compensated for by making further emissions reductions in other sectors.</w:t>
      </w:r>
    </w:p>
    <w:p w14:paraId="346480F6" w14:textId="62FF9503" w:rsidR="004E353A" w:rsidRPr="00BD7C8B" w:rsidRDefault="004E353A" w:rsidP="004E353A">
      <w:pPr>
        <w:rPr>
          <w:color w:val="000000"/>
        </w:rPr>
      </w:pPr>
      <w:r>
        <w:rPr>
          <w:color w:val="000000"/>
        </w:rPr>
        <w:t xml:space="preserve">Policies other than </w:t>
      </w:r>
      <w:r w:rsidR="00DE3CF9">
        <w:rPr>
          <w:color w:val="000000"/>
        </w:rPr>
        <w:t>emissions pricing</w:t>
      </w:r>
      <w:r>
        <w:rPr>
          <w:color w:val="000000"/>
        </w:rPr>
        <w:t xml:space="preserve"> can also contribute to emissions leakage risk. In our ongoing role in advising on policy direction and monitoring the emission reduction plan, we will look at the design of policies with a view to minimising emissions leakage risks. </w:t>
      </w:r>
    </w:p>
    <w:p w14:paraId="69044E6D" w14:textId="68D6D4FF" w:rsidR="002A372D" w:rsidRPr="00BD7C8B" w:rsidRDefault="008867DA" w:rsidP="00304FC1">
      <w:pPr>
        <w:pStyle w:val="Heading3"/>
        <w:rPr>
          <w:rFonts w:ascii="Calibri" w:hAnsi="Calibri" w:cs="Calibri"/>
          <w:b/>
          <w:color w:val="000000"/>
          <w:sz w:val="28"/>
          <w:szCs w:val="28"/>
        </w:rPr>
      </w:pPr>
      <w:bookmarkStart w:id="191" w:name="_Toc62649353"/>
      <w:bookmarkStart w:id="192" w:name="_Toc62650294"/>
      <w:r>
        <w:t xml:space="preserve">5.5.5 </w:t>
      </w:r>
      <w:r w:rsidR="00E158F4">
        <w:t>Making sure workers have opportunities</w:t>
      </w:r>
      <w:bookmarkEnd w:id="191"/>
      <w:bookmarkEnd w:id="192"/>
      <w:r w:rsidR="00E158F4">
        <w:t xml:space="preserve"> </w:t>
      </w:r>
    </w:p>
    <w:p w14:paraId="65418B6E" w14:textId="4724DCFC" w:rsidR="002A372D" w:rsidRPr="00BD7C8B" w:rsidRDefault="002A372D" w:rsidP="00AB5EBC">
      <w:pPr>
        <w:rPr>
          <w:rFonts w:ascii="Calibri" w:hAnsi="Calibri" w:cs="Calibri"/>
          <w:color w:val="000000"/>
        </w:rPr>
      </w:pPr>
      <w:r w:rsidRPr="71AB2B91">
        <w:t>There will be inevitable changes to employment and jobs as Aotearoa moves towards</w:t>
      </w:r>
      <w:r w:rsidRPr="71AB2B91">
        <w:rPr>
          <w:rFonts w:ascii="Calibri" w:hAnsi="Calibri" w:cs="Calibri"/>
          <w:color w:val="000000" w:themeColor="text1"/>
        </w:rPr>
        <w:t xml:space="preserve"> a low</w:t>
      </w:r>
      <w:r w:rsidR="00F90524">
        <w:rPr>
          <w:rFonts w:ascii="Calibri" w:hAnsi="Calibri" w:cs="Calibri"/>
          <w:color w:val="000000" w:themeColor="text1"/>
        </w:rPr>
        <w:t xml:space="preserve"> </w:t>
      </w:r>
      <w:r w:rsidRPr="71AB2B91">
        <w:rPr>
          <w:rFonts w:ascii="Calibri" w:hAnsi="Calibri" w:cs="Calibri"/>
          <w:color w:val="000000" w:themeColor="text1"/>
        </w:rPr>
        <w:t>emissions society.</w:t>
      </w:r>
    </w:p>
    <w:p w14:paraId="1E8EE104" w14:textId="6C3E9BF7" w:rsidR="002A372D" w:rsidRDefault="002A372D" w:rsidP="00AB5EBC">
      <w:pPr>
        <w:rPr>
          <w:rFonts w:ascii="Calibri" w:hAnsi="Calibri" w:cs="Calibri"/>
          <w:color w:val="000000" w:themeColor="text1"/>
        </w:rPr>
      </w:pPr>
      <w:r w:rsidRPr="71AB2B91">
        <w:t>Some regions and communities of Aotearo</w:t>
      </w:r>
      <w:r w:rsidRPr="71AB2B91">
        <w:rPr>
          <w:rFonts w:ascii="Calibri" w:hAnsi="Calibri" w:cs="Calibri"/>
          <w:color w:val="000000" w:themeColor="text1"/>
        </w:rPr>
        <w:t xml:space="preserve">a will be more affected by the climate transition than others. Some communities may see the closure of large businesses that provide significant employment for the community. This would have a big impact as </w:t>
      </w:r>
      <w:r w:rsidR="006023C1">
        <w:rPr>
          <w:rFonts w:ascii="Calibri" w:hAnsi="Calibri" w:cs="Calibri"/>
          <w:color w:val="000000" w:themeColor="text1"/>
        </w:rPr>
        <w:t>major</w:t>
      </w:r>
      <w:r w:rsidR="006023C1" w:rsidRPr="71AB2B91">
        <w:rPr>
          <w:rFonts w:ascii="Calibri" w:hAnsi="Calibri" w:cs="Calibri"/>
          <w:color w:val="000000" w:themeColor="text1"/>
        </w:rPr>
        <w:t xml:space="preserve"> </w:t>
      </w:r>
      <w:r w:rsidRPr="71AB2B91">
        <w:rPr>
          <w:rFonts w:ascii="Calibri" w:hAnsi="Calibri" w:cs="Calibri"/>
          <w:color w:val="000000" w:themeColor="text1"/>
        </w:rPr>
        <w:t xml:space="preserve">job losses at a local level can lead to entire communities being left vulnerable and dislocated. Some affected workers may have the mobility and means to acquire new jobs in other industries and regions. Others may not. Affected communities can end up ‘stranded’, where workers with </w:t>
      </w:r>
      <w:r w:rsidR="004205A0">
        <w:rPr>
          <w:rFonts w:ascii="Calibri" w:hAnsi="Calibri" w:cs="Calibri"/>
          <w:color w:val="000000" w:themeColor="text1"/>
        </w:rPr>
        <w:t xml:space="preserve">particular </w:t>
      </w:r>
      <w:r w:rsidRPr="71AB2B91">
        <w:rPr>
          <w:rFonts w:ascii="Calibri" w:hAnsi="Calibri" w:cs="Calibri"/>
          <w:color w:val="000000" w:themeColor="text1"/>
        </w:rPr>
        <w:t>skills and expertise are no longer in demand.</w:t>
      </w:r>
    </w:p>
    <w:p w14:paraId="6D7D3C52" w14:textId="54EDBACF" w:rsidR="00CA53F8" w:rsidRDefault="00CA53F8" w:rsidP="00AB5EBC">
      <w:pPr>
        <w:rPr>
          <w:rFonts w:ascii="Calibri" w:hAnsi="Calibri" w:cs="Calibri"/>
          <w:color w:val="000000" w:themeColor="text1"/>
        </w:rPr>
      </w:pPr>
      <w:r>
        <w:rPr>
          <w:rFonts w:ascii="Calibri" w:hAnsi="Calibri" w:cs="Calibri"/>
          <w:color w:val="000000" w:themeColor="text1"/>
        </w:rPr>
        <w:t xml:space="preserve">Aotearoa has already seen </w:t>
      </w:r>
      <w:r w:rsidR="00B13883">
        <w:rPr>
          <w:rFonts w:ascii="Calibri" w:hAnsi="Calibri" w:cs="Calibri"/>
          <w:color w:val="000000" w:themeColor="text1"/>
        </w:rPr>
        <w:t>the New Zealand</w:t>
      </w:r>
      <w:r>
        <w:rPr>
          <w:rFonts w:ascii="Calibri" w:hAnsi="Calibri" w:cs="Calibri"/>
          <w:color w:val="000000" w:themeColor="text1"/>
        </w:rPr>
        <w:t xml:space="preserve"> Aluminium Smelter announce that it will close. Other emissions-intensive industries and large employers have also announced strategic reviews. There are many reasons for such industry closures besides climate change policy, with the Aluminium Smelter citing </w:t>
      </w:r>
      <w:r w:rsidRPr="00CA53F8">
        <w:rPr>
          <w:rFonts w:ascii="Calibri" w:hAnsi="Calibri" w:cs="Calibri"/>
          <w:color w:val="000000" w:themeColor="text1"/>
        </w:rPr>
        <w:t xml:space="preserve">energy costs and </w:t>
      </w:r>
      <w:r>
        <w:rPr>
          <w:rFonts w:ascii="Calibri" w:hAnsi="Calibri" w:cs="Calibri"/>
          <w:color w:val="000000" w:themeColor="text1"/>
        </w:rPr>
        <w:t xml:space="preserve">a </w:t>
      </w:r>
      <w:r w:rsidRPr="00CA53F8">
        <w:rPr>
          <w:rFonts w:ascii="Calibri" w:hAnsi="Calibri" w:cs="Calibri"/>
          <w:color w:val="000000" w:themeColor="text1"/>
        </w:rPr>
        <w:t>challenging</w:t>
      </w:r>
      <w:r>
        <w:rPr>
          <w:rFonts w:ascii="Calibri" w:hAnsi="Calibri" w:cs="Calibri"/>
          <w:color w:val="000000" w:themeColor="text1"/>
        </w:rPr>
        <w:t xml:space="preserve"> aluminium</w:t>
      </w:r>
      <w:r w:rsidRPr="00CA53F8">
        <w:rPr>
          <w:rFonts w:ascii="Calibri" w:hAnsi="Calibri" w:cs="Calibri"/>
          <w:color w:val="000000" w:themeColor="text1"/>
        </w:rPr>
        <w:t xml:space="preserve"> outlook</w:t>
      </w:r>
      <w:r>
        <w:rPr>
          <w:rFonts w:ascii="Calibri" w:hAnsi="Calibri" w:cs="Calibri"/>
          <w:color w:val="000000" w:themeColor="text1"/>
        </w:rPr>
        <w:t xml:space="preserve">. Closure of these industries has an impact on those who work there. </w:t>
      </w:r>
    </w:p>
    <w:p w14:paraId="25EA8E75" w14:textId="78DC81C7" w:rsidR="000A7744" w:rsidRDefault="000A7744" w:rsidP="00AB5EBC">
      <w:pPr>
        <w:rPr>
          <w:rFonts w:ascii="Calibri" w:hAnsi="Calibri" w:cs="Calibri"/>
          <w:color w:val="000000" w:themeColor="text1"/>
        </w:rPr>
      </w:pPr>
      <w:r>
        <w:rPr>
          <w:rFonts w:ascii="Calibri" w:hAnsi="Calibri" w:cs="Calibri"/>
          <w:color w:val="000000" w:themeColor="text1"/>
        </w:rPr>
        <w:t xml:space="preserve">To help understand the impact on employment, we commissioned </w:t>
      </w:r>
      <w:r w:rsidR="00E53A1E">
        <w:rPr>
          <w:rFonts w:ascii="Calibri" w:hAnsi="Calibri" w:cs="Calibri"/>
          <w:color w:val="000000" w:themeColor="text1"/>
        </w:rPr>
        <w:t>a new model called the Distributional Impacts Microsimulation for Employment (DIM-E).</w:t>
      </w:r>
      <w:r w:rsidR="00315EFF">
        <w:rPr>
          <w:rFonts w:ascii="Calibri" w:hAnsi="Calibri" w:cs="Calibri"/>
          <w:color w:val="000000" w:themeColor="text1"/>
        </w:rPr>
        <w:t xml:space="preserve"> We ran four scenarios through this model</w:t>
      </w:r>
      <w:r w:rsidR="00A35B61">
        <w:rPr>
          <w:rFonts w:ascii="Calibri" w:hAnsi="Calibri" w:cs="Calibri"/>
          <w:color w:val="000000" w:themeColor="text1"/>
        </w:rPr>
        <w:t xml:space="preserve">. However, in this section we have </w:t>
      </w:r>
      <w:r w:rsidR="008854AD">
        <w:rPr>
          <w:rFonts w:ascii="Calibri" w:hAnsi="Calibri" w:cs="Calibri"/>
          <w:color w:val="000000" w:themeColor="text1"/>
        </w:rPr>
        <w:t>focus</w:t>
      </w:r>
      <w:r w:rsidR="00A35B61">
        <w:rPr>
          <w:rFonts w:ascii="Calibri" w:hAnsi="Calibri" w:cs="Calibri"/>
          <w:color w:val="000000" w:themeColor="text1"/>
        </w:rPr>
        <w:t>ed</w:t>
      </w:r>
      <w:r w:rsidR="000D1CA3">
        <w:rPr>
          <w:rFonts w:ascii="Calibri" w:hAnsi="Calibri" w:cs="Calibri"/>
          <w:color w:val="000000" w:themeColor="text1"/>
        </w:rPr>
        <w:t xml:space="preserve"> on two of these scenarios</w:t>
      </w:r>
      <w:r w:rsidR="00CA27F8">
        <w:rPr>
          <w:rFonts w:ascii="Calibri" w:hAnsi="Calibri" w:cs="Calibri"/>
          <w:color w:val="000000" w:themeColor="text1"/>
        </w:rPr>
        <w:t xml:space="preserve"> – t</w:t>
      </w:r>
      <w:r w:rsidR="00E654ED">
        <w:rPr>
          <w:rFonts w:ascii="Calibri" w:hAnsi="Calibri" w:cs="Calibri"/>
          <w:color w:val="000000" w:themeColor="text1"/>
        </w:rPr>
        <w:t>ransition</w:t>
      </w:r>
      <w:r w:rsidR="00CA27F8">
        <w:rPr>
          <w:rFonts w:ascii="Calibri" w:hAnsi="Calibri" w:cs="Calibri"/>
          <w:color w:val="000000" w:themeColor="text1"/>
        </w:rPr>
        <w:t xml:space="preserve"> pathway 3 (TP3) and t</w:t>
      </w:r>
      <w:r w:rsidR="00E654ED">
        <w:rPr>
          <w:rFonts w:ascii="Calibri" w:hAnsi="Calibri" w:cs="Calibri"/>
          <w:color w:val="000000" w:themeColor="text1"/>
        </w:rPr>
        <w:t>ransition</w:t>
      </w:r>
      <w:r w:rsidR="00CA27F8">
        <w:rPr>
          <w:rFonts w:ascii="Calibri" w:hAnsi="Calibri" w:cs="Calibri"/>
          <w:color w:val="000000" w:themeColor="text1"/>
        </w:rPr>
        <w:t xml:space="preserve"> pathway 4 (TP4)</w:t>
      </w:r>
      <w:r w:rsidR="000D1CA3">
        <w:rPr>
          <w:rFonts w:ascii="Calibri" w:hAnsi="Calibri" w:cs="Calibri"/>
          <w:color w:val="000000" w:themeColor="text1"/>
        </w:rPr>
        <w:t xml:space="preserve"> </w:t>
      </w:r>
      <w:r w:rsidR="00A35B61">
        <w:rPr>
          <w:rFonts w:ascii="Calibri" w:hAnsi="Calibri" w:cs="Calibri"/>
          <w:color w:val="000000" w:themeColor="text1"/>
        </w:rPr>
        <w:t xml:space="preserve">– </w:t>
      </w:r>
      <w:r w:rsidR="000D1CA3">
        <w:rPr>
          <w:rFonts w:ascii="Calibri" w:hAnsi="Calibri" w:cs="Calibri"/>
          <w:color w:val="000000" w:themeColor="text1"/>
        </w:rPr>
        <w:t>that</w:t>
      </w:r>
      <w:r w:rsidR="00A35B61">
        <w:rPr>
          <w:rFonts w:ascii="Calibri" w:hAnsi="Calibri" w:cs="Calibri"/>
          <w:color w:val="000000" w:themeColor="text1"/>
        </w:rPr>
        <w:t xml:space="preserve"> </w:t>
      </w:r>
      <w:r w:rsidR="000D1CA3">
        <w:rPr>
          <w:rFonts w:ascii="Calibri" w:hAnsi="Calibri" w:cs="Calibri"/>
          <w:color w:val="000000" w:themeColor="text1"/>
        </w:rPr>
        <w:t>are in line with</w:t>
      </w:r>
      <w:r w:rsidR="00E54854">
        <w:rPr>
          <w:rFonts w:ascii="Calibri" w:hAnsi="Calibri" w:cs="Calibri"/>
          <w:color w:val="000000" w:themeColor="text1"/>
        </w:rPr>
        <w:t xml:space="preserve"> our proposed emissions budgets and key assumptions.</w:t>
      </w:r>
    </w:p>
    <w:p w14:paraId="2AF5DA99" w14:textId="6B35A971" w:rsidR="00E53A1E" w:rsidRDefault="00E53A1E" w:rsidP="00AB5EBC">
      <w:pPr>
        <w:rPr>
          <w:rFonts w:ascii="Calibri" w:hAnsi="Calibri" w:cs="Calibri"/>
          <w:color w:val="000000" w:themeColor="text1"/>
        </w:rPr>
      </w:pPr>
      <w:r>
        <w:rPr>
          <w:rFonts w:ascii="Calibri" w:hAnsi="Calibri" w:cs="Calibri"/>
          <w:color w:val="000000" w:themeColor="text1"/>
        </w:rPr>
        <w:t>This model cannot tell us</w:t>
      </w:r>
      <w:r w:rsidR="00EB3B2F">
        <w:rPr>
          <w:rFonts w:ascii="Calibri" w:hAnsi="Calibri" w:cs="Calibri"/>
          <w:color w:val="000000" w:themeColor="text1"/>
        </w:rPr>
        <w:t xml:space="preserve"> about the aggregate effect on jobs in Aotearoa</w:t>
      </w:r>
      <w:r w:rsidR="00315EFF">
        <w:rPr>
          <w:rFonts w:ascii="Calibri" w:hAnsi="Calibri" w:cs="Calibri"/>
          <w:color w:val="000000" w:themeColor="text1"/>
        </w:rPr>
        <w:t xml:space="preserve">, but provides insights on </w:t>
      </w:r>
      <w:r w:rsidR="004343F9">
        <w:rPr>
          <w:rFonts w:ascii="Calibri" w:hAnsi="Calibri" w:cs="Calibri"/>
          <w:color w:val="000000" w:themeColor="text1"/>
        </w:rPr>
        <w:t>the flow of work across Aotearoa.</w:t>
      </w:r>
    </w:p>
    <w:p w14:paraId="740F3ABE" w14:textId="309A360E" w:rsidR="00F960B3" w:rsidRDefault="00CA53F8">
      <w:r>
        <w:lastRenderedPageBreak/>
        <w:t>The</w:t>
      </w:r>
      <w:r w:rsidR="00B1495D">
        <w:t xml:space="preserve"> coal mining and oil and gas sectors</w:t>
      </w:r>
      <w:r w:rsidR="00E91E53">
        <w:t>, and the</w:t>
      </w:r>
      <w:r>
        <w:t xml:space="preserve"> </w:t>
      </w:r>
      <w:r w:rsidR="00647CC6">
        <w:t xml:space="preserve">services that support them, </w:t>
      </w:r>
      <w:r>
        <w:t xml:space="preserve">will be impacted by the transition away from fossil fuels. </w:t>
      </w:r>
      <w:r w:rsidR="00E82A7D">
        <w:t xml:space="preserve">This would particularly affect </w:t>
      </w:r>
      <w:r w:rsidR="003D1817">
        <w:t xml:space="preserve">regions </w:t>
      </w:r>
      <w:r w:rsidR="0073682D">
        <w:t xml:space="preserve">in Aotearoa that have </w:t>
      </w:r>
      <w:r w:rsidR="008434B0">
        <w:t xml:space="preserve">fossil fuel extraction </w:t>
      </w:r>
      <w:r w:rsidR="0073682D">
        <w:t>industries</w:t>
      </w:r>
      <w:r w:rsidR="00E82A7D">
        <w:t>.</w:t>
      </w:r>
      <w:r w:rsidR="002A372D">
        <w:t xml:space="preserve"> </w:t>
      </w:r>
    </w:p>
    <w:p w14:paraId="03EB053C" w14:textId="762F71E8" w:rsidR="002669AF" w:rsidRDefault="002669AF">
      <w:r>
        <w:t xml:space="preserve">Under current policy settings, our modelling indicates </w:t>
      </w:r>
      <w:r w:rsidRPr="00E654ED">
        <w:t xml:space="preserve">that Aotearoa would see </w:t>
      </w:r>
      <w:r w:rsidR="008F7957" w:rsidRPr="00400204">
        <w:t xml:space="preserve">about </w:t>
      </w:r>
      <w:r w:rsidR="71AA4CB8" w:rsidRPr="00400204">
        <w:t>6</w:t>
      </w:r>
      <w:r w:rsidR="008F7957" w:rsidRPr="00400204">
        <w:t>00</w:t>
      </w:r>
      <w:r w:rsidR="4BDF9041" w:rsidRPr="00400204">
        <w:t xml:space="preserve"> net</w:t>
      </w:r>
      <w:r w:rsidR="00EE4510" w:rsidRPr="00400204">
        <w:t xml:space="preserve"> </w:t>
      </w:r>
      <w:r w:rsidRPr="00400204">
        <w:t>job losses from these</w:t>
      </w:r>
      <w:r w:rsidR="7E49B3E6" w:rsidRPr="00400204">
        <w:t xml:space="preserve"> fossil fuel</w:t>
      </w:r>
      <w:r w:rsidRPr="00400204">
        <w:t xml:space="preserve"> sectors</w:t>
      </w:r>
      <w:r w:rsidR="00EE4510" w:rsidRPr="00400204">
        <w:t xml:space="preserve"> b</w:t>
      </w:r>
      <w:r w:rsidR="00DD6318" w:rsidRPr="00400204">
        <w:t xml:space="preserve">etween 2022 and </w:t>
      </w:r>
      <w:r w:rsidR="00EE4510" w:rsidRPr="00400204">
        <w:t>2035</w:t>
      </w:r>
      <w:r w:rsidRPr="00E654ED">
        <w:t xml:space="preserve">. However, taking action to meet our proposed emissions budgets would result in </w:t>
      </w:r>
      <w:r w:rsidR="009C11B4" w:rsidRPr="00E654ED">
        <w:t>6</w:t>
      </w:r>
      <w:r w:rsidR="00DE735D" w:rsidRPr="00E654ED">
        <w:t>00</w:t>
      </w:r>
      <w:r w:rsidR="798E8712" w:rsidRPr="00E654ED">
        <w:t>-11</w:t>
      </w:r>
      <w:r w:rsidR="002A36BA" w:rsidRPr="00E654ED">
        <w:t>00</w:t>
      </w:r>
      <w:r w:rsidR="00EE4510" w:rsidRPr="00400204">
        <w:t xml:space="preserve"> </w:t>
      </w:r>
      <w:r w:rsidRPr="00400204">
        <w:t xml:space="preserve">more </w:t>
      </w:r>
      <w:r w:rsidR="59FD1FDE" w:rsidRPr="00400204">
        <w:t xml:space="preserve">net </w:t>
      </w:r>
      <w:r w:rsidRPr="00400204">
        <w:t>job losses</w:t>
      </w:r>
      <w:r w:rsidRPr="00E654ED">
        <w:t xml:space="preserve"> </w:t>
      </w:r>
      <w:r w:rsidR="00E71A76">
        <w:t>across</w:t>
      </w:r>
      <w:r w:rsidRPr="00E654ED">
        <w:t xml:space="preserve"> </w:t>
      </w:r>
      <w:r w:rsidR="00E71A76">
        <w:t>the coal mining and oil and gas</w:t>
      </w:r>
      <w:r>
        <w:t xml:space="preserve"> sectors </w:t>
      </w:r>
      <w:r w:rsidR="6507B8A1">
        <w:t>by 2035</w:t>
      </w:r>
      <w:r w:rsidR="00C07122">
        <w:t xml:space="preserve"> (</w:t>
      </w:r>
      <w:r w:rsidR="00AC41DC">
        <w:fldChar w:fldCharType="begin"/>
      </w:r>
      <w:r w:rsidR="00AC41DC">
        <w:instrText xml:space="preserve"> REF _Ref61334519 \h </w:instrText>
      </w:r>
      <w:r w:rsidR="00AC41DC">
        <w:fldChar w:fldCharType="separate"/>
      </w:r>
      <w:r w:rsidR="00A22B54">
        <w:t>Figure 5.5:</w:t>
      </w:r>
      <w:r w:rsidR="00AC41DC">
        <w:fldChar w:fldCharType="end"/>
      </w:r>
      <w:r w:rsidR="00B57F0F">
        <w:t>)</w:t>
      </w:r>
      <w:r>
        <w:t xml:space="preserve">. </w:t>
      </w:r>
      <w:r w:rsidR="00B1495D" w:rsidDel="002A372D">
        <w:t>I</w:t>
      </w:r>
      <w:r w:rsidR="002A372D">
        <w:t xml:space="preserve">f </w:t>
      </w:r>
      <w:r>
        <w:t xml:space="preserve">Aotearoa </w:t>
      </w:r>
      <w:r w:rsidR="002A372D">
        <w:t>reduced</w:t>
      </w:r>
      <w:r>
        <w:t xml:space="preserve"> emissions</w:t>
      </w:r>
      <w:r w:rsidR="002A372D">
        <w:t xml:space="preserve"> at a faster rate in the first two emissions budget periods, job losses in these sectors would </w:t>
      </w:r>
      <w:r>
        <w:t>occur earlier</w:t>
      </w:r>
      <w:r w:rsidR="002A372D">
        <w:t xml:space="preserve">. </w:t>
      </w:r>
    </w:p>
    <w:p w14:paraId="1FF9F260" w14:textId="361E536D" w:rsidR="00F960B3" w:rsidRDefault="00F960B3" w:rsidP="00F960B3">
      <w:r w:rsidRPr="00400204">
        <w:t>The jobs that are lost from the oil and gas sector are likely to be highly skilled</w:t>
      </w:r>
      <w:r w:rsidR="00030F75" w:rsidRPr="00400204">
        <w:t xml:space="preserve"> </w:t>
      </w:r>
      <w:r w:rsidRPr="00400204">
        <w:t xml:space="preserve">and therefore high paying jobs. The individuals </w:t>
      </w:r>
      <w:r w:rsidR="00592510" w:rsidRPr="00400204">
        <w:t xml:space="preserve">affected </w:t>
      </w:r>
      <w:r w:rsidRPr="00400204">
        <w:t>are likely to have skillsets that</w:t>
      </w:r>
      <w:r w:rsidR="005B7E44">
        <w:t xml:space="preserve"> could be valuable</w:t>
      </w:r>
      <w:r w:rsidR="003B3562">
        <w:t xml:space="preserve"> in </w:t>
      </w:r>
      <w:r w:rsidR="000E70EA">
        <w:t>other sectors, including sectors emerging as part of the transition to a low emissions economy.</w:t>
      </w:r>
    </w:p>
    <w:p w14:paraId="5FC78499" w14:textId="77777777" w:rsidR="00F960B3" w:rsidRDefault="00F960B3"/>
    <w:p w14:paraId="1E596E66" w14:textId="610B8B1A" w:rsidR="00554205" w:rsidRDefault="00B24BF6" w:rsidP="00744967">
      <w:pPr>
        <w:keepNext/>
        <w:jc w:val="center"/>
      </w:pPr>
      <w:r>
        <w:rPr>
          <w:noProof/>
        </w:rPr>
        <w:drawing>
          <wp:inline distT="0" distB="0" distL="0" distR="0" wp14:anchorId="115B22D0" wp14:editId="3779E3FC">
            <wp:extent cx="5773421" cy="3963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6">
                      <a:extLst>
                        <a:ext uri="{28A0092B-C50C-407E-A947-70E740481C1C}">
                          <a14:useLocalDpi xmlns:a14="http://schemas.microsoft.com/office/drawing/2010/main" val="0"/>
                        </a:ext>
                      </a:extLst>
                    </a:blip>
                    <a:stretch>
                      <a:fillRect/>
                    </a:stretch>
                  </pic:blipFill>
                  <pic:spPr>
                    <a:xfrm>
                      <a:off x="0" y="0"/>
                      <a:ext cx="5773421" cy="3963035"/>
                    </a:xfrm>
                    <a:prstGeom prst="rect">
                      <a:avLst/>
                    </a:prstGeom>
                  </pic:spPr>
                </pic:pic>
              </a:graphicData>
            </a:graphic>
          </wp:inline>
        </w:drawing>
      </w:r>
    </w:p>
    <w:p w14:paraId="7EAD8D08" w14:textId="4F8F7E97" w:rsidR="460B6519" w:rsidRDefault="00554205" w:rsidP="00811410">
      <w:pPr>
        <w:pStyle w:val="Caption"/>
      </w:pPr>
      <w:bookmarkStart w:id="193" w:name="_Ref61334519"/>
      <w:r>
        <w:t xml:space="preserve">Figure </w:t>
      </w:r>
      <w:r w:rsidR="009A0982">
        <w:t>5.5</w:t>
      </w:r>
      <w:r>
        <w:t>:</w:t>
      </w:r>
      <w:bookmarkEnd w:id="193"/>
      <w:r>
        <w:t xml:space="preserve"> </w:t>
      </w:r>
      <w:r w:rsidR="003D7BEA">
        <w:t>S</w:t>
      </w:r>
      <w:r w:rsidR="00F8189C">
        <w:t xml:space="preserve">imulation </w:t>
      </w:r>
      <w:r w:rsidR="003D7BEA">
        <w:t xml:space="preserve">results </w:t>
      </w:r>
      <w:r w:rsidR="00F8189C">
        <w:t>of t</w:t>
      </w:r>
      <w:r>
        <w:t>he average annual change in employment in the fossil fuel sectors in each emissions budget period under the current policy reference case (CPR) and t</w:t>
      </w:r>
      <w:r w:rsidR="00E654ED">
        <w:t>ransition</w:t>
      </w:r>
      <w:r>
        <w:t xml:space="preserve"> pathway</w:t>
      </w:r>
      <w:r w:rsidR="00811410">
        <w:t>s</w:t>
      </w:r>
      <w:r>
        <w:t xml:space="preserve"> 3 and 4 </w:t>
      </w:r>
      <w:r w:rsidR="00811410">
        <w:t xml:space="preserve">(TP3 and TP4) </w:t>
      </w:r>
      <w:r>
        <w:t xml:space="preserve">that </w:t>
      </w:r>
      <w:r w:rsidR="00811410">
        <w:t>are in line with our proposed emissions budgets.</w:t>
      </w:r>
    </w:p>
    <w:p w14:paraId="15B3F617" w14:textId="53141A28" w:rsidR="00AA1AA3" w:rsidRPr="00AA1AA3" w:rsidRDefault="00AA1AA3" w:rsidP="00AA1AA3">
      <w:pPr>
        <w:spacing w:before="0"/>
        <w:jc w:val="right"/>
      </w:pPr>
      <w:r w:rsidRPr="00295A62">
        <w:t xml:space="preserve">Source: </w:t>
      </w:r>
      <w:r>
        <w:t>Commission analysis – DIM-E results.</w:t>
      </w:r>
    </w:p>
    <w:p w14:paraId="25CABDB5" w14:textId="3B6F5496" w:rsidR="008907BD" w:rsidRDefault="008907BD" w:rsidP="00E82A7D">
      <w:r>
        <w:t xml:space="preserve">In some other sectors, our modelling indicates that there could be fewer job losses as a result of taking actions to meet our proposed </w:t>
      </w:r>
      <w:r w:rsidRPr="00D27941">
        <w:t xml:space="preserve">emissions budgets. For example, our modelling suggests that, under current policy settings, there could be </w:t>
      </w:r>
      <w:r w:rsidRPr="00400204">
        <w:t>about 4,000 job</w:t>
      </w:r>
      <w:r w:rsidR="004F2C9A" w:rsidRPr="00400204">
        <w:t xml:space="preserve"> losse</w:t>
      </w:r>
      <w:r w:rsidRPr="00400204">
        <w:t>s in</w:t>
      </w:r>
      <w:r w:rsidRPr="00D27941">
        <w:t xml:space="preserve"> sheep, beef and grain farming by 2035. However, our modelling suggests that taking actions to meet our proposed emissions </w:t>
      </w:r>
      <w:r w:rsidRPr="00D27941">
        <w:lastRenderedPageBreak/>
        <w:t xml:space="preserve">budgets would result in </w:t>
      </w:r>
      <w:r w:rsidR="3C72CE63" w:rsidRPr="00400204">
        <w:t>400-700</w:t>
      </w:r>
      <w:r w:rsidR="00950649" w:rsidRPr="00400204">
        <w:t xml:space="preserve"> </w:t>
      </w:r>
      <w:r w:rsidRPr="00400204">
        <w:t>fewer job</w:t>
      </w:r>
      <w:r w:rsidRPr="00D27941">
        <w:t xml:space="preserve"> losses.</w:t>
      </w:r>
      <w:r w:rsidR="00592DF9" w:rsidRPr="00D27941">
        <w:t xml:space="preserve"> </w:t>
      </w:r>
      <w:r w:rsidR="00592510" w:rsidRPr="00D27941">
        <w:t>This</w:t>
      </w:r>
      <w:r w:rsidR="00592510">
        <w:t xml:space="preserve"> is </w:t>
      </w:r>
      <w:r w:rsidR="00D27941">
        <w:t>largely because our proposed emissions budgets would result in less land use change from sheep and beef farming to forestry.</w:t>
      </w:r>
    </w:p>
    <w:p w14:paraId="55B7708C" w14:textId="12E43C1D" w:rsidR="00011769" w:rsidRDefault="00D0044F" w:rsidP="00400204">
      <w:pPr>
        <w:keepNext/>
      </w:pPr>
      <w:r>
        <w:rPr>
          <w:noProof/>
        </w:rPr>
        <w:drawing>
          <wp:inline distT="0" distB="0" distL="0" distR="0" wp14:anchorId="6DCE3DDE" wp14:editId="026B16C6">
            <wp:extent cx="5773421" cy="39630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7">
                      <a:extLst>
                        <a:ext uri="{28A0092B-C50C-407E-A947-70E740481C1C}">
                          <a14:useLocalDpi xmlns:a14="http://schemas.microsoft.com/office/drawing/2010/main" val="0"/>
                        </a:ext>
                      </a:extLst>
                    </a:blip>
                    <a:stretch>
                      <a:fillRect/>
                    </a:stretch>
                  </pic:blipFill>
                  <pic:spPr>
                    <a:xfrm>
                      <a:off x="0" y="0"/>
                      <a:ext cx="5773421" cy="3963035"/>
                    </a:xfrm>
                    <a:prstGeom prst="rect">
                      <a:avLst/>
                    </a:prstGeom>
                  </pic:spPr>
                </pic:pic>
              </a:graphicData>
            </a:graphic>
          </wp:inline>
        </w:drawing>
      </w:r>
    </w:p>
    <w:p w14:paraId="095ECD08" w14:textId="799D69BB" w:rsidR="00AC41DC" w:rsidRDefault="00AC41DC" w:rsidP="00AC41DC">
      <w:pPr>
        <w:pStyle w:val="Caption"/>
      </w:pPr>
      <w:r>
        <w:t xml:space="preserve">Figure </w:t>
      </w:r>
      <w:r w:rsidR="00644591">
        <w:t>5</w:t>
      </w:r>
      <w:r w:rsidR="00B175D6">
        <w:t>.6</w:t>
      </w:r>
      <w:r>
        <w:t>: Simulation results of the average annual change in employment in the grain, sheep and beef cattle farming sectors in each emissions budget period under the current policy reference case (CPR) and transition pathways 3 and 4 (TP3 and TP4) that are in line with our proposed emissions budgets.</w:t>
      </w:r>
    </w:p>
    <w:p w14:paraId="6C824600" w14:textId="77777777" w:rsidR="00AA1AA3" w:rsidRPr="00AA1AA3" w:rsidRDefault="00AA1AA3" w:rsidP="00AA1AA3">
      <w:pPr>
        <w:spacing w:before="0"/>
        <w:jc w:val="right"/>
      </w:pPr>
      <w:r w:rsidRPr="00295A62">
        <w:t xml:space="preserve">Source: </w:t>
      </w:r>
      <w:r>
        <w:t>Commission analysis – DIM-E results.</w:t>
      </w:r>
    </w:p>
    <w:p w14:paraId="47B3D5ED" w14:textId="6FB54D41" w:rsidR="00CA53F8" w:rsidRDefault="00CA53F8" w:rsidP="00CA53F8">
      <w:r>
        <w:t>While our modelling is able to look at existing industries, there will also be new industries that arise as a result of the low emissions transition</w:t>
      </w:r>
      <w:r w:rsidR="0020633D">
        <w:t xml:space="preserve"> and from regional development</w:t>
      </w:r>
      <w:r>
        <w:t xml:space="preserve"> that our modelling is not able to foresee. For example, there are opportunities to create new jobs associated with the circular economy, such as using wood waste for biofuels</w:t>
      </w:r>
      <w:r w:rsidR="00F95319">
        <w:t xml:space="preserve">, and new </w:t>
      </w:r>
      <w:r w:rsidR="00FE4741">
        <w:t>industries, such as</w:t>
      </w:r>
      <w:r w:rsidR="00311A25">
        <w:t xml:space="preserve"> hydrogen. </w:t>
      </w:r>
      <w:r>
        <w:t xml:space="preserve">New jobs could also be generated in energy efficiency and home energy audits, advisory services for managing emissions on farm, </w:t>
      </w:r>
      <w:r w:rsidR="00D9739C">
        <w:t xml:space="preserve">and </w:t>
      </w:r>
      <w:r w:rsidR="00D12E58">
        <w:t>o</w:t>
      </w:r>
      <w:r w:rsidR="00644591">
        <w:t xml:space="preserve">n </w:t>
      </w:r>
      <w:r w:rsidR="00D12E58">
        <w:t xml:space="preserve">deploying and supporting new technologies, </w:t>
      </w:r>
      <w:r>
        <w:t>for example. Generating jobs and taking advantage of these new opportunities will require investment</w:t>
      </w:r>
      <w:r w:rsidR="003137EE">
        <w:t xml:space="preserve"> and planning</w:t>
      </w:r>
      <w:r>
        <w:t>.</w:t>
      </w:r>
    </w:p>
    <w:p w14:paraId="1FC59CA8" w14:textId="49F97CAA" w:rsidR="002A372D" w:rsidRPr="00BD7C8B" w:rsidRDefault="00CA53F8" w:rsidP="00AB5EBC">
      <w:pPr>
        <w:rPr>
          <w:rFonts w:ascii="Calibri" w:hAnsi="Calibri" w:cs="Calibri"/>
          <w:color w:val="000000"/>
        </w:rPr>
      </w:pPr>
      <w:r>
        <w:rPr>
          <w:color w:val="000000"/>
        </w:rPr>
        <w:t>To take adv</w:t>
      </w:r>
      <w:r w:rsidR="002336F6">
        <w:rPr>
          <w:color w:val="000000"/>
        </w:rPr>
        <w:t xml:space="preserve">antage of these </w:t>
      </w:r>
      <w:r w:rsidR="00C43BE1">
        <w:rPr>
          <w:color w:val="000000"/>
        </w:rPr>
        <w:t>opportunities</w:t>
      </w:r>
      <w:r w:rsidR="002336F6">
        <w:rPr>
          <w:color w:val="000000"/>
        </w:rPr>
        <w:t xml:space="preserve"> and support workers affected by</w:t>
      </w:r>
      <w:r w:rsidR="00E4732F">
        <w:rPr>
          <w:color w:val="000000"/>
        </w:rPr>
        <w:t xml:space="preserve"> the climate transition</w:t>
      </w:r>
      <w:r w:rsidR="002A372D" w:rsidRPr="71AB2B91">
        <w:rPr>
          <w:rFonts w:ascii="Calibri" w:hAnsi="Calibri" w:cs="Calibri"/>
          <w:color w:val="000000" w:themeColor="text1"/>
        </w:rPr>
        <w:t xml:space="preserve">, Aotearoa will need </w:t>
      </w:r>
      <w:r>
        <w:rPr>
          <w:rFonts w:ascii="Calibri" w:hAnsi="Calibri" w:cs="Calibri"/>
          <w:color w:val="000000" w:themeColor="text1"/>
        </w:rPr>
        <w:t xml:space="preserve">the transition to be well-signalled to allow time to plan and </w:t>
      </w:r>
      <w:r w:rsidR="002A372D" w:rsidRPr="71AB2B91">
        <w:rPr>
          <w:rFonts w:ascii="Calibri" w:hAnsi="Calibri" w:cs="Calibri"/>
          <w:color w:val="000000" w:themeColor="text1"/>
        </w:rPr>
        <w:t>localised transitions planning</w:t>
      </w:r>
      <w:r>
        <w:rPr>
          <w:rFonts w:ascii="Calibri" w:hAnsi="Calibri" w:cs="Calibri"/>
          <w:color w:val="000000" w:themeColor="text1"/>
        </w:rPr>
        <w:t xml:space="preserve"> that is tailored by the community for the community. Many of the workers affected will have important skillsets that will be in demand in new low emissions industries. Workers will need to be supported to redeploy into these new areas of work and provided opportunities to retrain and build new skillsets.</w:t>
      </w:r>
    </w:p>
    <w:p w14:paraId="7D63B983" w14:textId="5AE31C86" w:rsidR="002A372D" w:rsidRPr="001D27CE" w:rsidRDefault="00AC7A4E" w:rsidP="00AA3317">
      <w:pPr>
        <w:pStyle w:val="Heading4"/>
      </w:pPr>
      <w:r>
        <w:lastRenderedPageBreak/>
        <w:t xml:space="preserve">How can this be managed through </w:t>
      </w:r>
      <w:r w:rsidR="00D11ED9">
        <w:t>l</w:t>
      </w:r>
      <w:r w:rsidR="002A372D" w:rsidRPr="001D27CE">
        <w:t>ocalised transition planning</w:t>
      </w:r>
      <w:r>
        <w:t>?</w:t>
      </w:r>
    </w:p>
    <w:p w14:paraId="75D0DF8E" w14:textId="7363AF91" w:rsidR="002A372D" w:rsidRPr="000133A5" w:rsidRDefault="002A372D" w:rsidP="00B52ACE">
      <w:pPr>
        <w:rPr>
          <w:rFonts w:ascii="Calibri" w:hAnsi="Calibri" w:cs="Calibri"/>
          <w:color w:val="000000" w:themeColor="text1"/>
        </w:rPr>
      </w:pPr>
      <w:r w:rsidRPr="71AB2B91">
        <w:t>Throughout our engagement, we heard about the importance of transition planning that is created for the local community, by the local community. Historically, governme</w:t>
      </w:r>
      <w:r>
        <w:t xml:space="preserve">nt has come </w:t>
      </w:r>
      <w:r w:rsidR="00F71805">
        <w:t>with more centralised interventions on</w:t>
      </w:r>
      <w:r>
        <w:t xml:space="preserve"> top of the work being done at a community level</w:t>
      </w:r>
      <w:r w:rsidRPr="71AB2B91">
        <w:rPr>
          <w:rFonts w:ascii="Calibri" w:hAnsi="Calibri" w:cs="Calibri"/>
          <w:color w:val="000000" w:themeColor="text1"/>
        </w:rPr>
        <w:t>.</w:t>
      </w:r>
    </w:p>
    <w:p w14:paraId="691D4C49" w14:textId="40DD91F3" w:rsidR="002A372D" w:rsidRDefault="002A372D" w:rsidP="00B52ACE">
      <w:pPr>
        <w:rPr>
          <w:rFonts w:ascii="Calibri" w:hAnsi="Calibri" w:cs="Calibri"/>
          <w:color w:val="000000" w:themeColor="text1"/>
        </w:rPr>
      </w:pPr>
      <w:r w:rsidRPr="71AB2B91">
        <w:t>Localised transition planning, where central government works alongside local iwi/Māori, businesses, workers, community groups and local government</w:t>
      </w:r>
      <w:r w:rsidR="00CA17B9">
        <w:t>,</w:t>
      </w:r>
      <w:r w:rsidRPr="71AB2B91">
        <w:t xml:space="preserve"> will help ensure climate change policies are </w:t>
      </w:r>
      <w:r w:rsidRPr="71AB2B91">
        <w:rPr>
          <w:rFonts w:ascii="Calibri" w:hAnsi="Calibri" w:cs="Calibri"/>
          <w:color w:val="000000" w:themeColor="text1"/>
        </w:rPr>
        <w:t>tailored to regional and local circumstances and address the needs and aspirations of different groups within the community. This kind of co-created and strategic transition planning is already underway in Taranaki.</w:t>
      </w:r>
    </w:p>
    <w:p w14:paraId="1233FAF6" w14:textId="77777777" w:rsidR="00166467" w:rsidRPr="007A67B1" w:rsidDel="002A372D" w:rsidRDefault="00166467" w:rsidP="00166467">
      <w:r w:rsidRPr="007A67B1" w:rsidDel="002A372D">
        <w:t>Transparent and inclusive processes, and active social dialogue regarding the transition, are key to achieving a transition that is accepted and enduring.</w:t>
      </w:r>
    </w:p>
    <w:p w14:paraId="2404768C" w14:textId="77777777" w:rsidR="002A372D" w:rsidRPr="00BD7C8B" w:rsidRDefault="002A372D" w:rsidP="00B52ACE">
      <w:pPr>
        <w:rPr>
          <w:rFonts w:ascii="Calibri" w:hAnsi="Calibri" w:cs="Calibri"/>
          <w:color w:val="000000"/>
        </w:rPr>
      </w:pPr>
      <w:r w:rsidRPr="71AB2B91">
        <w:t>Localised planning is also important for</w:t>
      </w:r>
      <w:r w:rsidRPr="71AB2B91">
        <w:rPr>
          <w:rFonts w:ascii="Calibri" w:hAnsi="Calibri" w:cs="Calibri"/>
          <w:color w:val="000000" w:themeColor="text1"/>
        </w:rPr>
        <w:t xml:space="preserve"> aligning central government, local government and business investment priorities. In some situations, businesses will only invest if they know that complementary investments are being made – for example to supporting infrastructure.</w:t>
      </w:r>
    </w:p>
    <w:p w14:paraId="5A448D28" w14:textId="55CA14E6" w:rsidR="002A372D" w:rsidRPr="001D27CE" w:rsidRDefault="00AC7A4E" w:rsidP="00AA3317">
      <w:pPr>
        <w:pStyle w:val="Heading4"/>
        <w:rPr>
          <w:color w:val="000000"/>
        </w:rPr>
      </w:pPr>
      <w:r>
        <w:t>How can this be managed through improving p</w:t>
      </w:r>
      <w:r w:rsidR="002A372D" w:rsidRPr="71AB2B91">
        <w:t xml:space="preserve">roductivity, </w:t>
      </w:r>
      <w:r w:rsidR="00166467">
        <w:t xml:space="preserve">education, </w:t>
      </w:r>
      <w:r w:rsidR="002A372D" w:rsidRPr="71AB2B91">
        <w:t>skills and innovation</w:t>
      </w:r>
      <w:r>
        <w:t>?</w:t>
      </w:r>
    </w:p>
    <w:p w14:paraId="12E82F7F" w14:textId="14F3EDBD" w:rsidR="002A372D" w:rsidRDefault="005A2187" w:rsidP="00B52ACE">
      <w:pPr>
        <w:rPr>
          <w:rFonts w:ascii="Calibri" w:hAnsi="Calibri" w:cs="Calibri"/>
          <w:color w:val="000000" w:themeColor="text1"/>
        </w:rPr>
      </w:pPr>
      <w:r>
        <w:t>The</w:t>
      </w:r>
      <w:r w:rsidRPr="71AB2B91">
        <w:t xml:space="preserve"> </w:t>
      </w:r>
      <w:r w:rsidR="002A372D" w:rsidRPr="71AB2B91">
        <w:rPr>
          <w:rFonts w:ascii="Calibri" w:hAnsi="Calibri" w:cs="Calibri"/>
          <w:color w:val="000000" w:themeColor="text1"/>
        </w:rPr>
        <w:t xml:space="preserve">education, and science and innovation systems </w:t>
      </w:r>
      <w:r>
        <w:rPr>
          <w:rFonts w:ascii="Calibri" w:hAnsi="Calibri" w:cs="Calibri"/>
          <w:color w:val="000000" w:themeColor="text1"/>
        </w:rPr>
        <w:t xml:space="preserve">in Aotearoa </w:t>
      </w:r>
      <w:r w:rsidR="002A372D" w:rsidRPr="71AB2B91">
        <w:rPr>
          <w:rFonts w:ascii="Calibri" w:hAnsi="Calibri" w:cs="Calibri"/>
          <w:color w:val="000000" w:themeColor="text1"/>
        </w:rPr>
        <w:t>are critical for ensuring low emissions economic growth.</w:t>
      </w:r>
    </w:p>
    <w:p w14:paraId="7072C731" w14:textId="4DDC5822" w:rsidR="002A372D" w:rsidRPr="00BD7C8B" w:rsidRDefault="002A372D" w:rsidP="00B52ACE">
      <w:pPr>
        <w:rPr>
          <w:rFonts w:ascii="Calibri" w:hAnsi="Calibri" w:cs="Calibri"/>
          <w:color w:val="000000"/>
        </w:rPr>
      </w:pPr>
      <w:r w:rsidRPr="71AB2B91">
        <w:t>Ensuring that people have the skills to move into new jobs, and businesses have the skills and capability to innovate, adopt new technologies and commercialise new ideas is central to an equitable transition. This will ensure more inclusive economic growth, create higher paying jobs and improve living standards.</w:t>
      </w:r>
    </w:p>
    <w:p w14:paraId="29C75307" w14:textId="6CF42A86" w:rsidR="004719CE" w:rsidRDefault="005A2187" w:rsidP="004719CE">
      <w:r>
        <w:t xml:space="preserve">The </w:t>
      </w:r>
      <w:r w:rsidR="00027666">
        <w:t xml:space="preserve">education system will need to ensure that </w:t>
      </w:r>
      <w:r w:rsidR="00F379D4">
        <w:t xml:space="preserve">New Zealanders are set up with the skills that are needed in the labour market. </w:t>
      </w:r>
      <w:r w:rsidR="00464976">
        <w:t xml:space="preserve">The system will need to focus not just </w:t>
      </w:r>
      <w:r w:rsidR="00857EBD">
        <w:t xml:space="preserve">on pre-employment training, but on lifelong learning. </w:t>
      </w:r>
      <w:r w:rsidR="004719CE">
        <w:t>Y</w:t>
      </w:r>
      <w:r w:rsidR="000E2D24">
        <w:t xml:space="preserve">oung </w:t>
      </w:r>
      <w:r w:rsidR="004719CE">
        <w:t xml:space="preserve">New Zealanders will need to be set up </w:t>
      </w:r>
      <w:r w:rsidR="000E2D24">
        <w:t xml:space="preserve">with the skillsets needed in the future, and </w:t>
      </w:r>
      <w:r w:rsidR="002A372D" w:rsidRPr="71AB2B91">
        <w:t>workers</w:t>
      </w:r>
      <w:r w:rsidR="002A372D">
        <w:t xml:space="preserve"> </w:t>
      </w:r>
      <w:r w:rsidR="002A372D" w:rsidRPr="71AB2B91" w:rsidDel="00143694">
        <w:t xml:space="preserve">that </w:t>
      </w:r>
      <w:r w:rsidR="002A372D" w:rsidRPr="71AB2B91">
        <w:t xml:space="preserve">might be affected by business closures </w:t>
      </w:r>
      <w:r w:rsidR="004719CE">
        <w:t xml:space="preserve">will need to be supported to </w:t>
      </w:r>
      <w:r w:rsidR="002A372D" w:rsidRPr="71AB2B91">
        <w:t>upskill.</w:t>
      </w:r>
      <w:r w:rsidR="002A372D">
        <w:t xml:space="preserve"> </w:t>
      </w:r>
    </w:p>
    <w:p w14:paraId="471B8DDF" w14:textId="3F60C523" w:rsidR="004719CE" w:rsidRDefault="004719CE" w:rsidP="004719CE">
      <w:pPr>
        <w:rPr>
          <w:rFonts w:ascii="Calibri" w:eastAsiaTheme="majorEastAsia" w:hAnsi="Calibri" w:cs="Calibri"/>
          <w:b/>
          <w:color w:val="000000"/>
          <w:sz w:val="28"/>
          <w:szCs w:val="28"/>
        </w:rPr>
      </w:pPr>
      <w:r w:rsidRPr="71AB2B91">
        <w:t xml:space="preserve">The education system will </w:t>
      </w:r>
      <w:r>
        <w:t xml:space="preserve">also </w:t>
      </w:r>
      <w:r w:rsidRPr="71AB2B91">
        <w:t>need to be more flexible, and address barriers that restrict all New Zealanders from participating in education and training</w:t>
      </w:r>
      <w:r>
        <w:t xml:space="preserve"> – p</w:t>
      </w:r>
      <w:r w:rsidRPr="71AB2B91">
        <w:t>articular</w:t>
      </w:r>
      <w:r>
        <w:t xml:space="preserve">ly </w:t>
      </w:r>
      <w:r w:rsidRPr="71AB2B91">
        <w:t>for Māori</w:t>
      </w:r>
      <w:r>
        <w:t>.</w:t>
      </w:r>
    </w:p>
    <w:p w14:paraId="756ABC0A" w14:textId="12B30DB4" w:rsidR="002A372D" w:rsidRPr="00BD7C8B" w:rsidRDefault="00143694" w:rsidP="00B52ACE">
      <w:pPr>
        <w:rPr>
          <w:rFonts w:ascii="Calibri" w:hAnsi="Calibri" w:cs="Calibri"/>
          <w:color w:val="000000"/>
        </w:rPr>
      </w:pPr>
      <w:r>
        <w:t xml:space="preserve">Setting workers up with </w:t>
      </w:r>
      <w:r w:rsidR="009E67D5">
        <w:t xml:space="preserve">skillsets needed by the labour market will </w:t>
      </w:r>
      <w:r w:rsidR="002A372D" w:rsidRPr="71AB2B91">
        <w:t xml:space="preserve">allow them to pursue their interests, improve </w:t>
      </w:r>
      <w:r w:rsidR="00630F23">
        <w:t xml:space="preserve">their </w:t>
      </w:r>
      <w:r w:rsidR="002A372D" w:rsidRPr="71AB2B91">
        <w:t xml:space="preserve">employability and wages, </w:t>
      </w:r>
      <w:r w:rsidR="00630F23">
        <w:t>allow them</w:t>
      </w:r>
      <w:r w:rsidR="00630F23" w:rsidRPr="71AB2B91">
        <w:t xml:space="preserve"> </w:t>
      </w:r>
      <w:r w:rsidR="002A372D" w:rsidRPr="71AB2B91">
        <w:t xml:space="preserve">more autonomy in the workplace and enhance </w:t>
      </w:r>
      <w:r w:rsidR="00630F23">
        <w:t xml:space="preserve">their </w:t>
      </w:r>
      <w:r w:rsidR="002A372D" w:rsidRPr="71AB2B91">
        <w:t>overall wellbeing.</w:t>
      </w:r>
    </w:p>
    <w:p w14:paraId="1ABCC88A" w14:textId="1D9B2C52" w:rsidR="002A372D" w:rsidRPr="00BD7C8B" w:rsidRDefault="002A372D" w:rsidP="00B52ACE">
      <w:pPr>
        <w:rPr>
          <w:color w:val="000000"/>
        </w:rPr>
      </w:pPr>
      <w:r w:rsidRPr="71AB2B91">
        <w:t xml:space="preserve">For businesses, having employees with the skills and capability to innovate will encourage new ideas and technologies. </w:t>
      </w:r>
      <w:r w:rsidR="00B15C55">
        <w:t>This will help businesses realise opportunities from the transition and soften any potential competitiveness impacts.</w:t>
      </w:r>
      <w:r w:rsidRPr="71AB2B91">
        <w:t xml:space="preserve"> </w:t>
      </w:r>
    </w:p>
    <w:p w14:paraId="5766282E" w14:textId="2D09DC94" w:rsidR="002A372D" w:rsidRPr="00BD7C8B" w:rsidRDefault="002A372D" w:rsidP="00B52ACE">
      <w:pPr>
        <w:rPr>
          <w:rFonts w:ascii="Calibri" w:hAnsi="Calibri" w:cs="Calibri"/>
          <w:color w:val="000000"/>
        </w:rPr>
      </w:pPr>
      <w:r w:rsidRPr="71AB2B91">
        <w:t xml:space="preserve">Aotearoa is known as a country of innovators and problem solvers. Being an early mover in researching new technologies and adopting existing technologies will benefit </w:t>
      </w:r>
      <w:r w:rsidR="00E77E17">
        <w:t>not just the climate, but the economy and wellbeing of New Zealanders.</w:t>
      </w:r>
      <w:r w:rsidRPr="71AB2B91">
        <w:t xml:space="preserve"> This is particularly tru</w:t>
      </w:r>
      <w:r w:rsidRPr="71AB2B91">
        <w:rPr>
          <w:rFonts w:ascii="Calibri" w:hAnsi="Calibri" w:cs="Calibri"/>
          <w:color w:val="000000" w:themeColor="text1"/>
        </w:rPr>
        <w:t xml:space="preserve">e in sectors where Aotearoa is traditionally innovative, such as agriculture. </w:t>
      </w:r>
    </w:p>
    <w:p w14:paraId="13B6F780" w14:textId="228590C7" w:rsidR="002A372D" w:rsidRPr="00BD7C8B" w:rsidRDefault="00812146" w:rsidP="00B52ACE">
      <w:pPr>
        <w:pStyle w:val="Heading2"/>
        <w:rPr>
          <w:rFonts w:ascii="Segoe UI" w:hAnsi="Segoe UI" w:cs="Segoe UI"/>
          <w:sz w:val="18"/>
          <w:szCs w:val="18"/>
        </w:rPr>
      </w:pPr>
      <w:bookmarkStart w:id="194" w:name="_Toc62650295"/>
      <w:r>
        <w:lastRenderedPageBreak/>
        <w:t xml:space="preserve">5.6 </w:t>
      </w:r>
      <w:r w:rsidR="002A372D" w:rsidRPr="00BD7C8B">
        <w:t>Specific challenges to address for Māori</w:t>
      </w:r>
      <w:r w:rsidR="004E1102">
        <w:t>-collectives</w:t>
      </w:r>
      <w:r w:rsidR="004E1102" w:rsidRPr="00BD7C8B">
        <w:t xml:space="preserve"> </w:t>
      </w:r>
      <w:r w:rsidR="002A372D" w:rsidRPr="00BD7C8B">
        <w:t xml:space="preserve">and </w:t>
      </w:r>
      <w:r w:rsidR="004E1102">
        <w:t>M</w:t>
      </w:r>
      <w:r w:rsidR="004E1102">
        <w:rPr>
          <w:rFonts w:cstheme="majorHAnsi"/>
        </w:rPr>
        <w:t>ā</w:t>
      </w:r>
      <w:r w:rsidR="004E1102">
        <w:t>ori in the workforce</w:t>
      </w:r>
      <w:bookmarkEnd w:id="194"/>
    </w:p>
    <w:p w14:paraId="19350E63" w14:textId="7F45900F" w:rsidR="002A372D" w:rsidRDefault="002A372D" w:rsidP="00B52ACE">
      <w:pPr>
        <w:rPr>
          <w:lang w:eastAsia="en-NZ"/>
        </w:rPr>
      </w:pPr>
      <w:r w:rsidRPr="00BD7C8B">
        <w:rPr>
          <w:lang w:eastAsia="en-NZ"/>
        </w:rPr>
        <w:t>Regardless of the level at which emissions budgets are set, there are specific challenges for Māori</w:t>
      </w:r>
      <w:r w:rsidR="004E1102">
        <w:rPr>
          <w:lang w:eastAsia="en-NZ"/>
        </w:rPr>
        <w:t xml:space="preserve">-collectives </w:t>
      </w:r>
      <w:r w:rsidRPr="00BD7C8B">
        <w:rPr>
          <w:lang w:eastAsia="en-NZ"/>
        </w:rPr>
        <w:t xml:space="preserve">and </w:t>
      </w:r>
      <w:r w:rsidR="004E1102">
        <w:rPr>
          <w:lang w:eastAsia="en-NZ"/>
        </w:rPr>
        <w:t>M</w:t>
      </w:r>
      <w:r w:rsidR="004E1102">
        <w:rPr>
          <w:rFonts w:cstheme="minorHAnsi"/>
          <w:lang w:eastAsia="en-NZ"/>
        </w:rPr>
        <w:t>ā</w:t>
      </w:r>
      <w:r w:rsidR="004E1102">
        <w:rPr>
          <w:lang w:eastAsia="en-NZ"/>
        </w:rPr>
        <w:t>ori in the workforce that</w:t>
      </w:r>
      <w:r w:rsidRPr="00BD7C8B">
        <w:rPr>
          <w:lang w:eastAsia="en-NZ"/>
        </w:rPr>
        <w:t xml:space="preserve"> the Government will need to address. </w:t>
      </w:r>
    </w:p>
    <w:p w14:paraId="57AC41AF" w14:textId="51D9EF20" w:rsidR="004E1102" w:rsidRDefault="005A72E0" w:rsidP="005A72E0">
      <w:pPr>
        <w:pStyle w:val="Heading3"/>
        <w:rPr>
          <w:lang w:eastAsia="en-NZ"/>
        </w:rPr>
      </w:pPr>
      <w:bookmarkStart w:id="195" w:name="_Toc62649355"/>
      <w:bookmarkStart w:id="196" w:name="_Toc62650296"/>
      <w:r>
        <w:rPr>
          <w:lang w:eastAsia="en-NZ"/>
        </w:rPr>
        <w:t xml:space="preserve">5.6.1 </w:t>
      </w:r>
      <w:r w:rsidR="004E1102">
        <w:rPr>
          <w:lang w:eastAsia="en-NZ"/>
        </w:rPr>
        <w:t>M</w:t>
      </w:r>
      <w:r w:rsidR="004E1102">
        <w:rPr>
          <w:rFonts w:cstheme="minorHAnsi"/>
          <w:lang w:eastAsia="en-NZ"/>
        </w:rPr>
        <w:t>ā</w:t>
      </w:r>
      <w:r w:rsidR="004E1102">
        <w:rPr>
          <w:lang w:eastAsia="en-NZ"/>
        </w:rPr>
        <w:t>ori-collectives</w:t>
      </w:r>
      <w:bookmarkEnd w:id="195"/>
      <w:bookmarkEnd w:id="196"/>
    </w:p>
    <w:p w14:paraId="30608C41" w14:textId="08C224CE" w:rsidR="004E1102" w:rsidRDefault="004E1102" w:rsidP="004E1102">
      <w:pPr>
        <w:rPr>
          <w:lang w:eastAsia="en-NZ"/>
        </w:rPr>
      </w:pPr>
      <w:r w:rsidRPr="00BD7C8B">
        <w:rPr>
          <w:lang w:eastAsia="en-NZ"/>
        </w:rPr>
        <w:t>The Māori economy represents $50 billion or more in assets</w:t>
      </w:r>
      <w:r>
        <w:rPr>
          <w:lang w:eastAsia="en-NZ"/>
        </w:rPr>
        <w:t xml:space="preserve"> and is growing</w:t>
      </w:r>
      <w:r w:rsidRPr="00BD7C8B">
        <w:rPr>
          <w:lang w:eastAsia="en-NZ"/>
        </w:rPr>
        <w:t>.</w:t>
      </w:r>
    </w:p>
    <w:p w14:paraId="3E8CB0C5" w14:textId="7CD3936B" w:rsidR="004E1102" w:rsidRDefault="004E1102" w:rsidP="004E1102">
      <w:pPr>
        <w:rPr>
          <w:lang w:val="en-US"/>
        </w:rPr>
      </w:pPr>
      <w:r w:rsidRPr="00400204">
        <w:rPr>
          <w:lang w:eastAsia="en-NZ"/>
        </w:rPr>
        <w:t>Iwi/</w:t>
      </w:r>
      <w:r>
        <w:rPr>
          <w:lang w:val="en-US"/>
        </w:rPr>
        <w:t>M</w:t>
      </w:r>
      <w:r>
        <w:rPr>
          <w:rFonts w:cstheme="minorHAnsi"/>
          <w:lang w:val="en-US"/>
        </w:rPr>
        <w:t>ā</w:t>
      </w:r>
      <w:r>
        <w:rPr>
          <w:lang w:val="en-US"/>
        </w:rPr>
        <w:t xml:space="preserve">ori-collectives need flexibility to </w:t>
      </w:r>
      <w:r w:rsidRPr="004E1102">
        <w:rPr>
          <w:lang w:val="en-US"/>
        </w:rPr>
        <w:t xml:space="preserve">exercise their rangatiratanga and mana </w:t>
      </w:r>
      <w:proofErr w:type="spellStart"/>
      <w:r w:rsidRPr="004E1102">
        <w:rPr>
          <w:lang w:val="en-US"/>
        </w:rPr>
        <w:t>motuhake</w:t>
      </w:r>
      <w:proofErr w:type="spellEnd"/>
      <w:r w:rsidRPr="004E1102">
        <w:rPr>
          <w:lang w:val="en-US"/>
        </w:rPr>
        <w:t xml:space="preserve"> with regard to land use and emissions management. </w:t>
      </w:r>
      <w:r>
        <w:rPr>
          <w:lang w:val="en-US"/>
        </w:rPr>
        <w:t>We heard through engagement that some M</w:t>
      </w:r>
      <w:r>
        <w:rPr>
          <w:rFonts w:cstheme="minorHAnsi"/>
          <w:lang w:val="en-US"/>
        </w:rPr>
        <w:t>ā</w:t>
      </w:r>
      <w:r>
        <w:rPr>
          <w:lang w:val="en-US"/>
        </w:rPr>
        <w:t>ori-collectives</w:t>
      </w:r>
      <w:r w:rsidRPr="00400204">
        <w:rPr>
          <w:lang w:val="en-US"/>
        </w:rPr>
        <w:t xml:space="preserve"> have received forested land through Treaty settlements</w:t>
      </w:r>
      <w:r>
        <w:rPr>
          <w:lang w:val="en-US"/>
        </w:rPr>
        <w:t>. If these forests were established before 1990</w:t>
      </w:r>
      <w:r w:rsidRPr="00875C16">
        <w:rPr>
          <w:lang w:val="en-US"/>
        </w:rPr>
        <w:t xml:space="preserve">, </w:t>
      </w:r>
      <w:r>
        <w:rPr>
          <w:lang w:val="en-US"/>
        </w:rPr>
        <w:t>they are encumbered with a deforestation</w:t>
      </w:r>
      <w:r w:rsidRPr="00875C16">
        <w:rPr>
          <w:lang w:val="en-US"/>
        </w:rPr>
        <w:t xml:space="preserve"> liability. </w:t>
      </w:r>
      <w:r>
        <w:rPr>
          <w:lang w:val="en-US"/>
        </w:rPr>
        <w:t>However, M</w:t>
      </w:r>
      <w:r>
        <w:rPr>
          <w:rFonts w:cstheme="minorHAnsi"/>
          <w:lang w:val="en-US"/>
        </w:rPr>
        <w:t>ā</w:t>
      </w:r>
      <w:r>
        <w:rPr>
          <w:lang w:val="en-US"/>
        </w:rPr>
        <w:t xml:space="preserve">ori-collectives </w:t>
      </w:r>
      <w:r w:rsidRPr="004E1102">
        <w:rPr>
          <w:lang w:val="en-US"/>
        </w:rPr>
        <w:t>may</w:t>
      </w:r>
      <w:r>
        <w:rPr>
          <w:lang w:val="en-US"/>
        </w:rPr>
        <w:t xml:space="preserve"> have alternative aspirations for the use of their culturally significant land such as </w:t>
      </w:r>
      <w:proofErr w:type="spellStart"/>
      <w:r w:rsidRPr="004E1102">
        <w:rPr>
          <w:lang w:val="en-US"/>
        </w:rPr>
        <w:t>papakainga</w:t>
      </w:r>
      <w:proofErr w:type="spellEnd"/>
      <w:r w:rsidRPr="004E1102">
        <w:rPr>
          <w:lang w:val="en-US"/>
        </w:rPr>
        <w:t xml:space="preserve"> </w:t>
      </w:r>
      <w:r>
        <w:rPr>
          <w:lang w:val="en-US"/>
        </w:rPr>
        <w:t>development</w:t>
      </w:r>
      <w:r w:rsidRPr="004E1102">
        <w:rPr>
          <w:lang w:val="en-US"/>
        </w:rPr>
        <w:t>.</w:t>
      </w:r>
      <w:r w:rsidRPr="00400204">
        <w:rPr>
          <w:lang w:val="en-US"/>
        </w:rPr>
        <w:t xml:space="preserve"> </w:t>
      </w:r>
    </w:p>
    <w:p w14:paraId="12C4419C" w14:textId="6D1C466F" w:rsidR="004E1102" w:rsidRDefault="004E1102" w:rsidP="004E1102">
      <w:pPr>
        <w:rPr>
          <w:lang w:eastAsia="en-NZ"/>
        </w:rPr>
      </w:pPr>
      <w:r>
        <w:rPr>
          <w:lang w:val="en-US"/>
        </w:rPr>
        <w:t>Consideration should also be given to any</w:t>
      </w:r>
      <w:r w:rsidRPr="00FD0AC8">
        <w:rPr>
          <w:lang w:eastAsia="en-NZ"/>
        </w:rPr>
        <w:t xml:space="preserve"> policies </w:t>
      </w:r>
      <w:r>
        <w:rPr>
          <w:lang w:eastAsia="en-NZ"/>
        </w:rPr>
        <w:t>that could disadvantage M</w:t>
      </w:r>
      <w:r>
        <w:rPr>
          <w:rFonts w:cstheme="minorHAnsi"/>
          <w:lang w:eastAsia="en-NZ"/>
        </w:rPr>
        <w:t>ā</w:t>
      </w:r>
      <w:r>
        <w:rPr>
          <w:lang w:eastAsia="en-NZ"/>
        </w:rPr>
        <w:t xml:space="preserve">ori-collectives operating in the agriculture sector. When agricultural emissions are priced, free allocation should be provided in a way that does not </w:t>
      </w:r>
      <w:r w:rsidRPr="00FD0AC8">
        <w:rPr>
          <w:lang w:eastAsia="en-NZ"/>
        </w:rPr>
        <w:t xml:space="preserve">disadvantage </w:t>
      </w:r>
      <w:r>
        <w:rPr>
          <w:lang w:eastAsia="en-NZ"/>
        </w:rPr>
        <w:t>operators who were already managing resources in alignment with their kaitiaki values. In addition, some M</w:t>
      </w:r>
      <w:r>
        <w:rPr>
          <w:rFonts w:cstheme="minorHAnsi"/>
          <w:lang w:eastAsia="en-NZ"/>
        </w:rPr>
        <w:t>ā</w:t>
      </w:r>
      <w:r>
        <w:rPr>
          <w:lang w:eastAsia="en-NZ"/>
        </w:rPr>
        <w:t>ori-collectives may not operate intensively due to insufficient resource or being precluded from exercising their decision-making functions as a result of historic arrangements, such as perpetual leases. These M</w:t>
      </w:r>
      <w:r>
        <w:rPr>
          <w:rFonts w:cstheme="minorHAnsi"/>
          <w:lang w:eastAsia="en-NZ"/>
        </w:rPr>
        <w:t>ā</w:t>
      </w:r>
      <w:r>
        <w:rPr>
          <w:lang w:eastAsia="en-NZ"/>
        </w:rPr>
        <w:t>ori-collectives should also not be disadvantaged.</w:t>
      </w:r>
      <w:r w:rsidRPr="00FD0AC8">
        <w:rPr>
          <w:lang w:eastAsia="en-NZ"/>
        </w:rPr>
        <w:t xml:space="preserve"> </w:t>
      </w:r>
      <w:r>
        <w:rPr>
          <w:lang w:eastAsia="en-NZ"/>
        </w:rPr>
        <w:t>Any approach that uses grandparenting is likely to be problematic.</w:t>
      </w:r>
    </w:p>
    <w:p w14:paraId="6A49611F" w14:textId="75AAA4D5" w:rsidR="004E1102" w:rsidRDefault="004E1102" w:rsidP="004E1102">
      <w:pPr>
        <w:rPr>
          <w:lang w:val="en-US"/>
        </w:rPr>
      </w:pPr>
      <w:r>
        <w:rPr>
          <w:lang w:val="en-US"/>
        </w:rPr>
        <w:t xml:space="preserve">These approaches have the potential to </w:t>
      </w:r>
      <w:r w:rsidRPr="00400204">
        <w:rPr>
          <w:lang w:val="en-US"/>
        </w:rPr>
        <w:t>compound historic grievances</w:t>
      </w:r>
      <w:r>
        <w:rPr>
          <w:lang w:val="en-US"/>
        </w:rPr>
        <w:t>, particularly for iwi with limited resource and where existing provisions are not sufficient. This could also add complexity for iwi where redress assets are returned through a range of settlement entities. Potentially this can limit the ability for iwi to exercise their</w:t>
      </w:r>
      <w:r w:rsidRPr="004D4108">
        <w:rPr>
          <w:lang w:val="en-US"/>
        </w:rPr>
        <w:t xml:space="preserve"> rangatiratanga under the Treaty.</w:t>
      </w:r>
    </w:p>
    <w:p w14:paraId="06D957B2" w14:textId="177D72AA" w:rsidR="004E1102" w:rsidRDefault="004E1102" w:rsidP="004E1102">
      <w:pPr>
        <w:rPr>
          <w:lang w:val="en-US"/>
        </w:rPr>
      </w:pPr>
      <w:r>
        <w:rPr>
          <w:lang w:val="en-US"/>
        </w:rPr>
        <w:t>Access to reliable information and quality advice is a key enabler to enhance participation for M</w:t>
      </w:r>
      <w:r>
        <w:rPr>
          <w:rFonts w:cstheme="minorHAnsi"/>
          <w:lang w:val="en-US"/>
        </w:rPr>
        <w:t>ā</w:t>
      </w:r>
      <w:r>
        <w:rPr>
          <w:lang w:val="en-US"/>
        </w:rPr>
        <w:t>ori-collectives and ensure equitable outcomes. Establishing a M</w:t>
      </w:r>
      <w:r>
        <w:rPr>
          <w:rFonts w:cstheme="minorHAnsi"/>
          <w:lang w:val="en-US"/>
        </w:rPr>
        <w:t>ā</w:t>
      </w:r>
      <w:r>
        <w:rPr>
          <w:lang w:val="en-US"/>
        </w:rPr>
        <w:t>ori emissions profile will improve the ability for iwi/M</w:t>
      </w:r>
      <w:r>
        <w:rPr>
          <w:rFonts w:cstheme="minorHAnsi"/>
          <w:lang w:val="en-US"/>
        </w:rPr>
        <w:t>ā</w:t>
      </w:r>
      <w:r>
        <w:rPr>
          <w:lang w:val="en-US"/>
        </w:rPr>
        <w:t xml:space="preserve">ori-collectives to manage and monitor emissions within their </w:t>
      </w:r>
      <w:proofErr w:type="spellStart"/>
      <w:r>
        <w:rPr>
          <w:lang w:val="en-US"/>
        </w:rPr>
        <w:t>takiw</w:t>
      </w:r>
      <w:r>
        <w:rPr>
          <w:rFonts w:cstheme="minorHAnsi"/>
          <w:lang w:val="en-US"/>
        </w:rPr>
        <w:t>ā</w:t>
      </w:r>
      <w:proofErr w:type="spellEnd"/>
      <w:r>
        <w:rPr>
          <w:lang w:val="en-US"/>
        </w:rPr>
        <w:t xml:space="preserve"> in the context of their broader social, cultural, economic and environmental objectives.</w:t>
      </w:r>
    </w:p>
    <w:p w14:paraId="47651848" w14:textId="1972100F" w:rsidR="004E1102" w:rsidRPr="00F36E6D" w:rsidRDefault="005A72E0" w:rsidP="005A72E0">
      <w:pPr>
        <w:pStyle w:val="Heading3"/>
        <w:rPr>
          <w:lang w:eastAsia="en-NZ"/>
        </w:rPr>
      </w:pPr>
      <w:bookmarkStart w:id="197" w:name="_Toc62649356"/>
      <w:bookmarkStart w:id="198" w:name="_Toc62650297"/>
      <w:r>
        <w:rPr>
          <w:lang w:val="en-US"/>
        </w:rPr>
        <w:t xml:space="preserve">5.6.2 </w:t>
      </w:r>
      <w:r w:rsidR="004E1102">
        <w:rPr>
          <w:lang w:val="en-US"/>
        </w:rPr>
        <w:t>M</w:t>
      </w:r>
      <w:r w:rsidR="004E1102">
        <w:rPr>
          <w:rFonts w:cstheme="minorHAnsi"/>
          <w:lang w:val="en-US"/>
        </w:rPr>
        <w:t>ā</w:t>
      </w:r>
      <w:r w:rsidR="004E1102">
        <w:rPr>
          <w:lang w:val="en-US"/>
        </w:rPr>
        <w:t>ori in the workforce</w:t>
      </w:r>
      <w:bookmarkEnd w:id="197"/>
      <w:bookmarkEnd w:id="198"/>
    </w:p>
    <w:p w14:paraId="1BD9C358" w14:textId="7AF4972A" w:rsidR="00087A79" w:rsidRDefault="002A372D" w:rsidP="00B52ACE">
      <w:pPr>
        <w:rPr>
          <w:lang w:eastAsia="en-NZ"/>
        </w:rPr>
      </w:pPr>
      <w:r w:rsidRPr="00BD7C8B">
        <w:rPr>
          <w:lang w:eastAsia="en-NZ"/>
        </w:rPr>
        <w:t xml:space="preserve">Māori </w:t>
      </w:r>
      <w:r w:rsidR="6B8C2D6E" w:rsidRPr="2E17D4FF">
        <w:rPr>
          <w:lang w:eastAsia="en-NZ"/>
        </w:rPr>
        <w:t>individuals</w:t>
      </w:r>
      <w:r w:rsidR="21069EFB" w:rsidRPr="2E17D4FF">
        <w:rPr>
          <w:lang w:eastAsia="en-NZ"/>
        </w:rPr>
        <w:t xml:space="preserve"> </w:t>
      </w:r>
      <w:r w:rsidR="6253F587" w:rsidRPr="2E17D4FF">
        <w:rPr>
          <w:lang w:eastAsia="en-NZ"/>
        </w:rPr>
        <w:t>could</w:t>
      </w:r>
      <w:r w:rsidRPr="00BD7C8B">
        <w:rPr>
          <w:lang w:eastAsia="en-NZ"/>
        </w:rPr>
        <w:t xml:space="preserve"> </w:t>
      </w:r>
      <w:r w:rsidR="00CE7505">
        <w:rPr>
          <w:lang w:eastAsia="en-NZ"/>
        </w:rPr>
        <w:t xml:space="preserve">experience </w:t>
      </w:r>
      <w:r w:rsidR="005D30AA">
        <w:rPr>
          <w:lang w:eastAsia="en-NZ"/>
        </w:rPr>
        <w:t>greater changes</w:t>
      </w:r>
      <w:r w:rsidRPr="00BD7C8B">
        <w:rPr>
          <w:lang w:eastAsia="en-NZ"/>
        </w:rPr>
        <w:t>.</w:t>
      </w:r>
      <w:r w:rsidRPr="00BD7C8B">
        <w:rPr>
          <w:i/>
          <w:iCs/>
          <w:lang w:eastAsia="en-NZ"/>
        </w:rPr>
        <w:t> </w:t>
      </w:r>
      <w:r w:rsidR="00C91A82">
        <w:t>Our analysis suggests that 18-25% of those who gain job</w:t>
      </w:r>
      <w:r w:rsidR="003F75A0">
        <w:t>s</w:t>
      </w:r>
      <w:r w:rsidR="00C91A82">
        <w:t xml:space="preserve"> from the transition would be </w:t>
      </w:r>
      <w:r w:rsidR="00C91A82">
        <w:rPr>
          <w:lang w:eastAsia="en-NZ"/>
        </w:rPr>
        <w:t>M</w:t>
      </w:r>
      <w:r w:rsidR="00C91A82">
        <w:rPr>
          <w:rFonts w:cstheme="minorHAnsi"/>
          <w:lang w:eastAsia="en-NZ"/>
        </w:rPr>
        <w:t>ā</w:t>
      </w:r>
      <w:r w:rsidR="00C91A82">
        <w:rPr>
          <w:lang w:eastAsia="en-NZ"/>
        </w:rPr>
        <w:t>ori, while 13-21% of those who lose jobs from the transition would be M</w:t>
      </w:r>
      <w:r w:rsidR="00C91A82">
        <w:rPr>
          <w:rFonts w:cstheme="minorHAnsi"/>
          <w:lang w:eastAsia="en-NZ"/>
        </w:rPr>
        <w:t>ā</w:t>
      </w:r>
      <w:r w:rsidR="00C91A82">
        <w:rPr>
          <w:lang w:eastAsia="en-NZ"/>
        </w:rPr>
        <w:t>ori. M</w:t>
      </w:r>
      <w:r w:rsidR="00C91A82">
        <w:rPr>
          <w:rFonts w:cstheme="minorHAnsi"/>
          <w:lang w:eastAsia="en-NZ"/>
        </w:rPr>
        <w:t>ā</w:t>
      </w:r>
      <w:r w:rsidR="00C91A82">
        <w:rPr>
          <w:lang w:eastAsia="en-NZ"/>
        </w:rPr>
        <w:t xml:space="preserve">ori in the workforce would see more job gains than job losses across all three emission budget periods. </w:t>
      </w:r>
    </w:p>
    <w:p w14:paraId="2E96B993" w14:textId="29FFB3A3" w:rsidR="002A372D" w:rsidRPr="00BD7C8B" w:rsidRDefault="00087A79" w:rsidP="00B52ACE">
      <w:pPr>
        <w:rPr>
          <w:rFonts w:ascii="Segoe UI" w:hAnsi="Segoe UI" w:cs="Segoe UI"/>
          <w:sz w:val="18"/>
          <w:szCs w:val="18"/>
          <w:lang w:eastAsia="en-NZ"/>
        </w:rPr>
      </w:pPr>
      <w:r>
        <w:rPr>
          <w:lang w:eastAsia="en-NZ"/>
        </w:rPr>
        <w:t>BERL has estimated that t</w:t>
      </w:r>
      <w:r w:rsidRPr="00BD7C8B">
        <w:rPr>
          <w:lang w:eastAsia="en-NZ"/>
        </w:rPr>
        <w:t xml:space="preserve">he current income gap for Māori is $2.6 billion per year, equating to $140 less income per person per week for the working age Māori population. Over half of the working Māori population are in lower skilled jobs, and almost half are </w:t>
      </w:r>
      <w:r>
        <w:rPr>
          <w:lang w:eastAsia="en-NZ"/>
        </w:rPr>
        <w:t>in jobs that have</w:t>
      </w:r>
      <w:r w:rsidRPr="00BD7C8B">
        <w:rPr>
          <w:lang w:eastAsia="en-NZ"/>
        </w:rPr>
        <w:t xml:space="preserve"> a high risk of being replaced by automation. </w:t>
      </w:r>
      <w:r w:rsidR="00C91A82">
        <w:rPr>
          <w:lang w:eastAsia="en-NZ"/>
        </w:rPr>
        <w:t>While our analysis does not allow us to distinguish the specific effects on M</w:t>
      </w:r>
      <w:r w:rsidR="00C91A82">
        <w:rPr>
          <w:rFonts w:cstheme="minorHAnsi"/>
          <w:lang w:eastAsia="en-NZ"/>
        </w:rPr>
        <w:t>ā</w:t>
      </w:r>
      <w:r w:rsidR="00C91A82">
        <w:rPr>
          <w:lang w:eastAsia="en-NZ"/>
        </w:rPr>
        <w:t>ori incomes, across the whole population the jobs gained are</w:t>
      </w:r>
      <w:r w:rsidR="003A4584">
        <w:rPr>
          <w:lang w:eastAsia="en-NZ"/>
        </w:rPr>
        <w:t xml:space="preserve"> </w:t>
      </w:r>
      <w:r w:rsidR="00C91A82">
        <w:rPr>
          <w:lang w:eastAsia="en-NZ"/>
        </w:rPr>
        <w:t xml:space="preserve">on average similar or </w:t>
      </w:r>
      <w:r w:rsidR="00FD5634">
        <w:rPr>
          <w:lang w:eastAsia="en-NZ"/>
        </w:rPr>
        <w:t>lower</w:t>
      </w:r>
      <w:r w:rsidR="00C319E8">
        <w:rPr>
          <w:lang w:eastAsia="en-NZ"/>
        </w:rPr>
        <w:t xml:space="preserve"> </w:t>
      </w:r>
      <w:r w:rsidR="00C91A82">
        <w:rPr>
          <w:lang w:eastAsia="en-NZ"/>
        </w:rPr>
        <w:t xml:space="preserve">paid than those jobs that are lost. </w:t>
      </w:r>
      <w:r w:rsidR="00695EE6" w:rsidRPr="00695EE6">
        <w:rPr>
          <w:lang w:eastAsia="en-NZ"/>
        </w:rPr>
        <w:t xml:space="preserve">The Crown–Māori Economic Development Strategy, He kai </w:t>
      </w:r>
      <w:proofErr w:type="spellStart"/>
      <w:r w:rsidR="00695EE6" w:rsidRPr="00695EE6">
        <w:rPr>
          <w:lang w:eastAsia="en-NZ"/>
        </w:rPr>
        <w:t>kei</w:t>
      </w:r>
      <w:proofErr w:type="spellEnd"/>
      <w:r w:rsidR="00695EE6" w:rsidRPr="00695EE6">
        <w:rPr>
          <w:lang w:eastAsia="en-NZ"/>
        </w:rPr>
        <w:t xml:space="preserve"> </w:t>
      </w:r>
      <w:proofErr w:type="spellStart"/>
      <w:r w:rsidR="00695EE6" w:rsidRPr="00695EE6">
        <w:rPr>
          <w:lang w:eastAsia="en-NZ"/>
        </w:rPr>
        <w:t>aku</w:t>
      </w:r>
      <w:proofErr w:type="spellEnd"/>
      <w:r w:rsidR="00695EE6" w:rsidRPr="00695EE6">
        <w:rPr>
          <w:lang w:eastAsia="en-NZ"/>
        </w:rPr>
        <w:t xml:space="preserve"> </w:t>
      </w:r>
      <w:proofErr w:type="spellStart"/>
      <w:r w:rsidR="00695EE6" w:rsidRPr="00695EE6">
        <w:rPr>
          <w:lang w:eastAsia="en-NZ"/>
        </w:rPr>
        <w:t>ringa</w:t>
      </w:r>
      <w:proofErr w:type="spellEnd"/>
      <w:r w:rsidR="00695EE6" w:rsidRPr="00695EE6">
        <w:rPr>
          <w:lang w:eastAsia="en-NZ"/>
        </w:rPr>
        <w:t>,</w:t>
      </w:r>
      <w:r w:rsidR="00AB719C">
        <w:rPr>
          <w:lang w:eastAsia="en-NZ"/>
        </w:rPr>
        <w:t xml:space="preserve"> </w:t>
      </w:r>
      <w:r w:rsidR="00DC4842">
        <w:rPr>
          <w:lang w:eastAsia="en-NZ"/>
        </w:rPr>
        <w:t xml:space="preserve">also </w:t>
      </w:r>
      <w:r w:rsidR="00AB719C">
        <w:rPr>
          <w:lang w:eastAsia="en-NZ"/>
        </w:rPr>
        <w:t xml:space="preserve">has a goal of </w:t>
      </w:r>
      <w:r w:rsidR="00AB719C" w:rsidRPr="00AB719C">
        <w:rPr>
          <w:lang w:eastAsia="en-NZ"/>
        </w:rPr>
        <w:t>grow</w:t>
      </w:r>
      <w:r w:rsidR="00AB719C">
        <w:rPr>
          <w:lang w:eastAsia="en-NZ"/>
        </w:rPr>
        <w:t>ing</w:t>
      </w:r>
      <w:r w:rsidR="00DB6F90">
        <w:rPr>
          <w:lang w:eastAsia="en-NZ"/>
        </w:rPr>
        <w:t xml:space="preserve"> the</w:t>
      </w:r>
      <w:r w:rsidR="00AB719C" w:rsidRPr="00AB719C">
        <w:rPr>
          <w:lang w:eastAsia="en-NZ"/>
        </w:rPr>
        <w:t xml:space="preserve"> future Māori workforce into higher-wage, higher-skilled jobs</w:t>
      </w:r>
      <w:r w:rsidR="00DB6F90">
        <w:rPr>
          <w:lang w:eastAsia="en-NZ"/>
        </w:rPr>
        <w:t>.</w:t>
      </w:r>
    </w:p>
    <w:p w14:paraId="02C1407B" w14:textId="3C47904A" w:rsidR="002A372D" w:rsidRPr="00BD7C8B" w:rsidRDefault="00441AE9" w:rsidP="00AC7A4E">
      <w:pPr>
        <w:pStyle w:val="Heading4"/>
        <w:rPr>
          <w:rFonts w:ascii="Segoe UI" w:hAnsi="Segoe UI" w:cs="Segoe UI"/>
          <w:sz w:val="18"/>
          <w:szCs w:val="18"/>
          <w:lang w:eastAsia="en-NZ"/>
        </w:rPr>
      </w:pPr>
      <w:r>
        <w:rPr>
          <w:lang w:eastAsia="en-NZ"/>
        </w:rPr>
        <w:lastRenderedPageBreak/>
        <w:t>How can this be managed</w:t>
      </w:r>
      <w:r w:rsidR="002A372D" w:rsidRPr="00BD7C8B">
        <w:rPr>
          <w:lang w:eastAsia="en-NZ"/>
        </w:rPr>
        <w:t>?</w:t>
      </w:r>
    </w:p>
    <w:p w14:paraId="4C9A7B18" w14:textId="52E1FA57" w:rsidR="002A372D" w:rsidRPr="00BD7C8B" w:rsidRDefault="002A372D" w:rsidP="00B52ACE">
      <w:pPr>
        <w:rPr>
          <w:rFonts w:ascii="Segoe UI" w:hAnsi="Segoe UI" w:cs="Segoe UI"/>
          <w:sz w:val="18"/>
          <w:szCs w:val="18"/>
          <w:lang w:val="en-US" w:eastAsia="en-NZ"/>
        </w:rPr>
      </w:pPr>
      <w:r w:rsidRPr="00BD7C8B">
        <w:rPr>
          <w:lang w:eastAsia="en-NZ"/>
        </w:rPr>
        <w:t>Research indicates that current education and training providers are not serving Māori well and have low levels of engagement from Māori. Māori who need to retrain or learn new skills as employment changes may be particularly impacted. Education and training developed by Māori for Māori will be important for reducing existing inequities and in ensuring an equitable transition. </w:t>
      </w:r>
    </w:p>
    <w:p w14:paraId="5A5A6303" w14:textId="0200303C" w:rsidR="002A372D" w:rsidRPr="00BD7C8B" w:rsidRDefault="002A372D" w:rsidP="00B52ACE">
      <w:pPr>
        <w:rPr>
          <w:rFonts w:ascii="Segoe UI" w:hAnsi="Segoe UI" w:cs="Segoe UI"/>
          <w:sz w:val="18"/>
          <w:szCs w:val="18"/>
          <w:lang w:val="en-US" w:eastAsia="en-NZ"/>
        </w:rPr>
      </w:pPr>
      <w:r w:rsidRPr="00BD7C8B">
        <w:rPr>
          <w:lang w:eastAsia="en-NZ"/>
        </w:rPr>
        <w:t>Care needs to be taken to ensure that actions needed to meet our proposed emissions budgets do not place disproportionate restrictions on iwi/Māori. Iwi/Māori need to be able to exercise their rangatiratanga and mana </w:t>
      </w:r>
      <w:proofErr w:type="spellStart"/>
      <w:r w:rsidRPr="00BD7C8B">
        <w:rPr>
          <w:lang w:eastAsia="en-NZ"/>
        </w:rPr>
        <w:t>motuhake</w:t>
      </w:r>
      <w:proofErr w:type="spellEnd"/>
      <w:r w:rsidRPr="00BD7C8B">
        <w:rPr>
          <w:lang w:eastAsia="en-NZ"/>
        </w:rPr>
        <w:t> to make decisions on how to use or develop their land to meet their collective and culturally driven aspirations and needs. </w:t>
      </w:r>
    </w:p>
    <w:p w14:paraId="757DA38A" w14:textId="6CB77E25" w:rsidR="002A372D" w:rsidRPr="00BD7C8B" w:rsidRDefault="002A372D" w:rsidP="00B52ACE">
      <w:pPr>
        <w:rPr>
          <w:rFonts w:ascii="Segoe UI" w:hAnsi="Segoe UI" w:cs="Segoe UI"/>
          <w:sz w:val="18"/>
          <w:szCs w:val="18"/>
          <w:lang w:val="en-US" w:eastAsia="en-NZ"/>
        </w:rPr>
      </w:pPr>
      <w:r w:rsidRPr="00BD7C8B">
        <w:rPr>
          <w:lang w:eastAsia="en-NZ"/>
        </w:rPr>
        <w:t>These barriers will need to be addressed to enable Māori to fully participate in climate action, and ensure that Māori-collectives, businesses and workers are not disadvantaged. Any additional costs arising from climate policy could result in additional barriers for the continued development of iwi/Māori landholdings and businesses. </w:t>
      </w:r>
    </w:p>
    <w:p w14:paraId="4C7DFDBD" w14:textId="63AC1039" w:rsidR="002A372D" w:rsidRPr="00BD7C8B" w:rsidRDefault="00E43AE4" w:rsidP="00B52ACE">
      <w:pPr>
        <w:pStyle w:val="Heading2"/>
        <w:rPr>
          <w:lang w:eastAsia="en-NZ"/>
        </w:rPr>
      </w:pPr>
      <w:bookmarkStart w:id="199" w:name="_Toc62650298"/>
      <w:r>
        <w:rPr>
          <w:lang w:eastAsia="en-NZ"/>
        </w:rPr>
        <w:t xml:space="preserve">5.7 </w:t>
      </w:r>
      <w:r w:rsidR="002A372D" w:rsidRPr="00E62BCF">
        <w:rPr>
          <w:lang w:eastAsia="en-NZ"/>
        </w:rPr>
        <w:t>Impacts of land use change on communities</w:t>
      </w:r>
      <w:bookmarkEnd w:id="199"/>
      <w:r w:rsidR="002A372D" w:rsidRPr="00BD7C8B">
        <w:rPr>
          <w:lang w:eastAsia="en-NZ"/>
        </w:rPr>
        <w:t> </w:t>
      </w:r>
    </w:p>
    <w:p w14:paraId="339AED34" w14:textId="519B38D9" w:rsidR="002A372D" w:rsidRDefault="002A372D" w:rsidP="00E62BCF">
      <w:pPr>
        <w:rPr>
          <w:lang w:eastAsia="en-NZ"/>
        </w:rPr>
      </w:pPr>
      <w:r w:rsidRPr="00BD7C8B">
        <w:rPr>
          <w:lang w:eastAsia="en-NZ"/>
        </w:rPr>
        <w:t xml:space="preserve">Increasing the amount of native and plantation forest – or afforestation </w:t>
      </w:r>
      <w:r w:rsidR="00266B84">
        <w:rPr>
          <w:lang w:eastAsia="en-NZ"/>
        </w:rPr>
        <w:t>–</w:t>
      </w:r>
      <w:r w:rsidRPr="00BD7C8B">
        <w:rPr>
          <w:lang w:eastAsia="en-NZ"/>
        </w:rPr>
        <w:t xml:space="preserve"> could play a role in helping achieve </w:t>
      </w:r>
      <w:r w:rsidR="005A2187">
        <w:rPr>
          <w:lang w:eastAsia="en-NZ"/>
        </w:rPr>
        <w:t xml:space="preserve">the country’s </w:t>
      </w:r>
      <w:r w:rsidRPr="00BD7C8B">
        <w:rPr>
          <w:lang w:eastAsia="en-NZ"/>
        </w:rPr>
        <w:t xml:space="preserve">emissions budgets and emissions reduction targets. However, </w:t>
      </w:r>
      <w:r w:rsidR="004A5526">
        <w:rPr>
          <w:lang w:eastAsia="en-NZ"/>
        </w:rPr>
        <w:t>we have heard through</w:t>
      </w:r>
      <w:r w:rsidR="00B55D9A">
        <w:rPr>
          <w:lang w:eastAsia="en-NZ"/>
        </w:rPr>
        <w:t xml:space="preserve"> our engagement about concerns</w:t>
      </w:r>
      <w:r>
        <w:rPr>
          <w:lang w:eastAsia="en-NZ"/>
        </w:rPr>
        <w:t xml:space="preserve"> </w:t>
      </w:r>
      <w:r w:rsidRPr="00BD7C8B">
        <w:rPr>
          <w:lang w:eastAsia="en-NZ"/>
        </w:rPr>
        <w:t xml:space="preserve">that the speed and potential extent of afforestation could have </w:t>
      </w:r>
      <w:r w:rsidR="000A708B">
        <w:rPr>
          <w:lang w:eastAsia="en-NZ"/>
        </w:rPr>
        <w:t>negative</w:t>
      </w:r>
      <w:r w:rsidR="000A708B" w:rsidRPr="00BD7C8B">
        <w:rPr>
          <w:lang w:eastAsia="en-NZ"/>
        </w:rPr>
        <w:t xml:space="preserve"> </w:t>
      </w:r>
      <w:r w:rsidRPr="00BD7C8B">
        <w:rPr>
          <w:lang w:eastAsia="en-NZ"/>
        </w:rPr>
        <w:t xml:space="preserve">impacts on </w:t>
      </w:r>
      <w:r w:rsidR="00E6465D">
        <w:rPr>
          <w:lang w:eastAsia="en-NZ"/>
        </w:rPr>
        <w:t xml:space="preserve">rural </w:t>
      </w:r>
      <w:r w:rsidRPr="00BD7C8B">
        <w:rPr>
          <w:lang w:eastAsia="en-NZ"/>
        </w:rPr>
        <w:t>communities</w:t>
      </w:r>
      <w:r w:rsidR="00CB4E13">
        <w:rPr>
          <w:lang w:eastAsia="en-NZ"/>
        </w:rPr>
        <w:t xml:space="preserve"> </w:t>
      </w:r>
      <w:r w:rsidRPr="00BD7C8B">
        <w:rPr>
          <w:lang w:eastAsia="en-NZ"/>
        </w:rPr>
        <w:t>and provincial centres that are reliant on the food and fibre industry for employment. This would include not only those working on the land, but also those involved in transporting and processing food and fibre products. </w:t>
      </w:r>
    </w:p>
    <w:p w14:paraId="291E1C91" w14:textId="4AE0C55B" w:rsidR="00B57F8C" w:rsidRPr="00E70BE9" w:rsidRDefault="000A708B" w:rsidP="00E62BCF">
      <w:r>
        <w:rPr>
          <w:lang w:eastAsia="en-NZ"/>
        </w:rPr>
        <w:t>We have factored this into our emissions budgets analysis</w:t>
      </w:r>
      <w:r w:rsidR="00B57F8C">
        <w:rPr>
          <w:lang w:eastAsia="en-NZ"/>
        </w:rPr>
        <w:t xml:space="preserve">. </w:t>
      </w:r>
      <w:r w:rsidR="0074057A">
        <w:rPr>
          <w:lang w:eastAsia="en-NZ"/>
        </w:rPr>
        <w:t>This is i</w:t>
      </w:r>
      <w:r w:rsidR="00B57F8C">
        <w:rPr>
          <w:lang w:eastAsia="en-NZ"/>
        </w:rPr>
        <w:t>n line with</w:t>
      </w:r>
      <w:r w:rsidR="0074057A">
        <w:rPr>
          <w:lang w:eastAsia="en-NZ"/>
        </w:rPr>
        <w:t xml:space="preserve"> our principle to focus on decarbonising </w:t>
      </w:r>
      <w:r w:rsidR="00633E7A">
        <w:rPr>
          <w:lang w:eastAsia="en-NZ"/>
        </w:rPr>
        <w:t xml:space="preserve">the </w:t>
      </w:r>
      <w:r w:rsidR="0074057A">
        <w:rPr>
          <w:lang w:eastAsia="en-NZ"/>
        </w:rPr>
        <w:t>economy</w:t>
      </w:r>
      <w:r w:rsidR="0047353B">
        <w:rPr>
          <w:lang w:eastAsia="en-NZ"/>
        </w:rPr>
        <w:t>. There is a risk that forest sequestration could be used to offset emissions</w:t>
      </w:r>
      <w:r w:rsidR="00292986">
        <w:rPr>
          <w:lang w:eastAsia="en-NZ"/>
        </w:rPr>
        <w:t xml:space="preserve"> rather than making gross emissions reductions. </w:t>
      </w:r>
      <w:r w:rsidR="00B4554C">
        <w:rPr>
          <w:lang w:eastAsia="en-NZ"/>
        </w:rPr>
        <w:t>This would make it difficult for Aotearoa to maintain net zero long-lived greenhouse gas emissions beyond 2050</w:t>
      </w:r>
      <w:r w:rsidR="00026A9F">
        <w:rPr>
          <w:lang w:eastAsia="en-NZ"/>
        </w:rPr>
        <w:t>, i</w:t>
      </w:r>
      <w:r w:rsidR="00292986">
        <w:rPr>
          <w:lang w:eastAsia="en-NZ"/>
        </w:rPr>
        <w:t>n addition to the potential impacts on communities and the wider food and fibre sector</w:t>
      </w:r>
      <w:r w:rsidR="00026A9F">
        <w:rPr>
          <w:lang w:eastAsia="en-NZ"/>
        </w:rPr>
        <w:t>.</w:t>
      </w:r>
    </w:p>
    <w:p w14:paraId="457B5FFC" w14:textId="53874DE4" w:rsidR="00B57F8C" w:rsidRPr="00BD7C8B" w:rsidRDefault="0079581F" w:rsidP="00E62BCF">
      <w:pPr>
        <w:rPr>
          <w:rFonts w:ascii="Calibri" w:eastAsia="Times New Roman" w:hAnsi="Calibri" w:cs="Calibri"/>
          <w:lang w:eastAsia="en-NZ"/>
        </w:rPr>
      </w:pPr>
      <w:r w:rsidRPr="00BD7C8B">
        <w:rPr>
          <w:lang w:eastAsia="en-NZ"/>
        </w:rPr>
        <w:t>The impacts of any afforestation will depend on the scale, pace and species of trees that are grown, the purpose for which the trees are grown, the type of land that is afforested, and the land use that is displaced. </w:t>
      </w:r>
    </w:p>
    <w:p w14:paraId="3A8681A4" w14:textId="512A0FBF" w:rsidR="002A372D" w:rsidRPr="00BD7C8B" w:rsidRDefault="00D13525" w:rsidP="00D13525">
      <w:pPr>
        <w:pStyle w:val="Heading3"/>
        <w:rPr>
          <w:lang w:eastAsia="en-NZ"/>
        </w:rPr>
      </w:pPr>
      <w:bookmarkStart w:id="200" w:name="_Toc62649358"/>
      <w:bookmarkStart w:id="201" w:name="_Toc62650299"/>
      <w:r>
        <w:rPr>
          <w:lang w:eastAsia="en-NZ"/>
        </w:rPr>
        <w:t xml:space="preserve">5.7.1 </w:t>
      </w:r>
      <w:r w:rsidR="002A372D" w:rsidRPr="00BD7C8B">
        <w:rPr>
          <w:lang w:eastAsia="en-NZ"/>
        </w:rPr>
        <w:t>Exotic forestry</w:t>
      </w:r>
      <w:bookmarkEnd w:id="200"/>
      <w:bookmarkEnd w:id="201"/>
      <w:r w:rsidR="002A372D" w:rsidRPr="00BD7C8B">
        <w:rPr>
          <w:lang w:eastAsia="en-NZ"/>
        </w:rPr>
        <w:t> </w:t>
      </w:r>
    </w:p>
    <w:p w14:paraId="61878225" w14:textId="29D51CC2" w:rsidR="000D183F" w:rsidRDefault="00F81BF8" w:rsidP="00F81BF8">
      <w:r w:rsidRPr="007A67B1">
        <w:t xml:space="preserve">Under current policy settings, the scale of afforestation that is expected to occur would in large part be driven by the emissions price in the Emissions Trading Scheme. Other financial incentives, such as the One Billion Trees programme, </w:t>
      </w:r>
      <w:r w:rsidR="0052622C">
        <w:t xml:space="preserve">land </w:t>
      </w:r>
      <w:r w:rsidRPr="007A67B1">
        <w:t xml:space="preserve">and export prices, would also play their part. </w:t>
      </w:r>
    </w:p>
    <w:p w14:paraId="48B4CCEC" w14:textId="6DC60A56" w:rsidR="00F81BF8" w:rsidRDefault="00F81BF8" w:rsidP="00F81BF8">
      <w:r w:rsidRPr="007A67B1">
        <w:t xml:space="preserve">Current policy settings and sector infrastructure heavily favour the planting of exotic </w:t>
      </w:r>
      <w:r w:rsidRPr="007A67B1">
        <w:rPr>
          <w:i/>
          <w:iCs/>
        </w:rPr>
        <w:t>Pinus radiata</w:t>
      </w:r>
      <w:r w:rsidRPr="007A67B1">
        <w:t xml:space="preserve"> over other species. Increasing emissions prices would also incentivise greater </w:t>
      </w:r>
      <w:r>
        <w:t>establishment</w:t>
      </w:r>
      <w:r w:rsidRPr="007A67B1">
        <w:t xml:space="preserve"> of permanent exotic carbon forestry.</w:t>
      </w:r>
    </w:p>
    <w:p w14:paraId="26B0E8A3" w14:textId="73F8B292" w:rsidR="00B9115A" w:rsidRDefault="00B9115A" w:rsidP="00F81BF8">
      <w:r>
        <w:rPr>
          <w:lang w:eastAsia="en-NZ"/>
        </w:rPr>
        <w:t>W</w:t>
      </w:r>
      <w:r w:rsidRPr="00BD7C8B">
        <w:rPr>
          <w:lang w:eastAsia="en-NZ"/>
        </w:rPr>
        <w:t xml:space="preserve">e heard throughout our engagement </w:t>
      </w:r>
      <w:r>
        <w:rPr>
          <w:lang w:eastAsia="en-NZ"/>
        </w:rPr>
        <w:t>about the</w:t>
      </w:r>
      <w:r w:rsidRPr="00BD7C8B">
        <w:rPr>
          <w:lang w:eastAsia="en-NZ"/>
        </w:rPr>
        <w:t xml:space="preserve"> concern </w:t>
      </w:r>
      <w:r>
        <w:rPr>
          <w:lang w:eastAsia="en-NZ"/>
        </w:rPr>
        <w:t>that</w:t>
      </w:r>
      <w:r w:rsidRPr="00BD7C8B">
        <w:rPr>
          <w:lang w:eastAsia="en-NZ"/>
        </w:rPr>
        <w:t xml:space="preserve"> whole farms </w:t>
      </w:r>
      <w:r>
        <w:rPr>
          <w:lang w:eastAsia="en-NZ"/>
        </w:rPr>
        <w:t>c</w:t>
      </w:r>
      <w:r w:rsidRPr="00BD7C8B">
        <w:rPr>
          <w:lang w:eastAsia="en-NZ"/>
        </w:rPr>
        <w:t xml:space="preserve">ould be </w:t>
      </w:r>
      <w:r w:rsidR="00EF4A04">
        <w:rPr>
          <w:lang w:eastAsia="en-NZ"/>
        </w:rPr>
        <w:t>planted in exotic forests</w:t>
      </w:r>
      <w:r w:rsidR="00D1395F">
        <w:rPr>
          <w:lang w:eastAsia="en-NZ"/>
        </w:rPr>
        <w:t xml:space="preserve">, either for </w:t>
      </w:r>
      <w:r w:rsidRPr="00BD7C8B">
        <w:rPr>
          <w:lang w:eastAsia="en-NZ"/>
        </w:rPr>
        <w:t xml:space="preserve">production forestry </w:t>
      </w:r>
      <w:r>
        <w:rPr>
          <w:lang w:eastAsia="en-NZ"/>
        </w:rPr>
        <w:t xml:space="preserve">or </w:t>
      </w:r>
      <w:r w:rsidRPr="007A67B1">
        <w:t xml:space="preserve">permanent </w:t>
      </w:r>
      <w:r w:rsidR="00333669">
        <w:t xml:space="preserve">carbon </w:t>
      </w:r>
      <w:r w:rsidR="00991900">
        <w:t>forestry</w:t>
      </w:r>
      <w:r w:rsidR="00333669">
        <w:t>. This could have impacts on rural communities and the wider food and fibre sector.</w:t>
      </w:r>
    </w:p>
    <w:p w14:paraId="0943ED68" w14:textId="6211CB62" w:rsidR="007F3263" w:rsidRDefault="00CA7D41" w:rsidP="00CA7D41">
      <w:pPr>
        <w:rPr>
          <w:lang w:eastAsia="en-NZ"/>
        </w:rPr>
      </w:pPr>
      <w:r w:rsidRPr="00BD7C8B">
        <w:rPr>
          <w:lang w:eastAsia="en-NZ"/>
        </w:rPr>
        <w:lastRenderedPageBreak/>
        <w:t>Analysis by P</w:t>
      </w:r>
      <w:r w:rsidR="0065512F">
        <w:rPr>
          <w:lang w:eastAsia="en-NZ"/>
        </w:rPr>
        <w:t>w</w:t>
      </w:r>
      <w:r w:rsidRPr="00BD7C8B">
        <w:rPr>
          <w:lang w:eastAsia="en-NZ"/>
        </w:rPr>
        <w:t>C indicates that converting to production forest would probably generate more jobs across the value chain</w:t>
      </w:r>
      <w:r w:rsidR="00E4651D">
        <w:rPr>
          <w:lang w:eastAsia="en-NZ"/>
        </w:rPr>
        <w:t>, while permanent carbon forestry would generate less</w:t>
      </w:r>
      <w:r w:rsidR="007863BC">
        <w:rPr>
          <w:lang w:eastAsia="en-NZ"/>
        </w:rPr>
        <w:t xml:space="preserve"> (</w:t>
      </w:r>
      <w:r w:rsidR="00226B59">
        <w:rPr>
          <w:lang w:eastAsia="en-NZ"/>
        </w:rPr>
        <w:t>Table 5.1</w:t>
      </w:r>
      <w:r w:rsidR="007863BC">
        <w:rPr>
          <w:lang w:eastAsia="en-NZ"/>
        </w:rPr>
        <w:t>)</w:t>
      </w:r>
      <w:r w:rsidRPr="00BD7C8B">
        <w:rPr>
          <w:lang w:eastAsia="en-NZ"/>
        </w:rPr>
        <w:t>. </w:t>
      </w:r>
      <w:r w:rsidR="007F3263" w:rsidRPr="00BD7C8B">
        <w:rPr>
          <w:lang w:eastAsia="en-NZ"/>
        </w:rPr>
        <w:t>Efforts to increase domestic timber demand by changing building policies could also stimulate the wood processing industry and increase the value chain employment of forestry.</w:t>
      </w:r>
    </w:p>
    <w:p w14:paraId="2029313A" w14:textId="6D0570C5" w:rsidR="007863BC" w:rsidRDefault="007863BC" w:rsidP="00CA7D41">
      <w:pPr>
        <w:rPr>
          <w:lang w:eastAsia="en-NZ"/>
        </w:rPr>
      </w:pPr>
      <w:r>
        <w:rPr>
          <w:lang w:eastAsia="en-NZ"/>
        </w:rPr>
        <w:t>W</w:t>
      </w:r>
      <w:r w:rsidRPr="00BD7C8B">
        <w:rPr>
          <w:lang w:eastAsia="en-NZ"/>
        </w:rPr>
        <w:t xml:space="preserve">holesale or large conversions of sheep and beef farmland to forestry </w:t>
      </w:r>
      <w:r>
        <w:rPr>
          <w:lang w:eastAsia="en-NZ"/>
        </w:rPr>
        <w:t>w</w:t>
      </w:r>
      <w:r w:rsidRPr="00BD7C8B">
        <w:rPr>
          <w:lang w:eastAsia="en-NZ"/>
        </w:rPr>
        <w:t>ould impact communities and reduce employment in the immediate area as forestry-related work is likely to be more concentrated in larger rural towns, particularly those involved in processing. </w:t>
      </w:r>
    </w:p>
    <w:p w14:paraId="2C0BA715" w14:textId="5B441D11" w:rsidR="007863BC" w:rsidRDefault="007863BC" w:rsidP="00E62BCF">
      <w:pPr>
        <w:pStyle w:val="Caption"/>
      </w:pPr>
      <w:bookmarkStart w:id="202" w:name="_Ref58767731"/>
      <w:r>
        <w:t xml:space="preserve">Table </w:t>
      </w:r>
      <w:bookmarkEnd w:id="202"/>
      <w:r w:rsidR="00652A24">
        <w:t>5.1</w:t>
      </w:r>
      <w:r>
        <w:t>: The number of jobs generated across the value chain by production forestry, permanent carbon forestry, and sheep and beef farming.</w:t>
      </w:r>
    </w:p>
    <w:p w14:paraId="56965E99" w14:textId="7E655C09" w:rsidR="00AA1AA3" w:rsidRPr="00AA1AA3" w:rsidRDefault="00AA1AA3" w:rsidP="00AA1AA3">
      <w:pPr>
        <w:spacing w:before="0"/>
        <w:jc w:val="right"/>
      </w:pPr>
      <w:r w:rsidRPr="00295A62">
        <w:t xml:space="preserve">Source: </w:t>
      </w:r>
      <w:r>
        <w:t>P</w:t>
      </w:r>
      <w:r w:rsidR="0065512F">
        <w:t>w</w:t>
      </w:r>
      <w:r>
        <w:t>C.</w:t>
      </w:r>
    </w:p>
    <w:tbl>
      <w:tblPr>
        <w:tblStyle w:val="TableGrid"/>
        <w:tblW w:w="0" w:type="auto"/>
        <w:tblInd w:w="1413" w:type="dxa"/>
        <w:tblLook w:val="04A0" w:firstRow="1" w:lastRow="0" w:firstColumn="1" w:lastColumn="0" w:noHBand="0" w:noVBand="1"/>
      </w:tblPr>
      <w:tblGrid>
        <w:gridCol w:w="3174"/>
        <w:gridCol w:w="2496"/>
      </w:tblGrid>
      <w:tr w:rsidR="007863BC" w14:paraId="37AB3B70" w14:textId="77777777" w:rsidTr="00E62BCF">
        <w:tc>
          <w:tcPr>
            <w:tcW w:w="3174" w:type="dxa"/>
          </w:tcPr>
          <w:p w14:paraId="5085D1C5" w14:textId="77777777" w:rsidR="007863BC" w:rsidRDefault="007863BC" w:rsidP="00CA7D41">
            <w:pPr>
              <w:rPr>
                <w:lang w:eastAsia="en-NZ"/>
              </w:rPr>
            </w:pPr>
          </w:p>
        </w:tc>
        <w:tc>
          <w:tcPr>
            <w:tcW w:w="2496" w:type="dxa"/>
          </w:tcPr>
          <w:p w14:paraId="38CD510D" w14:textId="628DAF92" w:rsidR="007863BC" w:rsidRPr="00E62BCF" w:rsidRDefault="007863BC" w:rsidP="00CA7D41">
            <w:pPr>
              <w:rPr>
                <w:b/>
                <w:bCs/>
                <w:lang w:eastAsia="en-NZ"/>
              </w:rPr>
            </w:pPr>
            <w:r w:rsidRPr="00E62BCF">
              <w:rPr>
                <w:b/>
                <w:bCs/>
                <w:lang w:eastAsia="en-NZ"/>
              </w:rPr>
              <w:t>Full time equivalent jobs per 1,000 hectares</w:t>
            </w:r>
          </w:p>
        </w:tc>
      </w:tr>
      <w:tr w:rsidR="007863BC" w14:paraId="35A1B07C" w14:textId="77777777" w:rsidTr="00E62BCF">
        <w:tc>
          <w:tcPr>
            <w:tcW w:w="3174" w:type="dxa"/>
          </w:tcPr>
          <w:p w14:paraId="3F13F7C0" w14:textId="2CC140BA" w:rsidR="007863BC" w:rsidRPr="0042052A" w:rsidRDefault="007863BC" w:rsidP="00CA7D41">
            <w:pPr>
              <w:rPr>
                <w:b/>
                <w:lang w:eastAsia="en-NZ"/>
              </w:rPr>
            </w:pPr>
            <w:r w:rsidRPr="0042052A">
              <w:rPr>
                <w:b/>
                <w:lang w:eastAsia="en-NZ"/>
              </w:rPr>
              <w:t>Production forestry</w:t>
            </w:r>
          </w:p>
        </w:tc>
        <w:tc>
          <w:tcPr>
            <w:tcW w:w="2496" w:type="dxa"/>
          </w:tcPr>
          <w:p w14:paraId="7C146633" w14:textId="7CB4B07B" w:rsidR="007863BC" w:rsidRDefault="007863BC" w:rsidP="0065512F">
            <w:pPr>
              <w:jc w:val="center"/>
              <w:rPr>
                <w:lang w:eastAsia="en-NZ"/>
              </w:rPr>
            </w:pPr>
            <w:r>
              <w:rPr>
                <w:lang w:eastAsia="en-NZ"/>
              </w:rPr>
              <w:t>38</w:t>
            </w:r>
          </w:p>
        </w:tc>
      </w:tr>
      <w:tr w:rsidR="007863BC" w14:paraId="556DD50F" w14:textId="77777777" w:rsidTr="00E62BCF">
        <w:tc>
          <w:tcPr>
            <w:tcW w:w="3174" w:type="dxa"/>
          </w:tcPr>
          <w:p w14:paraId="16FC4590" w14:textId="671E54B4" w:rsidR="007863BC" w:rsidRPr="0042052A" w:rsidRDefault="007863BC" w:rsidP="00CA7D41">
            <w:pPr>
              <w:rPr>
                <w:b/>
                <w:lang w:eastAsia="en-NZ"/>
              </w:rPr>
            </w:pPr>
            <w:r w:rsidRPr="0042052A">
              <w:rPr>
                <w:b/>
                <w:lang w:eastAsia="en-NZ"/>
              </w:rPr>
              <w:t>P</w:t>
            </w:r>
            <w:r w:rsidRPr="0042052A">
              <w:rPr>
                <w:b/>
              </w:rPr>
              <w:t>ermanent carbon forestry</w:t>
            </w:r>
          </w:p>
        </w:tc>
        <w:tc>
          <w:tcPr>
            <w:tcW w:w="2496" w:type="dxa"/>
          </w:tcPr>
          <w:p w14:paraId="670567D9" w14:textId="2C07E025" w:rsidR="007863BC" w:rsidRDefault="007863BC" w:rsidP="0065512F">
            <w:pPr>
              <w:jc w:val="center"/>
              <w:rPr>
                <w:lang w:eastAsia="en-NZ"/>
              </w:rPr>
            </w:pPr>
            <w:r>
              <w:rPr>
                <w:lang w:eastAsia="en-NZ"/>
              </w:rPr>
              <w:t>1-2</w:t>
            </w:r>
          </w:p>
        </w:tc>
      </w:tr>
      <w:tr w:rsidR="007863BC" w14:paraId="04F42ADC" w14:textId="77777777" w:rsidTr="00E62BCF">
        <w:tc>
          <w:tcPr>
            <w:tcW w:w="3174" w:type="dxa"/>
          </w:tcPr>
          <w:p w14:paraId="7193897F" w14:textId="12B954DD" w:rsidR="007863BC" w:rsidRPr="0042052A" w:rsidRDefault="007863BC" w:rsidP="00CA7D41">
            <w:pPr>
              <w:rPr>
                <w:b/>
                <w:lang w:eastAsia="en-NZ"/>
              </w:rPr>
            </w:pPr>
            <w:r w:rsidRPr="0042052A">
              <w:rPr>
                <w:b/>
                <w:lang w:eastAsia="en-NZ"/>
              </w:rPr>
              <w:t>Sheep and beef</w:t>
            </w:r>
          </w:p>
        </w:tc>
        <w:tc>
          <w:tcPr>
            <w:tcW w:w="2496" w:type="dxa"/>
          </w:tcPr>
          <w:p w14:paraId="440EC04D" w14:textId="3D159ABC" w:rsidR="007863BC" w:rsidRDefault="007863BC" w:rsidP="0065512F">
            <w:pPr>
              <w:jc w:val="center"/>
              <w:rPr>
                <w:lang w:eastAsia="en-NZ"/>
              </w:rPr>
            </w:pPr>
            <w:r>
              <w:rPr>
                <w:lang w:eastAsia="en-NZ"/>
              </w:rPr>
              <w:t>17</w:t>
            </w:r>
          </w:p>
        </w:tc>
      </w:tr>
    </w:tbl>
    <w:p w14:paraId="530AD7E0" w14:textId="62C4E1F2" w:rsidR="002A372D" w:rsidRDefault="002A372D" w:rsidP="00924FA5">
      <w:pPr>
        <w:rPr>
          <w:lang w:eastAsia="en-NZ"/>
        </w:rPr>
      </w:pPr>
      <w:r w:rsidRPr="00BD7C8B">
        <w:rPr>
          <w:lang w:eastAsia="en-NZ"/>
        </w:rPr>
        <w:t>Constraining this price incentive for afforestation through the Emissions Trading Scheme could help limit the overall scale of afforestation</w:t>
      </w:r>
      <w:r w:rsidR="0052622C">
        <w:rPr>
          <w:lang w:eastAsia="en-NZ"/>
        </w:rPr>
        <w:t>, including permanent exotic forests</w:t>
      </w:r>
      <w:r w:rsidRPr="00BD7C8B">
        <w:rPr>
          <w:lang w:eastAsia="en-NZ"/>
        </w:rPr>
        <w:t>. However, it would not determine where this afforestation would occur, or remedy the relative disincentive for native species. </w:t>
      </w:r>
    </w:p>
    <w:p w14:paraId="45873DA9" w14:textId="77777777" w:rsidR="002A372D" w:rsidRPr="00BD7C8B" w:rsidRDefault="002A372D" w:rsidP="00924FA5">
      <w:pPr>
        <w:rPr>
          <w:rFonts w:ascii="Segoe UI" w:hAnsi="Segoe UI" w:cs="Segoe UI"/>
          <w:sz w:val="18"/>
          <w:szCs w:val="18"/>
          <w:lang w:eastAsia="en-NZ"/>
        </w:rPr>
      </w:pPr>
      <w:r w:rsidRPr="00BD7C8B">
        <w:rPr>
          <w:lang w:eastAsia="en-NZ"/>
        </w:rPr>
        <w:t>Limiting where afforestation happens would likely require a regulatory approach, through the planning rules or alternative interventions, that place restrictions on land use change. </w:t>
      </w:r>
    </w:p>
    <w:p w14:paraId="16EDEC8D" w14:textId="017894B5" w:rsidR="002A372D" w:rsidRPr="00BD7C8B" w:rsidRDefault="002A372D" w:rsidP="00924FA5">
      <w:pPr>
        <w:rPr>
          <w:rFonts w:ascii="Segoe UI" w:hAnsi="Segoe UI" w:cs="Segoe UI"/>
          <w:sz w:val="18"/>
          <w:szCs w:val="18"/>
          <w:lang w:eastAsia="en-NZ"/>
        </w:rPr>
      </w:pPr>
      <w:r w:rsidRPr="00BD7C8B">
        <w:rPr>
          <w:lang w:eastAsia="en-NZ"/>
        </w:rPr>
        <w:t>Capacity building and extension services for landowners focused on integrating trees or forestry onto farms rather than wholesale land use change could limit the impacts of afforestation. This could be facilitated by developing carbon monitoring systems that allow for tracking and rewarding sequestration from smaller or dispersed areas of trees. </w:t>
      </w:r>
    </w:p>
    <w:p w14:paraId="40988C34" w14:textId="1B427C23" w:rsidR="002A372D" w:rsidRDefault="00AC7A4E" w:rsidP="00AC7A4E">
      <w:pPr>
        <w:pStyle w:val="Heading4"/>
        <w:rPr>
          <w:lang w:eastAsia="en-NZ"/>
        </w:rPr>
      </w:pPr>
      <w:r>
        <w:rPr>
          <w:lang w:eastAsia="en-NZ"/>
        </w:rPr>
        <w:t xml:space="preserve">How can this be managed </w:t>
      </w:r>
      <w:r w:rsidR="00DB4CF3">
        <w:rPr>
          <w:lang w:eastAsia="en-NZ"/>
        </w:rPr>
        <w:t>by c</w:t>
      </w:r>
      <w:r w:rsidR="002A372D" w:rsidRPr="00BD7C8B">
        <w:rPr>
          <w:lang w:eastAsia="en-NZ"/>
        </w:rPr>
        <w:t>hanging the focus to permanent, native forests</w:t>
      </w:r>
      <w:r>
        <w:rPr>
          <w:lang w:eastAsia="en-NZ"/>
        </w:rPr>
        <w:t>?</w:t>
      </w:r>
    </w:p>
    <w:p w14:paraId="4C7E7EFA" w14:textId="77777777" w:rsidR="002A372D" w:rsidRDefault="002A372D" w:rsidP="00924FA5">
      <w:pPr>
        <w:rPr>
          <w:lang w:eastAsia="en-NZ"/>
        </w:rPr>
      </w:pPr>
      <w:r w:rsidRPr="00BD7C8B">
        <w:rPr>
          <w:lang w:eastAsia="en-NZ"/>
        </w:rPr>
        <w:t xml:space="preserve">Changing the balance of incentives in exotic versus native afforestation would also alter the impact on rural communities, and the broader food and fibre sector. Native afforestation might generate fewer jobs than exotic forestry, particularly if it is not all planted and harvested, or if land is left to revert to natives. </w:t>
      </w:r>
    </w:p>
    <w:p w14:paraId="6947FBB1" w14:textId="5CBB8CCC" w:rsidR="002A372D" w:rsidRDefault="002A372D" w:rsidP="00924FA5">
      <w:pPr>
        <w:rPr>
          <w:lang w:eastAsia="en-NZ"/>
        </w:rPr>
      </w:pPr>
      <w:r w:rsidRPr="00BD7C8B">
        <w:rPr>
          <w:lang w:eastAsia="en-NZ"/>
        </w:rPr>
        <w:t xml:space="preserve">However, native afforestation could be suitable for areas of less productive land where exotic afforestation is inappropriate. It would therefore not come at the expense of other economic activity. </w:t>
      </w:r>
    </w:p>
    <w:p w14:paraId="0E267FBD" w14:textId="2DF47042" w:rsidR="00AD784D" w:rsidRDefault="002A372D" w:rsidP="00924FA5">
      <w:pPr>
        <w:rPr>
          <w:lang w:eastAsia="en-NZ"/>
        </w:rPr>
      </w:pPr>
      <w:r w:rsidRPr="00BD7C8B">
        <w:rPr>
          <w:lang w:eastAsia="en-NZ"/>
        </w:rPr>
        <w:t xml:space="preserve">Less productive land could be afforested with little impact on farming productivity or employment. Many sheep and beef farms have areas of land that are steep and susceptible to erosion. These areas could be particularly suitable for permanent forests. </w:t>
      </w:r>
      <w:r w:rsidR="006D718E">
        <w:rPr>
          <w:lang w:eastAsia="en-NZ"/>
        </w:rPr>
        <w:t xml:space="preserve">This would also include Crown owned land. </w:t>
      </w:r>
      <w:r w:rsidRPr="00BD7C8B">
        <w:rPr>
          <w:lang w:eastAsia="en-NZ"/>
        </w:rPr>
        <w:t>Recent studies put the potential area at 1,150,000 to 1,</w:t>
      </w:r>
      <w:r w:rsidR="00817D9D">
        <w:rPr>
          <w:lang w:eastAsia="en-NZ"/>
        </w:rPr>
        <w:t>4</w:t>
      </w:r>
      <w:r w:rsidRPr="00BD7C8B">
        <w:rPr>
          <w:lang w:eastAsia="en-NZ"/>
        </w:rPr>
        <w:t xml:space="preserve">00,000 hectares. The Biological Emissions </w:t>
      </w:r>
      <w:r w:rsidRPr="00BD7C8B">
        <w:rPr>
          <w:lang w:eastAsia="en-NZ"/>
        </w:rPr>
        <w:lastRenderedPageBreak/>
        <w:t>Reference Group estimated that approximately 6% of hill country sheep and beef farms could be afforested without negatively affecting production. This equates to approximately 250,000 hectares. </w:t>
      </w:r>
    </w:p>
    <w:p w14:paraId="6CE34371" w14:textId="24A5E9CE" w:rsidR="004E1102" w:rsidRDefault="004E1102" w:rsidP="00924FA5">
      <w:pPr>
        <w:rPr>
          <w:lang w:eastAsia="en-NZ"/>
        </w:rPr>
      </w:pPr>
      <w:r w:rsidRPr="00BD7C8B">
        <w:rPr>
          <w:lang w:eastAsia="en-NZ"/>
        </w:rPr>
        <w:t xml:space="preserve">Efforts could also be made to promote a native forestry industry. This could have particular relevance for iwi/Māori. </w:t>
      </w:r>
      <w:r w:rsidR="00AD784D" w:rsidRPr="00BD7C8B">
        <w:rPr>
          <w:lang w:eastAsia="en-NZ"/>
        </w:rPr>
        <w:t>Native afforestation could be incentivised by extending grant schemes such as One Billion Trees or by developing ecosystem services payment schemes that could reward the other environmental benefits of native forests. </w:t>
      </w:r>
    </w:p>
    <w:p w14:paraId="0D89F122" w14:textId="5F1BF8AE" w:rsidR="002A372D" w:rsidRDefault="002A372D" w:rsidP="00924FA5">
      <w:pPr>
        <w:rPr>
          <w:lang w:eastAsia="en-NZ"/>
        </w:rPr>
      </w:pPr>
      <w:r w:rsidRPr="00BD7C8B">
        <w:rPr>
          <w:lang w:eastAsia="en-NZ"/>
        </w:rPr>
        <w:t xml:space="preserve">Policies for managing the scale of afforestation, whether it is exotic or natives, and where afforestation occurs is discussed further </w:t>
      </w:r>
      <w:r w:rsidRPr="00B9134A">
        <w:rPr>
          <w:lang w:eastAsia="en-NZ"/>
        </w:rPr>
        <w:t xml:space="preserve">in </w:t>
      </w:r>
      <w:r w:rsidR="00CD53BD" w:rsidRPr="00B9134A">
        <w:rPr>
          <w:lang w:eastAsia="en-NZ"/>
        </w:rPr>
        <w:t>c</w:t>
      </w:r>
      <w:r w:rsidRPr="00B9134A">
        <w:rPr>
          <w:lang w:eastAsia="en-NZ"/>
        </w:rPr>
        <w:t>hapter 6</w:t>
      </w:r>
      <w:r w:rsidR="006E38A5" w:rsidRPr="00B9134A">
        <w:rPr>
          <w:lang w:eastAsia="en-NZ"/>
        </w:rPr>
        <w:t xml:space="preserve"> and </w:t>
      </w:r>
      <w:r w:rsidR="006B0C3B" w:rsidRPr="00B9134A">
        <w:rPr>
          <w:lang w:eastAsia="en-NZ"/>
        </w:rPr>
        <w:t>t</w:t>
      </w:r>
      <w:r w:rsidR="006E38A5" w:rsidRPr="00B9134A">
        <w:rPr>
          <w:lang w:eastAsia="en-NZ"/>
        </w:rPr>
        <w:t>ime</w:t>
      </w:r>
      <w:r w:rsidR="006B0C3B" w:rsidRPr="00B9134A">
        <w:rPr>
          <w:lang w:eastAsia="en-NZ"/>
        </w:rPr>
        <w:t>-c</w:t>
      </w:r>
      <w:r w:rsidR="006E38A5" w:rsidRPr="00B9134A">
        <w:rPr>
          <w:lang w:eastAsia="en-NZ"/>
        </w:rPr>
        <w:t xml:space="preserve">ritical </w:t>
      </w:r>
      <w:r w:rsidR="001B5E1F" w:rsidRPr="00B9134A">
        <w:rPr>
          <w:lang w:eastAsia="en-NZ"/>
        </w:rPr>
        <w:t>necessary action</w:t>
      </w:r>
      <w:r w:rsidR="006E38A5" w:rsidRPr="00B9134A">
        <w:rPr>
          <w:lang w:eastAsia="en-NZ"/>
        </w:rPr>
        <w:t xml:space="preserve"> </w:t>
      </w:r>
      <w:r w:rsidR="00255D0B" w:rsidRPr="00B9134A">
        <w:rPr>
          <w:lang w:eastAsia="en-NZ"/>
        </w:rPr>
        <w:t>5</w:t>
      </w:r>
      <w:r w:rsidRPr="00B9134A">
        <w:rPr>
          <w:lang w:eastAsia="en-NZ"/>
        </w:rPr>
        <w:t>.</w:t>
      </w:r>
      <w:r w:rsidRPr="00BD7C8B">
        <w:rPr>
          <w:lang w:eastAsia="en-NZ"/>
        </w:rPr>
        <w:t> </w:t>
      </w:r>
    </w:p>
    <w:p w14:paraId="5BCFB0E2" w14:textId="156B19F5" w:rsidR="002A372D" w:rsidRPr="00BD7C8B" w:rsidRDefault="00CB24D5" w:rsidP="00924FA5">
      <w:pPr>
        <w:pStyle w:val="Heading2"/>
        <w:rPr>
          <w:rFonts w:ascii="Segoe UI" w:hAnsi="Segoe UI" w:cs="Segoe UI"/>
          <w:sz w:val="18"/>
          <w:szCs w:val="18"/>
          <w:lang w:eastAsia="en-NZ"/>
        </w:rPr>
      </w:pPr>
      <w:bookmarkStart w:id="203" w:name="_Toc62650300"/>
      <w:r>
        <w:rPr>
          <w:lang w:eastAsia="en-NZ"/>
        </w:rPr>
        <w:t xml:space="preserve">5.8 </w:t>
      </w:r>
      <w:r w:rsidR="002A372D" w:rsidRPr="00E62BCF">
        <w:rPr>
          <w:lang w:eastAsia="en-NZ"/>
        </w:rPr>
        <w:t>Environmental impacts</w:t>
      </w:r>
      <w:bookmarkEnd w:id="203"/>
      <w:r w:rsidR="002A372D" w:rsidRPr="00BD7C8B">
        <w:rPr>
          <w:lang w:eastAsia="en-NZ"/>
        </w:rPr>
        <w:t> </w:t>
      </w:r>
    </w:p>
    <w:p w14:paraId="49C1C743" w14:textId="4011AB77" w:rsidR="002A372D" w:rsidRDefault="002A372D" w:rsidP="00924FA5">
      <w:pPr>
        <w:rPr>
          <w:lang w:eastAsia="en-NZ"/>
        </w:rPr>
      </w:pPr>
      <w:r w:rsidRPr="00BD7C8B">
        <w:rPr>
          <w:lang w:eastAsia="en-NZ"/>
        </w:rPr>
        <w:t>Moving to low emissions technologies and changing land practices to meet our proposed emissions budgets would also bring broader environmental impacts. </w:t>
      </w:r>
    </w:p>
    <w:p w14:paraId="48A63C65" w14:textId="1602844F" w:rsidR="002A372D" w:rsidRDefault="002A372D" w:rsidP="00924FA5">
      <w:pPr>
        <w:rPr>
          <w:lang w:eastAsia="en-NZ"/>
        </w:rPr>
      </w:pPr>
      <w:r w:rsidRPr="00BD7C8B">
        <w:rPr>
          <w:lang w:eastAsia="en-NZ"/>
        </w:rPr>
        <w:t>The</w:t>
      </w:r>
      <w:r>
        <w:rPr>
          <w:lang w:eastAsia="en-NZ"/>
        </w:rPr>
        <w:t xml:space="preserve"> </w:t>
      </w:r>
      <w:r w:rsidRPr="00BD7C8B">
        <w:rPr>
          <w:lang w:eastAsia="en-NZ"/>
        </w:rPr>
        <w:t xml:space="preserve">move to electric vehicles, </w:t>
      </w:r>
      <w:r w:rsidR="00A434D7">
        <w:rPr>
          <w:lang w:eastAsia="en-NZ"/>
        </w:rPr>
        <w:t xml:space="preserve">greater </w:t>
      </w:r>
      <w:r w:rsidRPr="00BD7C8B">
        <w:rPr>
          <w:lang w:eastAsia="en-NZ"/>
        </w:rPr>
        <w:t xml:space="preserve">electricity </w:t>
      </w:r>
      <w:r w:rsidR="00A434D7">
        <w:rPr>
          <w:lang w:eastAsia="en-NZ"/>
        </w:rPr>
        <w:t>use</w:t>
      </w:r>
      <w:r w:rsidRPr="00BD7C8B">
        <w:rPr>
          <w:lang w:eastAsia="en-NZ"/>
        </w:rPr>
        <w:t>, and improved fuel efficiency </w:t>
      </w:r>
      <w:r w:rsidRPr="00337C11">
        <w:rPr>
          <w:lang w:eastAsia="en-NZ"/>
        </w:rPr>
        <w:t>would result</w:t>
      </w:r>
      <w:r w:rsidRPr="00BD7C8B">
        <w:rPr>
          <w:lang w:eastAsia="en-NZ"/>
        </w:rPr>
        <w:t> in improvements to air quality</w:t>
      </w:r>
      <w:r w:rsidR="00791F28">
        <w:rPr>
          <w:lang w:eastAsia="en-NZ"/>
        </w:rPr>
        <w:t>, as well as the associated health benefits.</w:t>
      </w:r>
    </w:p>
    <w:p w14:paraId="234009B2" w14:textId="75BD1E49" w:rsidR="002A372D" w:rsidRDefault="002A372D" w:rsidP="00924FA5">
      <w:pPr>
        <w:rPr>
          <w:lang w:eastAsia="en-NZ"/>
        </w:rPr>
      </w:pPr>
      <w:r w:rsidRPr="00BD7C8B">
        <w:rPr>
          <w:lang w:eastAsia="en-NZ"/>
        </w:rPr>
        <w:t>Many technologies important in the transition to a low emissions economy – including wind turbines, solar panels, and batteries – require mineral and metal inputs. How these minerals and metals are sourced, recycled and disposed could have negative environmental impacts here and overseas.</w:t>
      </w:r>
      <w:r w:rsidR="00AD4A24">
        <w:rPr>
          <w:lang w:eastAsia="en-NZ"/>
        </w:rPr>
        <w:t xml:space="preserve"> There could be opportunities for innovation in repurposing and recycling these materials.</w:t>
      </w:r>
    </w:p>
    <w:p w14:paraId="7C46FF57" w14:textId="799A81C5" w:rsidR="002A372D" w:rsidRDefault="002A372D" w:rsidP="00924FA5">
      <w:pPr>
        <w:rPr>
          <w:lang w:eastAsia="en-NZ"/>
        </w:rPr>
      </w:pPr>
      <w:r w:rsidRPr="00BD7C8B">
        <w:rPr>
          <w:lang w:eastAsia="en-NZ"/>
        </w:rPr>
        <w:t xml:space="preserve">These technologies can have high embodied emissions due to the energy requirements to produce some of these inputs. Additionally, when these technologies reach the end of their life, it can be difficult to dispose of them as they are not easily recycled. Supply chains need careful management and Aotearoa needs to ensure it </w:t>
      </w:r>
      <w:r w:rsidR="0023000A">
        <w:rPr>
          <w:lang w:eastAsia="en-NZ"/>
        </w:rPr>
        <w:t>h</w:t>
      </w:r>
      <w:r w:rsidRPr="00BD7C8B">
        <w:rPr>
          <w:lang w:eastAsia="en-NZ"/>
        </w:rPr>
        <w:t>as access to the latest advances internationally to reduce these adverse environmental impacts. </w:t>
      </w:r>
    </w:p>
    <w:p w14:paraId="1000F2A3" w14:textId="5439D862" w:rsidR="002A372D" w:rsidRDefault="002A372D" w:rsidP="00924FA5">
      <w:pPr>
        <w:rPr>
          <w:lang w:eastAsia="en-NZ"/>
        </w:rPr>
      </w:pPr>
      <w:r w:rsidRPr="00BD7C8B">
        <w:rPr>
          <w:lang w:eastAsia="en-NZ"/>
        </w:rPr>
        <w:t>Building new small or large hydroelectric dams could help provide flexible capacity to meet peak electricity demand. Pumped hydro schemes would also provide capacity in dry years where hydro lake levels are low. Such schemes could have substantial landscape and ecological impacts. Flooding large areas of land for water storage could impact water flows downriver of the scheme. This could be to the detriment of nationally significant wetlands, archaeological sites, habitat for endemic bird and fish species, and in some cases endangered or threatened species. Hydro dams can also obstruct native freshwater fish from migrating up and down rivers. Our proposed emissions budgets could be met without the need for new hydroelectric or pumped hydro schemes. </w:t>
      </w:r>
    </w:p>
    <w:p w14:paraId="4BF71808" w14:textId="77777777" w:rsidR="002A372D" w:rsidRPr="00BD7C8B" w:rsidRDefault="002A372D" w:rsidP="00924FA5">
      <w:pPr>
        <w:rPr>
          <w:rFonts w:ascii="Segoe UI" w:hAnsi="Segoe UI" w:cs="Segoe UI"/>
          <w:sz w:val="18"/>
          <w:szCs w:val="18"/>
          <w:lang w:eastAsia="en-NZ"/>
        </w:rPr>
      </w:pPr>
      <w:r w:rsidRPr="00BD7C8B">
        <w:rPr>
          <w:lang w:eastAsia="en-NZ"/>
        </w:rPr>
        <w:t>Practice changes – such as careful balancing of stocking rates, pasture management and supplementary feed – could reduce emissions on farms and bring co-benefits to water quality and soil health. The scope for practice change and associated co-benefits depends on the farm, the farm’s specific climate and soil conditions, the current management system, and the advice and skills that farm businesses could draw on. </w:t>
      </w:r>
    </w:p>
    <w:p w14:paraId="00F06C1A" w14:textId="7EEC9B12" w:rsidR="002A372D" w:rsidRDefault="002A372D" w:rsidP="00924FA5">
      <w:pPr>
        <w:rPr>
          <w:lang w:eastAsia="en-NZ"/>
        </w:rPr>
      </w:pPr>
      <w:r w:rsidRPr="00BD7C8B">
        <w:rPr>
          <w:lang w:eastAsia="en-NZ"/>
        </w:rPr>
        <w:t>Afforestation could also improve biodiversity, water quality, soil health and reduce erosion, if the right type of tree is planted in the right place at the right time. </w:t>
      </w:r>
      <w:r w:rsidR="00CC009C">
        <w:rPr>
          <w:lang w:eastAsia="en-NZ"/>
        </w:rPr>
        <w:t>While pine forests can increase biodiversity, including for rare native species</w:t>
      </w:r>
      <w:r w:rsidRPr="00BD7C8B">
        <w:rPr>
          <w:lang w:eastAsia="en-NZ"/>
        </w:rPr>
        <w:t xml:space="preserve">, native forests </w:t>
      </w:r>
      <w:r w:rsidR="00633E7A">
        <w:rPr>
          <w:lang w:eastAsia="en-NZ"/>
        </w:rPr>
        <w:t xml:space="preserve">in Aotearoa </w:t>
      </w:r>
      <w:r w:rsidRPr="00BD7C8B">
        <w:rPr>
          <w:lang w:eastAsia="en-NZ"/>
        </w:rPr>
        <w:t xml:space="preserve">host hundreds of threatened species and thousands of species. Native vegetation spread across </w:t>
      </w:r>
      <w:r w:rsidR="00633E7A">
        <w:rPr>
          <w:lang w:eastAsia="en-NZ"/>
        </w:rPr>
        <w:t>the country’s</w:t>
      </w:r>
      <w:r w:rsidR="00633E7A" w:rsidRPr="00BD7C8B">
        <w:rPr>
          <w:lang w:eastAsia="en-NZ"/>
        </w:rPr>
        <w:t xml:space="preserve"> </w:t>
      </w:r>
      <w:r w:rsidRPr="00BD7C8B">
        <w:rPr>
          <w:lang w:eastAsia="en-NZ"/>
        </w:rPr>
        <w:t xml:space="preserve">farms can also provide large </w:t>
      </w:r>
      <w:r w:rsidRPr="00BD7C8B">
        <w:rPr>
          <w:lang w:eastAsia="en-NZ"/>
        </w:rPr>
        <w:lastRenderedPageBreak/>
        <w:t>connected networks that can serve as stepping stones for birds that disperse tree seeds. Pest control, and fencing out grazing and browsing animals, would be important for both improving biodiversity and enhancing carbon stocks. </w:t>
      </w:r>
    </w:p>
    <w:p w14:paraId="38C0C277" w14:textId="6AD900CE" w:rsidR="002A372D" w:rsidRDefault="002A372D" w:rsidP="00924FA5">
      <w:pPr>
        <w:rPr>
          <w:lang w:eastAsia="en-NZ"/>
        </w:rPr>
      </w:pPr>
      <w:r w:rsidRPr="00BD7C8B">
        <w:rPr>
          <w:lang w:eastAsia="en-NZ"/>
        </w:rPr>
        <w:t xml:space="preserve">Land use change from dairy to horticulture on flatter and more productive land could reduce biogenic emissions per hectare. However, it could also cause water quality to deteriorate due to the increased use of fertiliser, and consequential nitrogen and phosphorus losses. Nutrient losses would vary depending on the crop, the site, weather conditions, the soils’ physical and chemical properties, and how the land is managed. Increasing the area of horticulture could also increase water demand in Aotearoa. In light of the physical impacts of climate change, this increased need for water would need to be weighed up when considering converting to horticulture as a climate </w:t>
      </w:r>
      <w:r w:rsidR="00D214AC">
        <w:rPr>
          <w:lang w:eastAsia="en-NZ"/>
        </w:rPr>
        <w:t>action</w:t>
      </w:r>
      <w:r w:rsidRPr="00BD7C8B">
        <w:rPr>
          <w:lang w:eastAsia="en-NZ"/>
        </w:rPr>
        <w:t>. </w:t>
      </w:r>
    </w:p>
    <w:p w14:paraId="3CE2AD0B" w14:textId="0717AC8D" w:rsidR="00513178" w:rsidRPr="00BD7C8B" w:rsidRDefault="00A00DE3" w:rsidP="00924FA5">
      <w:pPr>
        <w:rPr>
          <w:rFonts w:ascii="Segoe UI" w:hAnsi="Segoe UI" w:cs="Segoe UI"/>
          <w:sz w:val="18"/>
          <w:szCs w:val="18"/>
          <w:lang w:eastAsia="en-NZ"/>
        </w:rPr>
      </w:pPr>
      <w:r>
        <w:t>Reducing how much waste is generated and recovered means that landfills will take longer to fill up, potentially reducing the amount of landfills needed in the future. Increasing Landfill Gas Capture at legacy and non-municipal landfills could also lessen the negative impacts on air quality.</w:t>
      </w:r>
    </w:p>
    <w:p w14:paraId="20FF0AE3" w14:textId="2275D02D" w:rsidR="002A372D" w:rsidRPr="00BD7C8B" w:rsidRDefault="00CB24D5" w:rsidP="00924FA5">
      <w:pPr>
        <w:pStyle w:val="Heading2"/>
        <w:rPr>
          <w:rFonts w:ascii="Segoe UI" w:hAnsi="Segoe UI" w:cs="Segoe UI"/>
          <w:sz w:val="18"/>
          <w:szCs w:val="18"/>
          <w:lang w:eastAsia="en-NZ"/>
        </w:rPr>
      </w:pPr>
      <w:bookmarkStart w:id="204" w:name="_Toc62650301"/>
      <w:r>
        <w:rPr>
          <w:lang w:eastAsia="en-NZ"/>
        </w:rPr>
        <w:t xml:space="preserve">5.9 </w:t>
      </w:r>
      <w:r w:rsidR="002A372D" w:rsidRPr="00BD7C8B">
        <w:rPr>
          <w:lang w:eastAsia="en-NZ"/>
        </w:rPr>
        <w:t xml:space="preserve">Impact on </w:t>
      </w:r>
      <w:r w:rsidR="00F52AAB">
        <w:rPr>
          <w:lang w:eastAsia="en-NZ"/>
        </w:rPr>
        <w:t>g</w:t>
      </w:r>
      <w:r w:rsidR="002A372D" w:rsidRPr="00BD7C8B">
        <w:rPr>
          <w:lang w:eastAsia="en-NZ"/>
        </w:rPr>
        <w:t>overnment taxation and spending</w:t>
      </w:r>
      <w:bookmarkEnd w:id="204"/>
      <w:r w:rsidR="002A372D" w:rsidRPr="00BD7C8B">
        <w:rPr>
          <w:lang w:eastAsia="en-NZ"/>
        </w:rPr>
        <w:t> </w:t>
      </w:r>
    </w:p>
    <w:p w14:paraId="73515AFD" w14:textId="40834777" w:rsidR="002A372D" w:rsidRPr="00BD7C8B" w:rsidRDefault="002A372D" w:rsidP="00434794">
      <w:pPr>
        <w:rPr>
          <w:rFonts w:ascii="Segoe UI" w:eastAsia="Times New Roman" w:hAnsi="Segoe UI" w:cs="Segoe UI"/>
          <w:sz w:val="18"/>
          <w:szCs w:val="18"/>
          <w:lang w:eastAsia="en-NZ"/>
        </w:rPr>
      </w:pPr>
      <w:r w:rsidRPr="00BD7C8B">
        <w:rPr>
          <w:lang w:eastAsia="en-NZ"/>
        </w:rPr>
        <w:t>The climate transition will also impact on taxation and spending. The Government will need to plan for this. </w:t>
      </w:r>
    </w:p>
    <w:p w14:paraId="47C3E291" w14:textId="581DB0CB" w:rsidR="002A372D" w:rsidRPr="00BD7C8B" w:rsidRDefault="002A372D" w:rsidP="00434794">
      <w:pPr>
        <w:rPr>
          <w:rFonts w:ascii="Segoe UI" w:eastAsia="Times New Roman" w:hAnsi="Segoe UI" w:cs="Segoe UI"/>
          <w:sz w:val="18"/>
          <w:szCs w:val="18"/>
          <w:lang w:eastAsia="en-NZ"/>
        </w:rPr>
      </w:pPr>
      <w:r w:rsidRPr="00BD7C8B">
        <w:rPr>
          <w:lang w:eastAsia="en-NZ"/>
        </w:rPr>
        <w:t>For example, revenue from fuel excise duties and road user charges – that is ring fenced to be spent on land transport – will change over time, though is something that is routinely monitored by the Government. The same would occur for the Waste Levy, which is recycled back into waste minimisation projects, as the amount of waste reduces over time. </w:t>
      </w:r>
      <w:r w:rsidR="00A90016">
        <w:rPr>
          <w:lang w:eastAsia="en-NZ"/>
        </w:rPr>
        <w:t xml:space="preserve">Reducing </w:t>
      </w:r>
      <w:r w:rsidR="004A5829">
        <w:rPr>
          <w:lang w:eastAsia="en-NZ"/>
        </w:rPr>
        <w:t xml:space="preserve">oil and gas </w:t>
      </w:r>
      <w:r w:rsidR="00A90016">
        <w:rPr>
          <w:lang w:eastAsia="en-NZ"/>
        </w:rPr>
        <w:t xml:space="preserve">production </w:t>
      </w:r>
      <w:r w:rsidR="00DC5C09">
        <w:rPr>
          <w:lang w:eastAsia="en-NZ"/>
        </w:rPr>
        <w:t>in Aotearoa will also result in less tax revenue and will affect the balance of exports as less oil is exported.</w:t>
      </w:r>
      <w:r w:rsidR="004A5829">
        <w:rPr>
          <w:lang w:eastAsia="en-NZ"/>
        </w:rPr>
        <w:t xml:space="preserve"> </w:t>
      </w:r>
    </w:p>
    <w:p w14:paraId="2C5A7A9F" w14:textId="77777777" w:rsidR="002A372D" w:rsidRDefault="002A372D" w:rsidP="00434794">
      <w:pPr>
        <w:rPr>
          <w:lang w:eastAsia="en-NZ"/>
        </w:rPr>
      </w:pPr>
      <w:r w:rsidRPr="00BD7C8B">
        <w:rPr>
          <w:lang w:eastAsia="en-NZ"/>
        </w:rPr>
        <w:t>The Emissions Trading Scheme will generate income for the Government from selling emissions units. The income generated will depend on the volume of units sold, and the market price for units. The Government estimates this could equate to at least $3.1 billion over the next five years under current settings. The Government has options for how to spend these proceeds, including by recycling them back into climate change projects. </w:t>
      </w:r>
    </w:p>
    <w:p w14:paraId="450ACEC3" w14:textId="3038BD14" w:rsidR="002A372D" w:rsidRPr="00BD7C8B" w:rsidRDefault="002A372D" w:rsidP="00434794">
      <w:pPr>
        <w:rPr>
          <w:rFonts w:ascii="Segoe UI" w:eastAsia="Times New Roman" w:hAnsi="Segoe UI" w:cs="Segoe UI"/>
          <w:sz w:val="18"/>
          <w:szCs w:val="18"/>
          <w:lang w:eastAsia="en-NZ"/>
        </w:rPr>
      </w:pPr>
      <w:r w:rsidRPr="00BD7C8B">
        <w:rPr>
          <w:lang w:eastAsia="en-NZ"/>
        </w:rPr>
        <w:t>Government spending on social assistance for workers and families, and for health could also be affected. The impact on this spending will depend on the transition strategy the Government puts in place, the pace of the transition, and how well the Government plans and signals the transition. </w:t>
      </w:r>
    </w:p>
    <w:p w14:paraId="574A7FAC" w14:textId="235F0EEE" w:rsidR="00353013" w:rsidRPr="007A67B1" w:rsidDel="002A372D" w:rsidRDefault="00CB24D5" w:rsidP="00353013">
      <w:pPr>
        <w:keepNext/>
        <w:keepLines/>
        <w:shd w:val="clear" w:color="auto" w:fill="FFFFFF" w:themeFill="background1"/>
        <w:spacing w:after="0"/>
        <w:outlineLvl w:val="1"/>
        <w:rPr>
          <w:rFonts w:asciiTheme="majorHAnsi" w:eastAsiaTheme="majorEastAsia" w:hAnsiTheme="majorHAnsi" w:cstheme="majorBidi"/>
          <w:color w:val="2F5496" w:themeColor="accent1" w:themeShade="BF"/>
          <w:sz w:val="26"/>
          <w:szCs w:val="26"/>
        </w:rPr>
      </w:pPr>
      <w:bookmarkStart w:id="205" w:name="_Toc62650302"/>
      <w:r>
        <w:rPr>
          <w:rFonts w:asciiTheme="majorHAnsi" w:eastAsiaTheme="majorEastAsia" w:hAnsiTheme="majorHAnsi" w:cstheme="majorBidi"/>
          <w:color w:val="2F5496" w:themeColor="accent1" w:themeShade="BF"/>
          <w:sz w:val="26"/>
          <w:szCs w:val="26"/>
        </w:rPr>
        <w:t xml:space="preserve">5.10 </w:t>
      </w:r>
      <w:r w:rsidR="00353013" w:rsidDel="002A372D">
        <w:rPr>
          <w:rFonts w:asciiTheme="majorHAnsi" w:eastAsiaTheme="majorEastAsia" w:hAnsiTheme="majorHAnsi" w:cstheme="majorBidi"/>
          <w:color w:val="2F5496" w:themeColor="accent1" w:themeShade="BF"/>
          <w:sz w:val="26"/>
          <w:szCs w:val="26"/>
        </w:rPr>
        <w:t>Ensuring an inclusive</w:t>
      </w:r>
      <w:r w:rsidR="00194B40">
        <w:rPr>
          <w:rFonts w:asciiTheme="majorHAnsi" w:eastAsiaTheme="majorEastAsia" w:hAnsiTheme="majorHAnsi" w:cstheme="majorBidi"/>
          <w:color w:val="2F5496" w:themeColor="accent1" w:themeShade="BF"/>
          <w:sz w:val="26"/>
          <w:szCs w:val="26"/>
        </w:rPr>
        <w:t xml:space="preserve">, </w:t>
      </w:r>
      <w:r w:rsidR="00353013" w:rsidDel="002A372D">
        <w:rPr>
          <w:rFonts w:asciiTheme="majorHAnsi" w:eastAsiaTheme="majorEastAsia" w:hAnsiTheme="majorHAnsi" w:cstheme="majorBidi"/>
          <w:color w:val="2F5496" w:themeColor="accent1" w:themeShade="BF"/>
          <w:sz w:val="26"/>
          <w:szCs w:val="26"/>
        </w:rPr>
        <w:t xml:space="preserve">equitable </w:t>
      </w:r>
      <w:r w:rsidR="00194B40">
        <w:rPr>
          <w:rFonts w:asciiTheme="majorHAnsi" w:eastAsiaTheme="majorEastAsia" w:hAnsiTheme="majorHAnsi" w:cstheme="majorBidi"/>
          <w:color w:val="2F5496" w:themeColor="accent1" w:themeShade="BF"/>
          <w:sz w:val="26"/>
          <w:szCs w:val="26"/>
        </w:rPr>
        <w:t>and well-planned</w:t>
      </w:r>
      <w:r w:rsidR="00353013" w:rsidDel="002A372D">
        <w:rPr>
          <w:rFonts w:asciiTheme="majorHAnsi" w:eastAsiaTheme="majorEastAsia" w:hAnsiTheme="majorHAnsi" w:cstheme="majorBidi"/>
          <w:color w:val="2F5496" w:themeColor="accent1" w:themeShade="BF"/>
          <w:sz w:val="26"/>
          <w:szCs w:val="26"/>
        </w:rPr>
        <w:t xml:space="preserve"> transition</w:t>
      </w:r>
      <w:bookmarkEnd w:id="205"/>
    </w:p>
    <w:p w14:paraId="6010C27F" w14:textId="58B79EA0" w:rsidR="00353013" w:rsidRPr="007A67B1" w:rsidDel="002A372D" w:rsidRDefault="00353013" w:rsidP="00353013">
      <w:pPr>
        <w:spacing w:before="120" w:after="120"/>
      </w:pPr>
      <w:r w:rsidRPr="007A67B1" w:rsidDel="002A372D">
        <w:t xml:space="preserve">The transition to a low emissions society will bring a mix of opportunities, benefits, challenges and costs. Actions and approaches to reduce emissions should ensure the benefits of climate action are shared across society. It is important that certain individuals and sectors do not unfairly bear the cost-burden of the climate transition. </w:t>
      </w:r>
      <w:r w:rsidR="00A44EE7">
        <w:t>Not managed well, costs could disproportionately fall on those on lower incomes, some M</w:t>
      </w:r>
      <w:r w:rsidR="00A44EE7">
        <w:rPr>
          <w:rFonts w:cstheme="minorHAnsi"/>
        </w:rPr>
        <w:t>ā</w:t>
      </w:r>
      <w:r w:rsidR="00A44EE7">
        <w:t xml:space="preserve">ori and Pasifika, and people with disabilities. </w:t>
      </w:r>
    </w:p>
    <w:p w14:paraId="7E027A3E" w14:textId="2E70DF9C" w:rsidR="00353013" w:rsidRPr="007A67B1" w:rsidDel="002A372D" w:rsidRDefault="00353013" w:rsidP="00353013">
      <w:pPr>
        <w:spacing w:before="120" w:after="120"/>
      </w:pPr>
      <w:r w:rsidRPr="007A67B1" w:rsidDel="002A372D">
        <w:t xml:space="preserve">An equitable transition also supports the principles of </w:t>
      </w:r>
      <w:proofErr w:type="spellStart"/>
      <w:r w:rsidRPr="007A67B1" w:rsidDel="002A372D">
        <w:t>tiakitanga</w:t>
      </w:r>
      <w:proofErr w:type="spellEnd"/>
      <w:r w:rsidRPr="007A67B1" w:rsidDel="002A372D">
        <w:t xml:space="preserve"> and intergenerational equity. Managing challenges and impacts for an equitable climate transition requires considering the impacts on society today, but also the impacts on our </w:t>
      </w:r>
      <w:proofErr w:type="spellStart"/>
      <w:r w:rsidRPr="007A67B1" w:rsidDel="002A372D">
        <w:t>mokopuna</w:t>
      </w:r>
      <w:proofErr w:type="spellEnd"/>
      <w:r w:rsidRPr="007A67B1" w:rsidDel="002A372D">
        <w:t xml:space="preserve">, and on their </w:t>
      </w:r>
      <w:proofErr w:type="spellStart"/>
      <w:r w:rsidRPr="007A67B1" w:rsidDel="002A372D">
        <w:t>mokopuna</w:t>
      </w:r>
      <w:proofErr w:type="spellEnd"/>
      <w:r w:rsidRPr="007A67B1" w:rsidDel="002A372D">
        <w:t xml:space="preserve">. The need to care for </w:t>
      </w:r>
      <w:r w:rsidRPr="007A67B1" w:rsidDel="002A372D">
        <w:lastRenderedPageBreak/>
        <w:t xml:space="preserve">and be active stewards and custodians of our whenua and taonga for future generations must be central to our approach. </w:t>
      </w:r>
    </w:p>
    <w:p w14:paraId="4018A33F" w14:textId="7FFB30D4" w:rsidR="00353013" w:rsidRPr="007A67B1" w:rsidDel="002A372D" w:rsidRDefault="00353013" w:rsidP="00353013">
      <w:pPr>
        <w:spacing w:before="120" w:after="120"/>
      </w:pPr>
      <w:r w:rsidRPr="007A67B1" w:rsidDel="002A372D">
        <w:t xml:space="preserve">Maintaining the principle of equity is important to make sure the policy response is enduring, and emissions reductions can be sustained. </w:t>
      </w:r>
    </w:p>
    <w:p w14:paraId="0C3B7225" w14:textId="52D996F1" w:rsidR="00353013" w:rsidRPr="007A67B1" w:rsidDel="002A372D" w:rsidRDefault="00353013" w:rsidP="00353013">
      <w:pPr>
        <w:spacing w:before="120" w:after="120"/>
      </w:pPr>
      <w:r w:rsidRPr="007A67B1" w:rsidDel="002A372D">
        <w:t>Certain regions and communities of Aotearoa will be more affected by the climate transition than others. Some may see the closure of large businesses that provide significant employment. In some places, entire communities, ways of life and local identities are built around large businesses that may face closure. Such closures can have a big impact beyond the people employed directly. If unemployment rises and consumer spending falls, there will be a flow on effect to other businesses and workers within the wider community.</w:t>
      </w:r>
    </w:p>
    <w:p w14:paraId="5F96A924" w14:textId="2E627555" w:rsidR="00353013" w:rsidRPr="007A67B1" w:rsidDel="002A372D" w:rsidRDefault="00353013" w:rsidP="00353013">
      <w:pPr>
        <w:spacing w:before="120" w:after="120"/>
      </w:pPr>
      <w:r w:rsidRPr="007A67B1" w:rsidDel="002A372D">
        <w:t>We have heard consistently through our engagement that localised transition planning will be needed where communities work together to tailor a transition plan to their particular needs and aspirations. We also heard that this localised transition planning will need to be proactive, inclusive and transparent, and co-developed through a bottom up approach that involves iwi/Māori, local government, local communities, businesses, civil society groups and other stakeholders.</w:t>
      </w:r>
    </w:p>
    <w:p w14:paraId="31E3B0A8" w14:textId="011189CF" w:rsidR="00353013" w:rsidRPr="007A67B1" w:rsidDel="002A372D" w:rsidRDefault="00353013" w:rsidP="00353013">
      <w:pPr>
        <w:spacing w:before="120" w:after="120"/>
      </w:pPr>
      <w:r w:rsidRPr="007A67B1" w:rsidDel="002A372D">
        <w:t xml:space="preserve">As Aotearoa transitions to a thriving, climate-resilient and low emissions Aotearoa, new skills, knowledge and capability will be needed in the workforce. Ensuring the workforce’s skills match what is required in the labour market is key to ensuring that businesses can innovate, adopt new technologies or commercialise new ideas. Flourishing businesses will create flow on benefits for workers and communities. </w:t>
      </w:r>
    </w:p>
    <w:p w14:paraId="2FAC10CD" w14:textId="4289E84D" w:rsidR="00353013" w:rsidRDefault="00353013" w:rsidP="00353013">
      <w:pPr>
        <w:spacing w:before="120" w:after="120"/>
      </w:pPr>
      <w:r w:rsidRPr="007A67B1">
        <w:t>Current approaches to skills and training will need to change to prepare the current and future workforce for rapid change. This includes changes to support workers through the transition, and to prepare displaced workers for the new job opportunities that will emerge with it. Increasing New Zealanders</w:t>
      </w:r>
      <w:r>
        <w:t>’</w:t>
      </w:r>
      <w:r w:rsidRPr="007A67B1">
        <w:t xml:space="preserve"> capacity to adapt, and ensuring that New Zealanders have transferrable skillsets that set them up for success will be crucial. Vocational education and training systems will need to be able to adapt quickly to changing skill demands. Barriers that restrict all New Zealanders from participating in education and training – including </w:t>
      </w:r>
      <w:r>
        <w:t xml:space="preserve">some </w:t>
      </w:r>
      <w:r w:rsidRPr="007A67B1">
        <w:t>Māori, Pasifika and low income groups – will also need to be addressed.</w:t>
      </w:r>
    </w:p>
    <w:tbl>
      <w:tblPr>
        <w:tblStyle w:val="GridTable4-Accent2"/>
        <w:tblW w:w="0" w:type="auto"/>
        <w:tblCellMar>
          <w:top w:w="57" w:type="dxa"/>
          <w:bottom w:w="57" w:type="dxa"/>
        </w:tblCellMar>
        <w:tblLook w:val="04A0" w:firstRow="1" w:lastRow="0" w:firstColumn="1" w:lastColumn="0" w:noHBand="0" w:noVBand="1"/>
      </w:tblPr>
      <w:tblGrid>
        <w:gridCol w:w="9016"/>
      </w:tblGrid>
      <w:tr w:rsidR="00353013" w:rsidRPr="002520DA" w14:paraId="6376E7EB" w14:textId="77777777" w:rsidTr="00861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E2ACCF2" w14:textId="5DE5DD02" w:rsidR="00353013" w:rsidRPr="002520DA" w:rsidRDefault="00353013" w:rsidP="00861331">
            <w:pPr>
              <w:spacing w:before="0" w:after="0"/>
              <w:jc w:val="center"/>
              <w:rPr>
                <w:color w:val="000000" w:themeColor="text1"/>
                <w:sz w:val="24"/>
                <w:szCs w:val="24"/>
                <w:lang w:val="en-US"/>
              </w:rPr>
            </w:pPr>
            <w:r w:rsidRPr="002520DA">
              <w:rPr>
                <w:sz w:val="28"/>
                <w:szCs w:val="28"/>
              </w:rPr>
              <w:t>Time</w:t>
            </w:r>
            <w:r w:rsidR="00DE4485" w:rsidRPr="00DE4485">
              <w:rPr>
                <w:sz w:val="28"/>
                <w:szCs w:val="28"/>
              </w:rPr>
              <w:t>-</w:t>
            </w:r>
            <w:r w:rsidRPr="002520DA">
              <w:rPr>
                <w:sz w:val="28"/>
                <w:szCs w:val="28"/>
              </w:rPr>
              <w:t xml:space="preserve">critical </w:t>
            </w:r>
            <w:r w:rsidR="00DE4485" w:rsidRPr="00DE4485">
              <w:rPr>
                <w:sz w:val="28"/>
                <w:szCs w:val="28"/>
              </w:rPr>
              <w:t>necessary action</w:t>
            </w:r>
            <w:r w:rsidRPr="002520DA">
              <w:rPr>
                <w:sz w:val="28"/>
                <w:szCs w:val="28"/>
              </w:rPr>
              <w:t xml:space="preserve"> </w:t>
            </w:r>
            <w:r w:rsidR="00F15405">
              <w:rPr>
                <w:sz w:val="28"/>
                <w:szCs w:val="28"/>
              </w:rPr>
              <w:t>1</w:t>
            </w:r>
          </w:p>
          <w:p w14:paraId="0B05400D" w14:textId="442619C6" w:rsidR="00353013" w:rsidRPr="00E62BCF" w:rsidRDefault="00353013" w:rsidP="00861331">
            <w:pPr>
              <w:spacing w:before="0" w:after="0"/>
              <w:jc w:val="center"/>
              <w:rPr>
                <w:b w:val="0"/>
                <w:bCs w:val="0"/>
                <w:sz w:val="28"/>
                <w:szCs w:val="28"/>
              </w:rPr>
            </w:pPr>
            <w:r w:rsidRPr="00E62BCF">
              <w:rPr>
                <w:b w:val="0"/>
                <w:bCs w:val="0"/>
                <w:sz w:val="28"/>
                <w:szCs w:val="28"/>
                <w:lang w:val="en-US"/>
              </w:rPr>
              <w:t>An equitable, inclusive and well-planned climate transition</w:t>
            </w:r>
          </w:p>
        </w:tc>
      </w:tr>
      <w:tr w:rsidR="00353013" w:rsidRPr="002520DA" w14:paraId="48D536DA" w14:textId="77777777" w:rsidTr="00861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BF9E261" w14:textId="20BEEBB1" w:rsidR="00353013" w:rsidRPr="00353013" w:rsidRDefault="00353013" w:rsidP="00353013">
            <w:pPr>
              <w:rPr>
                <w:rFonts w:eastAsiaTheme="majorEastAsia"/>
                <w:color w:val="000000" w:themeColor="text1"/>
              </w:rPr>
            </w:pPr>
            <w:r w:rsidRPr="00353013">
              <w:rPr>
                <w:rFonts w:eastAsiaTheme="majorEastAsia"/>
                <w:color w:val="000000" w:themeColor="text1"/>
              </w:rPr>
              <w:t xml:space="preserve">The transition to a low emissions society needs to be well-signalled, equitable, and inclusive in order to maximise the opportunities, minimise disruption and inequalities, and be enduring as a result. </w:t>
            </w:r>
          </w:p>
          <w:p w14:paraId="0C6E56DE" w14:textId="2B20F7D8" w:rsidR="00353013" w:rsidRPr="00353013" w:rsidRDefault="00353013" w:rsidP="00353013">
            <w:pPr>
              <w:rPr>
                <w:rFonts w:eastAsiaTheme="majorEastAsia"/>
                <w:color w:val="000000" w:themeColor="text1"/>
              </w:rPr>
            </w:pPr>
            <w:r w:rsidRPr="00353013">
              <w:rPr>
                <w:rFonts w:eastAsiaTheme="majorEastAsia"/>
                <w:color w:val="000000" w:themeColor="text1"/>
              </w:rPr>
              <w:t>We recommend that in the first emissions budget period the Government develop an Equitable Transitions Strategy that is linked to the Government’s Economic Plan and outlines:</w:t>
            </w:r>
          </w:p>
          <w:p w14:paraId="00073BE6" w14:textId="49E3F4DA" w:rsidR="00353013" w:rsidRPr="00353013" w:rsidRDefault="00353013" w:rsidP="00655722">
            <w:pPr>
              <w:numPr>
                <w:ilvl w:val="0"/>
                <w:numId w:val="53"/>
              </w:numPr>
              <w:spacing w:before="60"/>
              <w:rPr>
                <w:rFonts w:eastAsiaTheme="majorEastAsia"/>
                <w:color w:val="000000" w:themeColor="text1"/>
              </w:rPr>
            </w:pPr>
            <w:r w:rsidRPr="00353013">
              <w:rPr>
                <w:rFonts w:eastAsiaTheme="majorEastAsia"/>
                <w:color w:val="000000" w:themeColor="text1"/>
              </w:rPr>
              <w:t>How the Government will build the evidence base for assessing the distributional impacts of climate change policy decisions that align with tikanga values</w:t>
            </w:r>
          </w:p>
          <w:p w14:paraId="30919157" w14:textId="77777777" w:rsidR="00353013" w:rsidRPr="00353013" w:rsidRDefault="00353013" w:rsidP="00655722">
            <w:pPr>
              <w:numPr>
                <w:ilvl w:val="0"/>
                <w:numId w:val="53"/>
              </w:numPr>
              <w:spacing w:before="60"/>
              <w:rPr>
                <w:rFonts w:eastAsiaTheme="majorEastAsia"/>
                <w:color w:val="000000" w:themeColor="text1"/>
              </w:rPr>
            </w:pPr>
            <w:r w:rsidRPr="00353013">
              <w:rPr>
                <w:rFonts w:eastAsiaTheme="majorEastAsia"/>
                <w:color w:val="000000" w:themeColor="text1"/>
              </w:rPr>
              <w:t>A process for factoring distributional impacts into climate policy and designing social, economic and tax policy in a way that minimises or mitigates the negative impacts</w:t>
            </w:r>
          </w:p>
          <w:p w14:paraId="5B818594" w14:textId="77777777" w:rsidR="00353013" w:rsidRPr="00353013" w:rsidRDefault="00353013" w:rsidP="00655722">
            <w:pPr>
              <w:numPr>
                <w:ilvl w:val="0"/>
                <w:numId w:val="53"/>
              </w:numPr>
              <w:spacing w:before="60"/>
              <w:rPr>
                <w:rFonts w:eastAsiaTheme="majorEastAsia"/>
                <w:color w:val="000000" w:themeColor="text1"/>
              </w:rPr>
            </w:pPr>
            <w:r w:rsidRPr="00353013">
              <w:rPr>
                <w:rFonts w:eastAsiaTheme="majorEastAsia"/>
                <w:color w:val="000000" w:themeColor="text1"/>
              </w:rPr>
              <w:t>Guidance for developing localised transition plans that are customised for and co-developed with local government and affected communities.</w:t>
            </w:r>
          </w:p>
          <w:p w14:paraId="2E568912" w14:textId="4F03DF05" w:rsidR="00353013" w:rsidRPr="00353013" w:rsidRDefault="00353013" w:rsidP="00655722">
            <w:pPr>
              <w:numPr>
                <w:ilvl w:val="0"/>
                <w:numId w:val="53"/>
              </w:numPr>
              <w:spacing w:before="60"/>
              <w:rPr>
                <w:rFonts w:eastAsiaTheme="majorEastAsia"/>
                <w:b w:val="0"/>
                <w:bCs w:val="0"/>
                <w:color w:val="000000" w:themeColor="text1"/>
              </w:rPr>
            </w:pPr>
            <w:r w:rsidRPr="00353013">
              <w:rPr>
                <w:rFonts w:eastAsiaTheme="majorEastAsia"/>
                <w:color w:val="000000" w:themeColor="text1"/>
              </w:rPr>
              <w:t>How the Government will support affected workers to transition into new work</w:t>
            </w:r>
          </w:p>
        </w:tc>
      </w:tr>
    </w:tbl>
    <w:p w14:paraId="2354581A" w14:textId="77777777" w:rsidR="007E0F19" w:rsidRDefault="007E0F19" w:rsidP="00353013">
      <w:pPr>
        <w:spacing w:before="120" w:after="120"/>
      </w:pPr>
    </w:p>
    <w:tbl>
      <w:tblPr>
        <w:tblStyle w:val="GridTable4-Accent2"/>
        <w:tblW w:w="0" w:type="auto"/>
        <w:tblCellMar>
          <w:top w:w="57" w:type="dxa"/>
          <w:bottom w:w="57" w:type="dxa"/>
        </w:tblCellMar>
        <w:tblLook w:val="04A0" w:firstRow="1" w:lastRow="0" w:firstColumn="1" w:lastColumn="0" w:noHBand="0" w:noVBand="1"/>
      </w:tblPr>
      <w:tblGrid>
        <w:gridCol w:w="9016"/>
      </w:tblGrid>
      <w:tr w:rsidR="00353013" w:rsidRPr="002520DA" w14:paraId="0E9FFE50" w14:textId="77777777" w:rsidTr="00861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9AAF5AE" w14:textId="0870B781" w:rsidR="00353013" w:rsidRPr="002520DA" w:rsidRDefault="00353013" w:rsidP="00861331">
            <w:pPr>
              <w:spacing w:before="120" w:after="120"/>
              <w:jc w:val="center"/>
            </w:pPr>
            <w:r w:rsidRPr="002520DA">
              <w:rPr>
                <w:sz w:val="28"/>
                <w:szCs w:val="28"/>
              </w:rPr>
              <w:t>Progress indicator</w:t>
            </w:r>
          </w:p>
        </w:tc>
      </w:tr>
      <w:tr w:rsidR="00353013" w:rsidRPr="002520DA" w14:paraId="08237163" w14:textId="77777777" w:rsidTr="00861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DAE05DB" w14:textId="696DA87F" w:rsidR="00353013" w:rsidRPr="00353013" w:rsidRDefault="00353013" w:rsidP="00353013">
            <w:r w:rsidRPr="00353013">
              <w:rPr>
                <w:rFonts w:eastAsiaTheme="majorEastAsia"/>
                <w:color w:val="000000" w:themeColor="text1"/>
              </w:rPr>
              <w:t xml:space="preserve">Government to have, by </w:t>
            </w:r>
            <w:r w:rsidR="00E96087">
              <w:rPr>
                <w:rFonts w:eastAsiaTheme="majorEastAsia"/>
                <w:color w:val="000000" w:themeColor="text1"/>
              </w:rPr>
              <w:t>31 December</w:t>
            </w:r>
            <w:r w:rsidRPr="00353013">
              <w:rPr>
                <w:rFonts w:eastAsiaTheme="majorEastAsia"/>
                <w:color w:val="000000" w:themeColor="text1"/>
              </w:rPr>
              <w:t xml:space="preserve"> 2023, drafted an Equitable Transitions Strategy linked to their Economic Plan.</w:t>
            </w:r>
          </w:p>
        </w:tc>
      </w:tr>
    </w:tbl>
    <w:p w14:paraId="08A0F52E" w14:textId="50E59E62" w:rsidR="00353013" w:rsidRDefault="00353013" w:rsidP="00353013">
      <w:pPr>
        <w:rPr>
          <w:bCs/>
          <w:lang w:val="en-US"/>
        </w:rPr>
      </w:pPr>
      <w:r w:rsidRPr="002520DA" w:rsidDel="002D22DB">
        <w:rPr>
          <w:bCs/>
          <w:lang w:val="en-US"/>
        </w:rPr>
        <w:t xml:space="preserve"> </w:t>
      </w:r>
    </w:p>
    <w:tbl>
      <w:tblPr>
        <w:tblStyle w:val="GridTable4-Accent5"/>
        <w:tblW w:w="0" w:type="auto"/>
        <w:tblCellMar>
          <w:top w:w="57" w:type="dxa"/>
          <w:bottom w:w="57" w:type="dxa"/>
        </w:tblCellMar>
        <w:tblLook w:val="04A0" w:firstRow="1" w:lastRow="0" w:firstColumn="1" w:lastColumn="0" w:noHBand="0" w:noVBand="1"/>
      </w:tblPr>
      <w:tblGrid>
        <w:gridCol w:w="9016"/>
      </w:tblGrid>
      <w:tr w:rsidR="00353013" w:rsidRPr="002520DA" w14:paraId="4077228F" w14:textId="77777777" w:rsidTr="00353013">
        <w:trPr>
          <w:cnfStyle w:val="100000000000" w:firstRow="1" w:lastRow="0" w:firstColumn="0" w:lastColumn="0" w:oddVBand="0" w:evenVBand="0" w:oddHBand="0"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9016" w:type="dxa"/>
          </w:tcPr>
          <w:p w14:paraId="5AF1C08E" w14:textId="60553F57" w:rsidR="003F340F" w:rsidRPr="003F340F" w:rsidRDefault="003F340F" w:rsidP="003F340F">
            <w:pPr>
              <w:pStyle w:val="ListParagraph"/>
              <w:spacing w:before="0" w:after="0"/>
              <w:ind w:left="32"/>
              <w:jc w:val="center"/>
              <w:rPr>
                <w:b w:val="0"/>
                <w:bCs w:val="0"/>
                <w:sz w:val="28"/>
                <w:szCs w:val="28"/>
              </w:rPr>
            </w:pPr>
            <w:r w:rsidRPr="003F340F">
              <w:rPr>
                <w:sz w:val="28"/>
                <w:szCs w:val="28"/>
              </w:rPr>
              <w:t>Necessary action</w:t>
            </w:r>
            <w:r w:rsidR="003B15E6">
              <w:rPr>
                <w:sz w:val="28"/>
                <w:szCs w:val="28"/>
              </w:rPr>
              <w:t xml:space="preserve"> 1</w:t>
            </w:r>
          </w:p>
          <w:p w14:paraId="79CCCA3B" w14:textId="6B2894B7" w:rsidR="00353013" w:rsidRPr="00E62BCF" w:rsidRDefault="00353013" w:rsidP="003F340F">
            <w:pPr>
              <w:pStyle w:val="ListParagraph"/>
              <w:spacing w:before="0" w:after="0"/>
              <w:ind w:left="0" w:firstLine="32"/>
              <w:jc w:val="center"/>
              <w:rPr>
                <w:b w:val="0"/>
                <w:bCs w:val="0"/>
                <w:sz w:val="26"/>
                <w:szCs w:val="26"/>
              </w:rPr>
            </w:pPr>
            <w:r w:rsidRPr="00E62BCF">
              <w:rPr>
                <w:b w:val="0"/>
                <w:bCs w:val="0"/>
                <w:sz w:val="26"/>
                <w:szCs w:val="26"/>
              </w:rPr>
              <w:t>An equitable, inclusive and well-planned climate transition</w:t>
            </w:r>
          </w:p>
        </w:tc>
      </w:tr>
      <w:tr w:rsidR="00353013" w:rsidRPr="002520DA" w14:paraId="0A8638D2" w14:textId="77777777" w:rsidTr="00861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5759BCC" w14:textId="5C413FB0" w:rsidR="00353013" w:rsidRPr="002520DA" w:rsidRDefault="00353013" w:rsidP="00861331">
            <w:pPr>
              <w:spacing w:before="120"/>
            </w:pPr>
            <w:r w:rsidRPr="002520DA">
              <w:t>We recommend that, in the first budget period the Government progress the following steps to meet emissions budgets:</w:t>
            </w:r>
          </w:p>
          <w:p w14:paraId="60D94275" w14:textId="133F776D" w:rsidR="00353013" w:rsidRPr="00353013" w:rsidRDefault="00353013" w:rsidP="00F52090">
            <w:pPr>
              <w:numPr>
                <w:ilvl w:val="0"/>
                <w:numId w:val="6"/>
              </w:numPr>
              <w:spacing w:before="120"/>
              <w:ind w:hanging="357"/>
              <w:rPr>
                <w:rFonts w:eastAsiaTheme="majorEastAsia"/>
                <w:color w:val="000000" w:themeColor="text1"/>
              </w:rPr>
            </w:pPr>
            <w:r w:rsidRPr="00353013">
              <w:rPr>
                <w:rFonts w:eastAsiaTheme="majorEastAsia"/>
                <w:color w:val="000000" w:themeColor="text1"/>
              </w:rPr>
              <w:t>Identify communities and regions that may be particularly affected by climate change and the transition to a low emissions society, and initiating processes for localised transition planning in these areas. This would require the Government to work in partnership with local government and regional economic development agencies, iwi/Māori, local communities, businesses, civil society groups and stakeholders. </w:t>
            </w:r>
          </w:p>
          <w:p w14:paraId="09D7766C" w14:textId="5BC45BC2" w:rsidR="00353013" w:rsidRPr="00353013" w:rsidRDefault="00353013" w:rsidP="00F52090">
            <w:pPr>
              <w:numPr>
                <w:ilvl w:val="0"/>
                <w:numId w:val="6"/>
              </w:numPr>
              <w:spacing w:before="120"/>
              <w:ind w:hanging="357"/>
              <w:rPr>
                <w:rFonts w:eastAsiaTheme="majorEastAsia"/>
                <w:color w:val="000000" w:themeColor="text1"/>
              </w:rPr>
            </w:pPr>
            <w:r w:rsidRPr="00353013">
              <w:rPr>
                <w:rFonts w:eastAsiaTheme="majorEastAsia"/>
                <w:color w:val="000000" w:themeColor="text1"/>
              </w:rPr>
              <w:t>Develop policies for creating a workforce with the skills needed for accelerating the low emissions transition, including:</w:t>
            </w:r>
          </w:p>
          <w:p w14:paraId="29E6C0A3" w14:textId="77777777" w:rsidR="00353013" w:rsidRPr="00353013" w:rsidRDefault="00353013" w:rsidP="00F52090">
            <w:pPr>
              <w:numPr>
                <w:ilvl w:val="1"/>
                <w:numId w:val="6"/>
              </w:numPr>
              <w:spacing w:before="120"/>
              <w:ind w:hanging="357"/>
              <w:rPr>
                <w:rFonts w:eastAsiaTheme="majorEastAsia"/>
                <w:color w:val="000000" w:themeColor="text1"/>
              </w:rPr>
            </w:pPr>
            <w:r w:rsidRPr="00353013">
              <w:rPr>
                <w:rFonts w:eastAsiaTheme="majorEastAsia"/>
                <w:color w:val="000000" w:themeColor="text1"/>
              </w:rPr>
              <w:t>Assessing how the education system sets all New Zealanders up for the low emissions jobs of the future, with skillsets that enable workers to adapt and lifelong learning.</w:t>
            </w:r>
          </w:p>
          <w:p w14:paraId="1478F7EC" w14:textId="77777777" w:rsidR="00353013" w:rsidRPr="00353013" w:rsidRDefault="00353013" w:rsidP="00F52090">
            <w:pPr>
              <w:numPr>
                <w:ilvl w:val="1"/>
                <w:numId w:val="6"/>
              </w:numPr>
              <w:spacing w:before="120"/>
              <w:ind w:hanging="357"/>
              <w:rPr>
                <w:rFonts w:eastAsiaTheme="majorEastAsia"/>
                <w:color w:val="000000" w:themeColor="text1"/>
              </w:rPr>
            </w:pPr>
            <w:r w:rsidRPr="00353013">
              <w:rPr>
                <w:rFonts w:eastAsiaTheme="majorEastAsia"/>
                <w:color w:val="000000" w:themeColor="text1"/>
              </w:rPr>
              <w:t>Upskilling and redeploying workers transitioning from high emissions sectors.</w:t>
            </w:r>
          </w:p>
          <w:p w14:paraId="7FCBCFE1" w14:textId="77777777" w:rsidR="00353013" w:rsidRPr="00353013" w:rsidRDefault="00353013" w:rsidP="00F52090">
            <w:pPr>
              <w:numPr>
                <w:ilvl w:val="1"/>
                <w:numId w:val="6"/>
              </w:numPr>
              <w:spacing w:before="120"/>
              <w:ind w:hanging="357"/>
              <w:rPr>
                <w:rFonts w:eastAsiaTheme="majorEastAsia"/>
                <w:color w:val="000000" w:themeColor="text1"/>
              </w:rPr>
            </w:pPr>
            <w:r w:rsidRPr="00353013">
              <w:rPr>
                <w:rFonts w:eastAsiaTheme="majorEastAsia"/>
                <w:color w:val="000000" w:themeColor="text1"/>
              </w:rPr>
              <w:t>Developing skills and training into low emissions industries by Māori, for Māori.</w:t>
            </w:r>
          </w:p>
          <w:p w14:paraId="48F2DEF4" w14:textId="07598131" w:rsidR="00353013" w:rsidRPr="00353013" w:rsidRDefault="00FD2395" w:rsidP="00F52090">
            <w:pPr>
              <w:numPr>
                <w:ilvl w:val="0"/>
                <w:numId w:val="6"/>
              </w:numPr>
              <w:spacing w:before="120"/>
              <w:ind w:hanging="357"/>
              <w:rPr>
                <w:rFonts w:eastAsiaTheme="majorEastAsia"/>
                <w:color w:val="000000" w:themeColor="text1"/>
              </w:rPr>
            </w:pPr>
            <w:r>
              <w:rPr>
                <w:rFonts w:eastAsiaTheme="majorEastAsia"/>
                <w:color w:val="000000" w:themeColor="text1"/>
              </w:rPr>
              <w:t>Investigate</w:t>
            </w:r>
            <w:r w:rsidR="00353013" w:rsidRPr="00353013">
              <w:rPr>
                <w:rFonts w:eastAsiaTheme="majorEastAsia"/>
                <w:color w:val="000000" w:themeColor="text1"/>
              </w:rPr>
              <w:t xml:space="preserve"> the specific impacts of the climate transition on small businesses, and </w:t>
            </w:r>
            <w:r w:rsidR="005E0C22">
              <w:rPr>
                <w:rFonts w:eastAsiaTheme="majorEastAsia"/>
                <w:color w:val="000000" w:themeColor="text1"/>
              </w:rPr>
              <w:t>develop a plan for</w:t>
            </w:r>
            <w:r w:rsidR="00353013" w:rsidRPr="00353013">
              <w:rPr>
                <w:rFonts w:eastAsiaTheme="majorEastAsia"/>
                <w:color w:val="000000" w:themeColor="text1"/>
              </w:rPr>
              <w:t xml:space="preserve"> how to support them through the transition.</w:t>
            </w:r>
          </w:p>
          <w:p w14:paraId="286005FE" w14:textId="03C3FAA0" w:rsidR="00353013" w:rsidRPr="00353013" w:rsidRDefault="00353013" w:rsidP="00F52090">
            <w:pPr>
              <w:numPr>
                <w:ilvl w:val="0"/>
                <w:numId w:val="6"/>
              </w:numPr>
              <w:spacing w:before="120"/>
              <w:ind w:hanging="357"/>
              <w:rPr>
                <w:rFonts w:eastAsiaTheme="majorEastAsia"/>
                <w:color w:val="000000" w:themeColor="text1"/>
              </w:rPr>
            </w:pPr>
            <w:r w:rsidRPr="00353013">
              <w:rPr>
                <w:rFonts w:eastAsiaTheme="majorEastAsia"/>
                <w:color w:val="000000" w:themeColor="text1"/>
              </w:rPr>
              <w:t xml:space="preserve">Assess the Government’s current standards and funding programmes for insulation and efficient heating to determine whether they are delivering at an appropriate pace and scale, and how they could impact housing and energy affordability. </w:t>
            </w:r>
            <w:r w:rsidR="006A6B2F">
              <w:rPr>
                <w:rFonts w:eastAsiaTheme="majorEastAsia"/>
                <w:color w:val="000000" w:themeColor="text1"/>
              </w:rPr>
              <w:t>T</w:t>
            </w:r>
            <w:r w:rsidRPr="00353013">
              <w:rPr>
                <w:rFonts w:eastAsiaTheme="majorEastAsia"/>
                <w:color w:val="000000" w:themeColor="text1"/>
              </w:rPr>
              <w:t>he Government should give particular consideration to potential flow through costs to tenants</w:t>
            </w:r>
            <w:r w:rsidR="00FF2CEF">
              <w:rPr>
                <w:rFonts w:eastAsiaTheme="majorEastAsia"/>
                <w:color w:val="000000" w:themeColor="text1"/>
              </w:rPr>
              <w:t xml:space="preserve">, </w:t>
            </w:r>
            <w:r w:rsidR="00CB3BD1">
              <w:rPr>
                <w:rFonts w:eastAsiaTheme="majorEastAsia"/>
                <w:color w:val="000000" w:themeColor="text1"/>
              </w:rPr>
              <w:t xml:space="preserve">and </w:t>
            </w:r>
            <w:r w:rsidR="00715D44">
              <w:rPr>
                <w:rFonts w:eastAsiaTheme="majorEastAsia"/>
                <w:color w:val="000000" w:themeColor="text1"/>
              </w:rPr>
              <w:t xml:space="preserve">to </w:t>
            </w:r>
            <w:r w:rsidR="0081351D">
              <w:rPr>
                <w:rFonts w:eastAsiaTheme="majorEastAsia"/>
                <w:color w:val="000000" w:themeColor="text1"/>
              </w:rPr>
              <w:t xml:space="preserve">government owned </w:t>
            </w:r>
            <w:r w:rsidR="00715D44">
              <w:rPr>
                <w:rFonts w:eastAsiaTheme="majorEastAsia"/>
                <w:color w:val="000000" w:themeColor="text1"/>
              </w:rPr>
              <w:t>housing stock</w:t>
            </w:r>
            <w:r w:rsidRPr="00353013">
              <w:rPr>
                <w:rFonts w:eastAsiaTheme="majorEastAsia"/>
                <w:color w:val="000000" w:themeColor="text1"/>
              </w:rPr>
              <w:t>.</w:t>
            </w:r>
            <w:r w:rsidR="00E141B6">
              <w:rPr>
                <w:rFonts w:eastAsiaTheme="majorEastAsia"/>
                <w:color w:val="000000" w:themeColor="text1"/>
              </w:rPr>
              <w:t xml:space="preserve"> </w:t>
            </w:r>
          </w:p>
          <w:p w14:paraId="4DB09663" w14:textId="53EAAA73" w:rsidR="00353013" w:rsidRPr="00353013" w:rsidRDefault="00353013" w:rsidP="00F52090">
            <w:pPr>
              <w:numPr>
                <w:ilvl w:val="0"/>
                <w:numId w:val="6"/>
              </w:numPr>
              <w:spacing w:before="120"/>
              <w:ind w:hanging="357"/>
              <w:rPr>
                <w:rFonts w:eastAsiaTheme="majorEastAsia"/>
                <w:b w:val="0"/>
                <w:bCs w:val="0"/>
                <w:color w:val="000000" w:themeColor="text1"/>
              </w:rPr>
            </w:pPr>
            <w:r w:rsidRPr="00353013">
              <w:rPr>
                <w:rFonts w:eastAsiaTheme="majorEastAsia"/>
                <w:color w:val="000000" w:themeColor="text1"/>
              </w:rPr>
              <w:t>Improv</w:t>
            </w:r>
            <w:r w:rsidR="00A8209D">
              <w:rPr>
                <w:rFonts w:eastAsiaTheme="majorEastAsia"/>
                <w:color w:val="000000" w:themeColor="text1"/>
              </w:rPr>
              <w:t>e</w:t>
            </w:r>
            <w:r w:rsidRPr="00353013">
              <w:rPr>
                <w:rFonts w:eastAsiaTheme="majorEastAsia"/>
                <w:color w:val="000000" w:themeColor="text1"/>
              </w:rPr>
              <w:t xml:space="preserve"> the evidence base and approach for factoring in co-benefits into climate policy, planning and investment decisions, including to health, transport accessibility, the environment.</w:t>
            </w:r>
          </w:p>
        </w:tc>
      </w:tr>
    </w:tbl>
    <w:p w14:paraId="16DBB23C" w14:textId="77777777" w:rsidR="00744221" w:rsidRPr="00744221" w:rsidRDefault="00744221" w:rsidP="00744221">
      <w:pPr>
        <w:pStyle w:val="Content"/>
      </w:pPr>
    </w:p>
    <w:tbl>
      <w:tblPr>
        <w:tblStyle w:val="GridTable4-Accent2"/>
        <w:tblW w:w="0" w:type="auto"/>
        <w:shd w:val="clear" w:color="auto" w:fill="C6B1D1"/>
        <w:tblCellMar>
          <w:top w:w="57" w:type="dxa"/>
          <w:bottom w:w="57" w:type="dxa"/>
        </w:tblCellMar>
        <w:tblLook w:val="04A0" w:firstRow="1" w:lastRow="0" w:firstColumn="1" w:lastColumn="0" w:noHBand="0" w:noVBand="1"/>
      </w:tblPr>
      <w:tblGrid>
        <w:gridCol w:w="9016"/>
      </w:tblGrid>
      <w:tr w:rsidR="007359BA" w:rsidRPr="00EA4071" w14:paraId="757652F4" w14:textId="77777777" w:rsidTr="00A73E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9E76B3"/>
          </w:tcPr>
          <w:p w14:paraId="7D97D358" w14:textId="77777777" w:rsidR="007359BA" w:rsidRPr="00BA7CD8" w:rsidRDefault="007359BA" w:rsidP="00A73EBA">
            <w:pPr>
              <w:pStyle w:val="Content"/>
              <w:spacing w:before="0" w:after="0"/>
              <w:jc w:val="center"/>
              <w:rPr>
                <w:bCs w:val="0"/>
                <w:color w:val="000000" w:themeColor="text1"/>
                <w:sz w:val="24"/>
                <w:szCs w:val="24"/>
                <w:lang w:val="en-US"/>
              </w:rPr>
            </w:pPr>
            <w:r>
              <w:rPr>
                <w:bCs w:val="0"/>
                <w:sz w:val="28"/>
                <w:szCs w:val="28"/>
              </w:rPr>
              <w:t>Consultation questions 13</w:t>
            </w:r>
          </w:p>
          <w:p w14:paraId="4493CEEE" w14:textId="10727138" w:rsidR="007359BA" w:rsidRPr="00EA4071" w:rsidRDefault="006E75CE" w:rsidP="00A73EBA">
            <w:pPr>
              <w:pStyle w:val="Content"/>
              <w:spacing w:before="0" w:after="0"/>
              <w:jc w:val="center"/>
              <w:rPr>
                <w:b w:val="0"/>
                <w:sz w:val="28"/>
                <w:szCs w:val="28"/>
              </w:rPr>
            </w:pPr>
            <w:r w:rsidRPr="006E75CE">
              <w:rPr>
                <w:b w:val="0"/>
                <w:sz w:val="28"/>
                <w:szCs w:val="28"/>
                <w:lang w:val="en-US"/>
              </w:rPr>
              <w:t>An equitable, inclusive and well-planned climate transition</w:t>
            </w:r>
          </w:p>
        </w:tc>
      </w:tr>
      <w:tr w:rsidR="007359BA" w:rsidRPr="00EA4071" w14:paraId="19EAC30C" w14:textId="77777777" w:rsidTr="00A73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C6B1D1"/>
          </w:tcPr>
          <w:p w14:paraId="57595A51" w14:textId="6DCADF93" w:rsidR="007359BA" w:rsidRPr="00E5673C" w:rsidRDefault="00A51E4A" w:rsidP="00A73EBA">
            <w:r w:rsidRPr="00B9426C">
              <w:t xml:space="preserve">Do you support the package of recommendations and actions we have proposed to </w:t>
            </w:r>
            <w:r>
              <w:t xml:space="preserve">increase the likelihood of an </w:t>
            </w:r>
            <w:r w:rsidRPr="00B9426C">
              <w:t>equitable, inclusive and well-planned climate transition</w:t>
            </w:r>
            <w:r>
              <w:rPr>
                <w:bCs w:val="0"/>
              </w:rPr>
              <w:t>? Is there anything we should change, and why</w:t>
            </w:r>
            <w:r w:rsidRPr="00E5673C">
              <w:rPr>
                <w:bCs w:val="0"/>
              </w:rPr>
              <w:t>?</w:t>
            </w:r>
          </w:p>
        </w:tc>
      </w:tr>
    </w:tbl>
    <w:p w14:paraId="080DD222" w14:textId="2347E0CD" w:rsidR="00C8460D" w:rsidRDefault="00C8460D" w:rsidP="00313C6F">
      <w:pPr>
        <w:pStyle w:val="Heading1"/>
      </w:pPr>
      <w:bookmarkStart w:id="206" w:name="_Toc62650303"/>
      <w:r>
        <w:lastRenderedPageBreak/>
        <w:t xml:space="preserve">Chapter </w:t>
      </w:r>
      <w:r w:rsidR="00F87AEF">
        <w:t>6</w:t>
      </w:r>
      <w:r>
        <w:t xml:space="preserve">: Direction of policy in the Government’s </w:t>
      </w:r>
      <w:r w:rsidR="00445BA0">
        <w:t>e</w:t>
      </w:r>
      <w:r>
        <w:t xml:space="preserve">missions </w:t>
      </w:r>
      <w:r w:rsidR="00445BA0">
        <w:t>r</w:t>
      </w:r>
      <w:r>
        <w:t xml:space="preserve">eduction </w:t>
      </w:r>
      <w:r w:rsidR="00445BA0">
        <w:t>p</w:t>
      </w:r>
      <w:r>
        <w:t>lan</w:t>
      </w:r>
      <w:bookmarkEnd w:id="159"/>
      <w:bookmarkEnd w:id="206"/>
    </w:p>
    <w:p w14:paraId="17C81EA2" w14:textId="2638D01B" w:rsidR="002520DA" w:rsidRPr="002520DA" w:rsidRDefault="002520DA" w:rsidP="007468A2">
      <w:pPr>
        <w:rPr>
          <w:rFonts w:cstheme="minorHAnsi"/>
        </w:rPr>
      </w:pPr>
      <w:bookmarkStart w:id="207" w:name="_Toc57818206"/>
      <w:r w:rsidRPr="002520DA">
        <w:rPr>
          <w:rFonts w:cstheme="minorHAnsi"/>
        </w:rPr>
        <w:t xml:space="preserve">The Government is required to develop an emissions reduction plan outlining how it will meet the emissions budgets. </w:t>
      </w:r>
      <w:r w:rsidR="00B22E39">
        <w:rPr>
          <w:rFonts w:cstheme="minorHAnsi"/>
        </w:rPr>
        <w:t>This needs to</w:t>
      </w:r>
      <w:r w:rsidRPr="002520DA">
        <w:rPr>
          <w:rFonts w:cstheme="minorHAnsi"/>
        </w:rPr>
        <w:t xml:space="preserve"> consider not only the actions needed to deliver the first emissions budget, but also the actions needed to set Aotearoa up to deliver on subsequent emissions budgets and the 2050 targets. It is important that </w:t>
      </w:r>
      <w:r w:rsidRPr="002520DA">
        <w:t xml:space="preserve">policy directed at reducing emissions also focuses on creating an Aotearoa that is </w:t>
      </w:r>
      <w:r w:rsidRPr="002520DA" w:rsidDel="00E3469F">
        <w:t>thriving</w:t>
      </w:r>
      <w:r w:rsidRPr="002520DA">
        <w:t xml:space="preserve"> and</w:t>
      </w:r>
      <w:r w:rsidRPr="002520DA" w:rsidDel="00E3469F">
        <w:t xml:space="preserve"> climate</w:t>
      </w:r>
      <w:r w:rsidRPr="002520DA">
        <w:t xml:space="preserve"> resilient.</w:t>
      </w:r>
      <w:r w:rsidR="006F5632">
        <w:t xml:space="preserve"> This chapter presents our advice on the policy direction needed in the </w:t>
      </w:r>
      <w:r w:rsidR="00E14FA2">
        <w:t>e</w:t>
      </w:r>
      <w:r w:rsidR="006F5632">
        <w:t>missions reduction plan</w:t>
      </w:r>
      <w:r w:rsidR="009870B6">
        <w:t>.</w:t>
      </w:r>
    </w:p>
    <w:p w14:paraId="412EC515" w14:textId="77777777" w:rsidR="002520DA" w:rsidRPr="002520DA" w:rsidRDefault="002520DA" w:rsidP="007468A2">
      <w:pPr>
        <w:rPr>
          <w:rFonts w:cstheme="minorHAnsi"/>
        </w:rPr>
      </w:pPr>
      <w:r w:rsidRPr="002520DA">
        <w:rPr>
          <w:rFonts w:cstheme="minorHAnsi"/>
        </w:rPr>
        <w:t xml:space="preserve">As the Government develops its approach it needs to make the scale of action required to meet emissions budgets clear, and signal policy changes well in advance to give some predictability about the speed and direction of travel. </w:t>
      </w:r>
    </w:p>
    <w:p w14:paraId="3A4BA05A" w14:textId="77777777" w:rsidR="002520DA" w:rsidRPr="002520DA" w:rsidRDefault="002520DA" w:rsidP="007468A2">
      <w:pPr>
        <w:rPr>
          <w:rFonts w:cstheme="minorHAnsi"/>
        </w:rPr>
      </w:pPr>
      <w:r w:rsidRPr="002520DA">
        <w:rPr>
          <w:rFonts w:cstheme="minorHAnsi"/>
        </w:rPr>
        <w:t xml:space="preserve">In preparing our advice on policy direction, we have taken a long-term perspective. We have considered how policies could support </w:t>
      </w:r>
      <w:proofErr w:type="spellStart"/>
      <w:r w:rsidRPr="002520DA">
        <w:rPr>
          <w:rFonts w:cstheme="minorHAnsi"/>
        </w:rPr>
        <w:t>kotahitanga</w:t>
      </w:r>
      <w:proofErr w:type="spellEnd"/>
      <w:r w:rsidRPr="002520DA">
        <w:rPr>
          <w:rFonts w:cstheme="minorHAnsi"/>
        </w:rPr>
        <w:t xml:space="preserve">, </w:t>
      </w:r>
      <w:proofErr w:type="spellStart"/>
      <w:r w:rsidRPr="002520DA">
        <w:rPr>
          <w:rFonts w:cstheme="minorHAnsi"/>
        </w:rPr>
        <w:t>manaakitanga</w:t>
      </w:r>
      <w:proofErr w:type="spellEnd"/>
      <w:r w:rsidRPr="002520DA">
        <w:rPr>
          <w:rFonts w:cstheme="minorHAnsi"/>
        </w:rPr>
        <w:t xml:space="preserve">, tikanga and whanaungatanga. As the Government develops its plan to reduce emissions, it also needs to consider how actions will align with these values. Partnership with iwi/Māori at every stage of the policy development process will be critical to support this. </w:t>
      </w:r>
    </w:p>
    <w:p w14:paraId="025381DA" w14:textId="77777777" w:rsidR="002520DA" w:rsidRPr="002520DA" w:rsidRDefault="002520DA" w:rsidP="007468A2">
      <w:pPr>
        <w:rPr>
          <w:rFonts w:cstheme="minorHAnsi"/>
        </w:rPr>
      </w:pPr>
      <w:r w:rsidRPr="002520DA">
        <w:rPr>
          <w:rFonts w:cstheme="minorHAnsi"/>
        </w:rPr>
        <w:t>A comprehensive and mutually reinforcing package of policies will be needed to achieve the deep emissions reductions required. Such a package should include three different types of intervention to enable change:</w:t>
      </w:r>
    </w:p>
    <w:p w14:paraId="58A943E9" w14:textId="77777777" w:rsidR="002520DA" w:rsidRPr="002520DA" w:rsidRDefault="002520DA" w:rsidP="00655722">
      <w:pPr>
        <w:pStyle w:val="ListParagraph"/>
        <w:numPr>
          <w:ilvl w:val="0"/>
          <w:numId w:val="38"/>
        </w:numPr>
        <w:rPr>
          <w:rFonts w:eastAsia="Times New Roman"/>
          <w:lang w:eastAsia="en-NZ"/>
        </w:rPr>
      </w:pPr>
      <w:r w:rsidRPr="002520DA">
        <w:rPr>
          <w:rFonts w:eastAsia="Times New Roman"/>
          <w:lang w:eastAsia="en-NZ"/>
        </w:rPr>
        <w:t xml:space="preserve">Emissions pricing and other market incentives to influence choices. </w:t>
      </w:r>
    </w:p>
    <w:p w14:paraId="709F38EE" w14:textId="77777777" w:rsidR="002520DA" w:rsidRPr="002520DA" w:rsidRDefault="002520DA" w:rsidP="00655722">
      <w:pPr>
        <w:pStyle w:val="ListParagraph"/>
        <w:numPr>
          <w:ilvl w:val="0"/>
          <w:numId w:val="38"/>
        </w:numPr>
        <w:rPr>
          <w:rFonts w:eastAsia="Times New Roman"/>
          <w:lang w:eastAsia="en-NZ"/>
        </w:rPr>
      </w:pPr>
      <w:r w:rsidRPr="002520DA">
        <w:rPr>
          <w:rFonts w:eastAsia="Times New Roman"/>
          <w:lang w:eastAsia="en-NZ"/>
        </w:rPr>
        <w:t>Regulation, education and other action to address barriers.</w:t>
      </w:r>
    </w:p>
    <w:p w14:paraId="2757F9E6" w14:textId="77777777" w:rsidR="002520DA" w:rsidRPr="002520DA" w:rsidRDefault="002520DA" w:rsidP="00655722">
      <w:pPr>
        <w:pStyle w:val="ListParagraph"/>
        <w:numPr>
          <w:ilvl w:val="0"/>
          <w:numId w:val="38"/>
        </w:numPr>
        <w:rPr>
          <w:rFonts w:eastAsia="Times New Roman"/>
          <w:lang w:eastAsia="en-NZ"/>
        </w:rPr>
      </w:pPr>
      <w:r w:rsidRPr="002520DA">
        <w:rPr>
          <w:rFonts w:eastAsia="Times New Roman"/>
          <w:lang w:eastAsia="en-NZ"/>
        </w:rPr>
        <w:t>Investments in technology, infrastructure to spur innovation and system transformation.</w:t>
      </w:r>
    </w:p>
    <w:p w14:paraId="751AB4B5" w14:textId="73C3AD65" w:rsidR="002520DA" w:rsidRPr="002520DA" w:rsidRDefault="00532E08" w:rsidP="007468A2">
      <w:pPr>
        <w:rPr>
          <w:rFonts w:eastAsia="Times New Roman"/>
          <w:lang w:eastAsia="en-NZ"/>
        </w:rPr>
      </w:pPr>
      <w:r>
        <w:rPr>
          <w:rFonts w:eastAsia="Times New Roman" w:cstheme="minorHAnsi"/>
          <w:lang w:eastAsia="en-NZ"/>
        </w:rPr>
        <w:t>Figure 6.1</w:t>
      </w:r>
      <w:r w:rsidR="002520DA" w:rsidRPr="002520DA">
        <w:rPr>
          <w:rFonts w:eastAsia="Times New Roman" w:cstheme="minorHAnsi"/>
          <w:lang w:eastAsia="en-NZ"/>
        </w:rPr>
        <w:t xml:space="preserve"> summarises the </w:t>
      </w:r>
      <w:r w:rsidR="002520DA" w:rsidRPr="002520DA" w:rsidDel="00A22949">
        <w:rPr>
          <w:rFonts w:eastAsia="Times New Roman"/>
          <w:lang w:eastAsia="en-NZ"/>
        </w:rPr>
        <w:t>over</w:t>
      </w:r>
      <w:r w:rsidR="002520DA" w:rsidRPr="002520DA">
        <w:rPr>
          <w:rFonts w:eastAsia="Times New Roman"/>
          <w:lang w:eastAsia="en-NZ"/>
        </w:rPr>
        <w:t xml:space="preserve">arching approach we have used to develop our advice on the policy direction needed. </w:t>
      </w:r>
    </w:p>
    <w:p w14:paraId="1C9380E3" w14:textId="77777777" w:rsidR="002520DA" w:rsidRPr="002520DA" w:rsidRDefault="28AF610F" w:rsidP="002520DA">
      <w:pPr>
        <w:spacing w:line="256" w:lineRule="auto"/>
        <w:jc w:val="center"/>
        <w:rPr>
          <w:rFonts w:eastAsia="Times New Roman"/>
          <w:bCs/>
          <w:lang w:eastAsia="en-NZ"/>
        </w:rPr>
      </w:pPr>
      <w:r>
        <w:rPr>
          <w:noProof/>
        </w:rPr>
        <w:lastRenderedPageBreak/>
        <w:drawing>
          <wp:inline distT="0" distB="0" distL="0" distR="0" wp14:anchorId="5CF66297" wp14:editId="25192ED7">
            <wp:extent cx="4676776" cy="436874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76776" cy="4368746"/>
                    </a:xfrm>
                    <a:prstGeom prst="rect">
                      <a:avLst/>
                    </a:prstGeom>
                  </pic:spPr>
                </pic:pic>
              </a:graphicData>
            </a:graphic>
          </wp:inline>
        </w:drawing>
      </w:r>
    </w:p>
    <w:p w14:paraId="61C44520" w14:textId="34DFEAE3" w:rsidR="002520DA" w:rsidRPr="00C670B8" w:rsidRDefault="002520DA" w:rsidP="00C670B8">
      <w:pPr>
        <w:pStyle w:val="Caption"/>
        <w:rPr>
          <w:rFonts w:cstheme="minorHAnsi"/>
        </w:rPr>
      </w:pPr>
      <w:bookmarkStart w:id="208" w:name="_Ref56576786"/>
      <w:r w:rsidRPr="00C670B8">
        <w:t xml:space="preserve">Figure </w:t>
      </w:r>
      <w:bookmarkEnd w:id="208"/>
      <w:r w:rsidR="00532E08" w:rsidRPr="00C670B8">
        <w:t>6.1</w:t>
      </w:r>
      <w:r w:rsidR="001D339D" w:rsidRPr="00C670B8">
        <w:t>:</w:t>
      </w:r>
      <w:r w:rsidRPr="00C670B8">
        <w:rPr>
          <w:rFonts w:cstheme="minorHAnsi"/>
        </w:rPr>
        <w:t xml:space="preserve"> Elements of a comprehensive climate policy package.</w:t>
      </w:r>
    </w:p>
    <w:p w14:paraId="419CD376" w14:textId="77777777" w:rsidR="002520DA" w:rsidRPr="002520DA" w:rsidRDefault="002520DA" w:rsidP="002520DA">
      <w:pPr>
        <w:rPr>
          <w:bCs/>
        </w:rPr>
      </w:pPr>
      <w:r w:rsidRPr="002520DA">
        <w:rPr>
          <w:rFonts w:ascii="Calibri" w:eastAsia="Times New Roman" w:hAnsi="Calibri" w:cs="Calibri"/>
        </w:rPr>
        <w:t xml:space="preserve">Our advice is focused on </w:t>
      </w:r>
      <w:r w:rsidRPr="002520DA">
        <w:rPr>
          <w:rFonts w:cstheme="minorHAnsi"/>
          <w:bCs/>
        </w:rPr>
        <w:t>identifying the goals and key interventions that policies need to deliver.</w:t>
      </w:r>
      <w:r w:rsidRPr="002520DA" w:rsidDel="00EE4E51">
        <w:rPr>
          <w:rFonts w:cstheme="minorHAnsi"/>
          <w:bCs/>
        </w:rPr>
        <w:t xml:space="preserve"> </w:t>
      </w:r>
    </w:p>
    <w:p w14:paraId="386932DB" w14:textId="77777777" w:rsidR="002520DA" w:rsidRPr="002520DA" w:rsidRDefault="002520DA" w:rsidP="002520DA">
      <w:pPr>
        <w:rPr>
          <w:bCs/>
        </w:rPr>
      </w:pPr>
      <w:r w:rsidRPr="002520DA">
        <w:rPr>
          <w:bCs/>
        </w:rPr>
        <w:t>This advice is presented in line with the factors the Minister must consider when preparing the emissions reduction plan:</w:t>
      </w:r>
    </w:p>
    <w:p w14:paraId="36D0BEFF" w14:textId="3816D3AE" w:rsidR="002520DA" w:rsidRPr="002520DA" w:rsidRDefault="006B152A" w:rsidP="00655722">
      <w:pPr>
        <w:numPr>
          <w:ilvl w:val="0"/>
          <w:numId w:val="30"/>
        </w:numPr>
        <w:spacing w:before="0" w:after="160"/>
        <w:contextualSpacing/>
        <w:rPr>
          <w:bCs/>
        </w:rPr>
      </w:pPr>
      <w:r>
        <w:rPr>
          <w:bCs/>
        </w:rPr>
        <w:t>s</w:t>
      </w:r>
      <w:r w:rsidR="002520DA" w:rsidRPr="002520DA">
        <w:rPr>
          <w:bCs/>
        </w:rPr>
        <w:t>ector specific policies</w:t>
      </w:r>
    </w:p>
    <w:p w14:paraId="7634BAA6" w14:textId="29DDBF63" w:rsidR="002520DA" w:rsidRPr="002520DA" w:rsidRDefault="006B152A" w:rsidP="00655722">
      <w:pPr>
        <w:numPr>
          <w:ilvl w:val="0"/>
          <w:numId w:val="30"/>
        </w:numPr>
        <w:spacing w:before="0" w:after="160"/>
        <w:contextualSpacing/>
        <w:rPr>
          <w:bCs/>
        </w:rPr>
      </w:pPr>
      <w:r>
        <w:rPr>
          <w:bCs/>
        </w:rPr>
        <w:t>a</w:t>
      </w:r>
      <w:r w:rsidR="002520DA" w:rsidRPr="002520DA">
        <w:rPr>
          <w:bCs/>
        </w:rPr>
        <w:t xml:space="preserve"> multisector strategy</w:t>
      </w:r>
    </w:p>
    <w:p w14:paraId="5FE969F7" w14:textId="1775A914" w:rsidR="002520DA" w:rsidRPr="002520DA" w:rsidRDefault="000A6651" w:rsidP="00655722">
      <w:pPr>
        <w:numPr>
          <w:ilvl w:val="0"/>
          <w:numId w:val="30"/>
        </w:numPr>
        <w:spacing w:before="0" w:after="160"/>
        <w:contextualSpacing/>
        <w:rPr>
          <w:bCs/>
        </w:rPr>
      </w:pPr>
      <w:bookmarkStart w:id="209" w:name="_Toc57218487"/>
      <w:r>
        <w:rPr>
          <w:bCs/>
        </w:rPr>
        <w:t>a</w:t>
      </w:r>
      <w:r w:rsidR="00056A8C" w:rsidRPr="002520DA">
        <w:rPr>
          <w:bCs/>
        </w:rPr>
        <w:t xml:space="preserve"> strategy to mitigate the impacts of policies</w:t>
      </w:r>
      <w:r>
        <w:rPr>
          <w:bCs/>
        </w:rPr>
        <w:t xml:space="preserve"> – </w:t>
      </w:r>
      <w:r w:rsidR="00E55253">
        <w:rPr>
          <w:bCs/>
        </w:rPr>
        <w:t>our advice on this is covered in chapter 5</w:t>
      </w:r>
      <w:r w:rsidR="00056A8C" w:rsidRPr="002520DA">
        <w:rPr>
          <w:bCs/>
        </w:rPr>
        <w:t>.</w:t>
      </w:r>
    </w:p>
    <w:p w14:paraId="5D09D35D" w14:textId="03E0C917" w:rsidR="002520DA" w:rsidRPr="006D7E85" w:rsidRDefault="00CB24D5" w:rsidP="00313C6F">
      <w:pPr>
        <w:pStyle w:val="Heading2"/>
      </w:pPr>
      <w:bookmarkStart w:id="210" w:name="_Toc62650304"/>
      <w:r>
        <w:t xml:space="preserve">6.1 </w:t>
      </w:r>
      <w:r w:rsidR="002520DA" w:rsidRPr="002520DA">
        <w:t xml:space="preserve">Sector </w:t>
      </w:r>
      <w:r w:rsidR="002520DA" w:rsidRPr="006D7E85">
        <w:t>specific policies</w:t>
      </w:r>
      <w:bookmarkEnd w:id="210"/>
      <w:r w:rsidR="002520DA" w:rsidRPr="006D7E85">
        <w:t xml:space="preserve"> </w:t>
      </w:r>
      <w:bookmarkEnd w:id="209"/>
    </w:p>
    <w:p w14:paraId="5CFE6E13" w14:textId="310AABA8" w:rsidR="002520DA" w:rsidRPr="006D7E85" w:rsidRDefault="00CB24D5" w:rsidP="00313C6F">
      <w:pPr>
        <w:pStyle w:val="Heading3"/>
      </w:pPr>
      <w:bookmarkStart w:id="211" w:name="_Toc62649364"/>
      <w:bookmarkStart w:id="212" w:name="_Toc62650305"/>
      <w:r>
        <w:t xml:space="preserve">6.1.1 </w:t>
      </w:r>
      <w:r w:rsidR="002520DA" w:rsidRPr="002520DA">
        <w:t>Transport</w:t>
      </w:r>
      <w:bookmarkEnd w:id="211"/>
      <w:bookmarkEnd w:id="212"/>
    </w:p>
    <w:p w14:paraId="27D1C032" w14:textId="7B26B941" w:rsidR="002520DA" w:rsidRPr="006D7E85" w:rsidRDefault="00907013" w:rsidP="00313C6F">
      <w:pPr>
        <w:pStyle w:val="Heading4"/>
      </w:pPr>
      <w:r>
        <w:t xml:space="preserve">Enhance </w:t>
      </w:r>
      <w:r w:rsidR="00D166E3">
        <w:t>national transport network</w:t>
      </w:r>
      <w:r w:rsidR="009B021C">
        <w:t xml:space="preserve"> integration</w:t>
      </w:r>
      <w:r w:rsidR="00D166E3">
        <w:t xml:space="preserve"> to i</w:t>
      </w:r>
      <w:r w:rsidR="002520DA" w:rsidRPr="00313C6F">
        <w:t xml:space="preserve">ncrease walking, </w:t>
      </w:r>
      <w:r w:rsidR="002520DA" w:rsidRPr="006D7E85">
        <w:t>cycling, low emissions public and shared transport, and encourage less travel by private car</w:t>
      </w:r>
    </w:p>
    <w:p w14:paraId="34C70A38" w14:textId="5C325431" w:rsidR="002520DA" w:rsidRPr="002520DA" w:rsidRDefault="002520DA" w:rsidP="00D3232E">
      <w:pPr>
        <w:rPr>
          <w:shd w:val="clear" w:color="auto" w:fill="FFFFFF"/>
        </w:rPr>
      </w:pPr>
      <w:r w:rsidRPr="002520DA">
        <w:rPr>
          <w:shd w:val="clear" w:color="auto" w:fill="FFFFFF"/>
        </w:rPr>
        <w:t xml:space="preserve">Aotearoa currently has high rates of vehicle ownership and high rates of travel per person. Increasing the use of </w:t>
      </w:r>
      <w:r w:rsidRPr="002520DA">
        <w:rPr>
          <w:shd w:val="clear" w:color="auto" w:fill="FFFFFF"/>
          <w:lang w:val="en-US"/>
        </w:rPr>
        <w:t>low emissions</w:t>
      </w:r>
      <w:r w:rsidRPr="002520DA">
        <w:rPr>
          <w:shd w:val="clear" w:color="auto" w:fill="FFFFFF"/>
        </w:rPr>
        <w:t xml:space="preserve"> public transport, shared transport, and </w:t>
      </w:r>
      <w:r w:rsidR="001558FC">
        <w:rPr>
          <w:shd w:val="clear" w:color="auto" w:fill="FFFFFF"/>
        </w:rPr>
        <w:t>encouraging</w:t>
      </w:r>
      <w:r w:rsidRPr="002520DA">
        <w:rPr>
          <w:shd w:val="clear" w:color="auto" w:fill="FFFFFF"/>
        </w:rPr>
        <w:t xml:space="preserve"> walking and cycling</w:t>
      </w:r>
      <w:r w:rsidRPr="002520DA" w:rsidDel="00453A42">
        <w:rPr>
          <w:shd w:val="clear" w:color="auto" w:fill="FFFFFF"/>
        </w:rPr>
        <w:t xml:space="preserve"> </w:t>
      </w:r>
      <w:r w:rsidRPr="002520DA">
        <w:rPr>
          <w:shd w:val="clear" w:color="auto" w:fill="FFFFFF"/>
        </w:rPr>
        <w:t xml:space="preserve">would reduce kilometres travelled by light vehicles. </w:t>
      </w:r>
    </w:p>
    <w:p w14:paraId="5CF6946B" w14:textId="7A519010" w:rsidR="00C2738A" w:rsidRDefault="002520DA" w:rsidP="00D3232E">
      <w:pPr>
        <w:rPr>
          <w:shd w:val="clear" w:color="auto" w:fill="FFFFFF"/>
        </w:rPr>
      </w:pPr>
      <w:r w:rsidRPr="002520DA">
        <w:rPr>
          <w:shd w:val="clear" w:color="auto" w:fill="FFFFFF"/>
        </w:rPr>
        <w:t xml:space="preserve">This requires communities around the country to have access to safe, convenient, </w:t>
      </w:r>
      <w:r w:rsidR="005757C2">
        <w:rPr>
          <w:shd w:val="clear" w:color="auto" w:fill="FFFFFF"/>
        </w:rPr>
        <w:t xml:space="preserve">well-integrated, </w:t>
      </w:r>
      <w:r w:rsidRPr="002520DA">
        <w:rPr>
          <w:shd w:val="clear" w:color="auto" w:fill="FFFFFF"/>
        </w:rPr>
        <w:t>affordable and accessible public or shared transport</w:t>
      </w:r>
      <w:r w:rsidR="009B021C">
        <w:rPr>
          <w:shd w:val="clear" w:color="auto" w:fill="FFFFFF"/>
        </w:rPr>
        <w:t xml:space="preserve"> (including national public transport like trains and coaches)</w:t>
      </w:r>
      <w:r w:rsidRPr="002520DA">
        <w:rPr>
          <w:shd w:val="clear" w:color="auto" w:fill="FFFFFF"/>
        </w:rPr>
        <w:t xml:space="preserve">, and extensive, high quality cycling and walking infrastructure. </w:t>
      </w:r>
    </w:p>
    <w:p w14:paraId="22EBA73C" w14:textId="64DE1220" w:rsidR="002520DA" w:rsidRPr="002520DA" w:rsidRDefault="002520DA" w:rsidP="00D3232E">
      <w:r w:rsidRPr="002520DA">
        <w:rPr>
          <w:shd w:val="clear" w:color="auto" w:fill="FFFFFF"/>
        </w:rPr>
        <w:lastRenderedPageBreak/>
        <w:t xml:space="preserve">Transport options that connect communities and make it easy for people to get where they need to go will be important. </w:t>
      </w:r>
      <w:r w:rsidRPr="002520DA">
        <w:t>End-to-end integrated transport planning</w:t>
      </w:r>
      <w:r w:rsidR="003F5900">
        <w:t xml:space="preserve"> is </w:t>
      </w:r>
      <w:r w:rsidR="00C2738A">
        <w:t>vital</w:t>
      </w:r>
      <w:r w:rsidR="00146E71">
        <w:t xml:space="preserve"> to make the system </w:t>
      </w:r>
      <w:r w:rsidR="00C55A35">
        <w:t xml:space="preserve">accessible </w:t>
      </w:r>
      <w:r w:rsidR="00142F6A">
        <w:t xml:space="preserve">and facilitate the scale of </w:t>
      </w:r>
      <w:r w:rsidR="009116B8">
        <w:t>mobility shift required</w:t>
      </w:r>
      <w:r w:rsidR="00C55A35">
        <w:t>.</w:t>
      </w:r>
      <w:r w:rsidR="00C55A35" w:rsidDel="003C7495">
        <w:t xml:space="preserve"> </w:t>
      </w:r>
      <w:r w:rsidR="00C55A35">
        <w:t>This includes</w:t>
      </w:r>
      <w:r w:rsidRPr="002520DA" w:rsidDel="00B24A44">
        <w:t xml:space="preserve"> “first and last kilometre” solutions, </w:t>
      </w:r>
      <w:r w:rsidR="00245D7B">
        <w:t xml:space="preserve">operations that are coordinated so services function </w:t>
      </w:r>
      <w:r w:rsidR="00E667DD">
        <w:t xml:space="preserve">well </w:t>
      </w:r>
      <w:r w:rsidR="00245D7B">
        <w:t xml:space="preserve">together, </w:t>
      </w:r>
      <w:r w:rsidR="00935394">
        <w:t>convenient</w:t>
      </w:r>
      <w:r w:rsidR="00527FA4">
        <w:t xml:space="preserve"> payment and booking options</w:t>
      </w:r>
      <w:r w:rsidR="00C0097B">
        <w:t xml:space="preserve">, secure </w:t>
      </w:r>
      <w:r w:rsidRPr="002520DA">
        <w:t>car parking near public transport, and mobility as a service</w:t>
      </w:r>
      <w:r w:rsidR="00AF3546">
        <w:t>.</w:t>
      </w:r>
      <w:r w:rsidRPr="002520DA" w:rsidDel="00AF3546">
        <w:t xml:space="preserve"> </w:t>
      </w:r>
    </w:p>
    <w:p w14:paraId="6E0206C6" w14:textId="366A3EAD" w:rsidR="002520DA" w:rsidRPr="002520DA" w:rsidRDefault="002520DA" w:rsidP="00D3232E">
      <w:r w:rsidRPr="002520DA">
        <w:t xml:space="preserve">Decades of underinvestment in infrastructure and services for public transport, walking and cycling have often made these travel choices slower, less reliable and ultimately less attractive than travelling by private vehicle. </w:t>
      </w:r>
      <w:r w:rsidRPr="002520DA">
        <w:rPr>
          <w:rFonts w:eastAsia="Times New Roman"/>
          <w:lang w:val="en-US" w:eastAsia="en-NZ"/>
        </w:rPr>
        <w:t>Transport planning and funding is largely centered around private vehicle use. Of the approximately $4 billion spent on land transport</w:t>
      </w:r>
      <w:r w:rsidRPr="002520DA" w:rsidDel="00FF4DF5">
        <w:rPr>
          <w:rFonts w:eastAsia="Times New Roman"/>
          <w:lang w:val="en-US" w:eastAsia="en-NZ"/>
        </w:rPr>
        <w:t xml:space="preserve"> </w:t>
      </w:r>
      <w:r w:rsidRPr="002520DA">
        <w:rPr>
          <w:rFonts w:eastAsia="Times New Roman"/>
          <w:lang w:val="en-US" w:eastAsia="en-NZ"/>
        </w:rPr>
        <w:t xml:space="preserve">in 2017, only around $600 million </w:t>
      </w:r>
      <w:r w:rsidR="00C35B56">
        <w:rPr>
          <w:rFonts w:eastAsia="Times New Roman"/>
          <w:lang w:val="en-US" w:eastAsia="en-NZ"/>
        </w:rPr>
        <w:t xml:space="preserve">was </w:t>
      </w:r>
      <w:r w:rsidRPr="002520DA">
        <w:rPr>
          <w:rFonts w:eastAsia="Times New Roman"/>
          <w:lang w:val="en-US" w:eastAsia="en-NZ"/>
        </w:rPr>
        <w:t>spent on public transport and less than $100 million on walking and cycling. This may improve</w:t>
      </w:r>
      <w:r w:rsidR="00743443">
        <w:rPr>
          <w:rFonts w:eastAsia="Times New Roman"/>
          <w:lang w:val="en-US" w:eastAsia="en-NZ"/>
        </w:rPr>
        <w:t xml:space="preserve"> based on the strategic direction set out for transport in</w:t>
      </w:r>
      <w:r w:rsidRPr="002520DA">
        <w:rPr>
          <w:rFonts w:eastAsia="Times New Roman"/>
          <w:lang w:val="en-US" w:eastAsia="en-NZ"/>
        </w:rPr>
        <w:t xml:space="preserve"> the new Government Policy Statement on Land Transport 2021</w:t>
      </w:r>
      <w:r w:rsidR="00474CC1">
        <w:rPr>
          <w:rFonts w:eastAsia="Times New Roman"/>
          <w:lang w:val="en-US" w:eastAsia="en-NZ"/>
        </w:rPr>
        <w:t xml:space="preserve"> but </w:t>
      </w:r>
      <w:r w:rsidR="00B8131F">
        <w:rPr>
          <w:rFonts w:eastAsia="Times New Roman"/>
          <w:lang w:val="en-US" w:eastAsia="en-NZ"/>
        </w:rPr>
        <w:t xml:space="preserve">there should be </w:t>
      </w:r>
      <w:r w:rsidR="00A70A8F">
        <w:rPr>
          <w:rFonts w:eastAsia="Times New Roman"/>
          <w:lang w:val="en-US" w:eastAsia="en-NZ"/>
        </w:rPr>
        <w:t>a large increase funding</w:t>
      </w:r>
      <w:r w:rsidR="00B32ABD">
        <w:rPr>
          <w:rFonts w:eastAsia="Times New Roman"/>
          <w:lang w:val="en-US" w:eastAsia="en-NZ"/>
        </w:rPr>
        <w:t xml:space="preserve"> spent on </w:t>
      </w:r>
      <w:r w:rsidR="004935AB">
        <w:rPr>
          <w:rFonts w:eastAsia="Times New Roman"/>
          <w:lang w:val="en-US" w:eastAsia="en-NZ"/>
        </w:rPr>
        <w:t>public and active mobility</w:t>
      </w:r>
      <w:r w:rsidR="00E549BA">
        <w:rPr>
          <w:rFonts w:eastAsia="Times New Roman"/>
          <w:lang w:val="en-US" w:eastAsia="en-NZ"/>
        </w:rPr>
        <w:t xml:space="preserve">, </w:t>
      </w:r>
      <w:r w:rsidR="009335BE">
        <w:rPr>
          <w:rFonts w:eastAsia="Times New Roman"/>
          <w:lang w:val="en-US" w:eastAsia="en-NZ"/>
        </w:rPr>
        <w:t>including for the national public transport network.</w:t>
      </w:r>
    </w:p>
    <w:p w14:paraId="5ECAD64F" w14:textId="1B44E345" w:rsidR="002520DA" w:rsidRPr="002520DA" w:rsidRDefault="002520DA" w:rsidP="00D3232E">
      <w:r w:rsidRPr="002520DA" w:rsidDel="00504213">
        <w:t xml:space="preserve">One of </w:t>
      </w:r>
      <w:r w:rsidRPr="002520DA">
        <w:t xml:space="preserve">the main ways </w:t>
      </w:r>
      <w:r w:rsidRPr="002520DA">
        <w:rPr>
          <w:rFonts w:eastAsia="Times New Roman"/>
          <w:lang w:val="en-US" w:eastAsia="en-NZ"/>
        </w:rPr>
        <w:t>to</w:t>
      </w:r>
      <w:r w:rsidRPr="002520DA">
        <w:t xml:space="preserve"> </w:t>
      </w:r>
      <w:r w:rsidR="00053C25">
        <w:t>decrease reliance on driving</w:t>
      </w:r>
      <w:r w:rsidRPr="002520DA">
        <w:t xml:space="preserve"> is by designing compact communities with the necessary infrastructure to enable easy access to alternative </w:t>
      </w:r>
      <w:r w:rsidR="00E62C00">
        <w:t>typ</w:t>
      </w:r>
      <w:r w:rsidRPr="002520DA">
        <w:t xml:space="preserve">es of transport. Ensuring this happens at the planning stage is more effective than retrofitting transport needs. </w:t>
      </w:r>
    </w:p>
    <w:p w14:paraId="0DC41CD4" w14:textId="2DF78F80" w:rsidR="001C2C61" w:rsidDel="00F431D1" w:rsidRDefault="002520DA" w:rsidP="00D3232E">
      <w:r w:rsidRPr="002520DA">
        <w:t>There are significant co-benefits from increasing alternative types of transport. In particular, walking and cycling benefit health, and removing cars from the road improves air quality. These benefits are increased if clean public transport, such as electric buses are used.</w:t>
      </w:r>
    </w:p>
    <w:p w14:paraId="742E104A" w14:textId="77777777" w:rsidR="00D3232E" w:rsidRPr="002520DA" w:rsidRDefault="00D3232E" w:rsidP="00D3232E"/>
    <w:tbl>
      <w:tblPr>
        <w:tblStyle w:val="GridTable4-Accent5"/>
        <w:tblW w:w="0" w:type="auto"/>
        <w:tblCellMar>
          <w:top w:w="57" w:type="dxa"/>
          <w:bottom w:w="57" w:type="dxa"/>
        </w:tblCellMar>
        <w:tblLook w:val="04A0" w:firstRow="1" w:lastRow="0" w:firstColumn="1" w:lastColumn="0" w:noHBand="0" w:noVBand="1"/>
      </w:tblPr>
      <w:tblGrid>
        <w:gridCol w:w="9016"/>
      </w:tblGrid>
      <w:tr w:rsidR="00D16223" w:rsidRPr="00B052DC" w14:paraId="40FBD09A" w14:textId="77777777" w:rsidTr="00814ED0">
        <w:trPr>
          <w:cnfStyle w:val="100000000000" w:firstRow="1" w:lastRow="0" w:firstColumn="0" w:lastColumn="0" w:oddVBand="0" w:evenVBand="0" w:oddHBand="0"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9016" w:type="dxa"/>
          </w:tcPr>
          <w:p w14:paraId="5A29EECC" w14:textId="5F582D32" w:rsidR="00D16223" w:rsidRDefault="00D16223" w:rsidP="00AF656F">
            <w:pPr>
              <w:spacing w:before="0" w:after="0"/>
              <w:jc w:val="center"/>
              <w:rPr>
                <w:b w:val="0"/>
                <w:bCs w:val="0"/>
                <w:sz w:val="28"/>
                <w:szCs w:val="28"/>
              </w:rPr>
            </w:pPr>
            <w:r w:rsidRPr="003F340F">
              <w:rPr>
                <w:sz w:val="28"/>
                <w:szCs w:val="28"/>
              </w:rPr>
              <w:t>Necessary action</w:t>
            </w:r>
            <w:r w:rsidR="003B15E6">
              <w:rPr>
                <w:sz w:val="28"/>
                <w:szCs w:val="28"/>
              </w:rPr>
              <w:t xml:space="preserve"> 2</w:t>
            </w:r>
          </w:p>
          <w:p w14:paraId="15BAF954" w14:textId="443AE8AC" w:rsidR="00D16223" w:rsidRPr="00B052DC" w:rsidRDefault="00D16223" w:rsidP="00AF656F">
            <w:pPr>
              <w:spacing w:before="0" w:after="0"/>
              <w:jc w:val="center"/>
              <w:rPr>
                <w:b w:val="0"/>
                <w:bCs w:val="0"/>
                <w:sz w:val="26"/>
                <w:szCs w:val="26"/>
              </w:rPr>
            </w:pPr>
            <w:r>
              <w:rPr>
                <w:b w:val="0"/>
                <w:bCs w:val="0"/>
                <w:sz w:val="26"/>
                <w:szCs w:val="26"/>
              </w:rPr>
              <w:t>Develop an integrated national transport network to reduce travel by private vehicles and i</w:t>
            </w:r>
            <w:r w:rsidRPr="00B052DC">
              <w:rPr>
                <w:b w:val="0"/>
                <w:bCs w:val="0"/>
                <w:sz w:val="26"/>
                <w:szCs w:val="26"/>
              </w:rPr>
              <w:t>ncrease walking, cycling, low emissions public and shared transport</w:t>
            </w:r>
          </w:p>
        </w:tc>
      </w:tr>
      <w:tr w:rsidR="00D16223" w:rsidRPr="002520DA" w14:paraId="72EAF72B" w14:textId="77777777" w:rsidTr="00814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77E698E" w14:textId="77777777" w:rsidR="00D16223" w:rsidRPr="002520DA" w:rsidRDefault="00D16223" w:rsidP="00814ED0">
            <w:pPr>
              <w:spacing w:before="120"/>
            </w:pPr>
            <w:r w:rsidRPr="002520DA">
              <w:t>We recommend that, in the first budget period the Government progress the following steps to meet emissions budgets:</w:t>
            </w:r>
          </w:p>
          <w:p w14:paraId="67A43C9B" w14:textId="22DDA41D" w:rsidR="00D16223" w:rsidRPr="002520DA" w:rsidRDefault="00D16223" w:rsidP="00655722">
            <w:pPr>
              <w:numPr>
                <w:ilvl w:val="0"/>
                <w:numId w:val="54"/>
              </w:numPr>
            </w:pPr>
            <w:r>
              <w:t xml:space="preserve">Deliver specific and timebound targets to increase low emissions </w:t>
            </w:r>
            <w:r w:rsidRPr="002520DA">
              <w:t>public and shared transport and walking and cycling</w:t>
            </w:r>
            <w:r>
              <w:t>, and supporting</w:t>
            </w:r>
            <w:r w:rsidRPr="002520DA">
              <w:t xml:space="preserve"> infrastructure </w:t>
            </w:r>
            <w:r>
              <w:t>through s</w:t>
            </w:r>
            <w:r w:rsidRPr="002520DA">
              <w:t>trengthen</w:t>
            </w:r>
            <w:r>
              <w:t>ing</w:t>
            </w:r>
            <w:r w:rsidRPr="002520DA">
              <w:t xml:space="preserve"> the direction of the Government Policy Statement on Land Transport</w:t>
            </w:r>
            <w:r>
              <w:t>.</w:t>
            </w:r>
          </w:p>
          <w:p w14:paraId="22B60637" w14:textId="77777777" w:rsidR="00D16223" w:rsidRPr="002520DA" w:rsidRDefault="00D16223" w:rsidP="00655722">
            <w:pPr>
              <w:numPr>
                <w:ilvl w:val="0"/>
                <w:numId w:val="54"/>
              </w:numPr>
            </w:pPr>
            <w:r w:rsidRPr="002520DA">
              <w:t>Significantly increase the share of central government funding available for these types of transport investment, and link funding with achieving our emissions budgets.</w:t>
            </w:r>
          </w:p>
          <w:p w14:paraId="3C1921C8" w14:textId="5B1FABA7" w:rsidR="00D16223" w:rsidRPr="002520DA" w:rsidRDefault="00D16223" w:rsidP="00655722">
            <w:pPr>
              <w:numPr>
                <w:ilvl w:val="0"/>
                <w:numId w:val="54"/>
              </w:numPr>
            </w:pPr>
            <w:r>
              <w:t xml:space="preserve">Improve mobility outcomes through measures </w:t>
            </w:r>
            <w:r w:rsidR="00492CBB">
              <w:t>including supporting</w:t>
            </w:r>
            <w:r w:rsidRPr="002520DA">
              <w:t xml:space="preserve"> public transport uptake</w:t>
            </w:r>
            <w:r>
              <w:t xml:space="preserve"> nationally and locally</w:t>
            </w:r>
            <w:r w:rsidRPr="002520DA">
              <w:t xml:space="preserve"> by reducing fares for targeted groups (such as for those under 25 years of age)</w:t>
            </w:r>
            <w:r>
              <w:t>,</w:t>
            </w:r>
            <w:r w:rsidRPr="002520DA">
              <w:t xml:space="preserve"> and improving </w:t>
            </w:r>
            <w:r>
              <w:t xml:space="preserve">the </w:t>
            </w:r>
            <w:r w:rsidRPr="002520DA">
              <w:t xml:space="preserve">quality </w:t>
            </w:r>
            <w:r>
              <w:t>and integration</w:t>
            </w:r>
            <w:r w:rsidRPr="002520DA">
              <w:t xml:space="preserve"> of service</w:t>
            </w:r>
            <w:r>
              <w:t>s</w:t>
            </w:r>
            <w:r w:rsidRPr="002520DA">
              <w:t xml:space="preserve">. </w:t>
            </w:r>
          </w:p>
          <w:p w14:paraId="2B31B92B" w14:textId="77777777" w:rsidR="00D16223" w:rsidRPr="002520DA" w:rsidRDefault="00D16223" w:rsidP="00655722">
            <w:pPr>
              <w:numPr>
                <w:ilvl w:val="0"/>
                <w:numId w:val="54"/>
              </w:numPr>
            </w:pPr>
            <w:r w:rsidRPr="002520DA">
              <w:t xml:space="preserve">Encourage Councils to implement first and last kilometre travel solutions in their transport networks, such as increased on-demand and shared vehicle and bike services, </w:t>
            </w:r>
            <w:r>
              <w:t>secure park and ride</w:t>
            </w:r>
            <w:r w:rsidRPr="002520DA">
              <w:t xml:space="preserve"> </w:t>
            </w:r>
            <w:r>
              <w:t>solutions</w:t>
            </w:r>
            <w:r w:rsidRPr="002520DA">
              <w:t xml:space="preserve"> at public transport, and encouraging micro-mobility options. </w:t>
            </w:r>
          </w:p>
          <w:p w14:paraId="2D997359" w14:textId="77777777" w:rsidR="00D16223" w:rsidRPr="002520DA" w:rsidRDefault="00D16223" w:rsidP="00655722">
            <w:pPr>
              <w:numPr>
                <w:ilvl w:val="0"/>
                <w:numId w:val="54"/>
              </w:numPr>
            </w:pPr>
            <w:r w:rsidRPr="002520DA">
              <w:t xml:space="preserve">Further </w:t>
            </w:r>
            <w:r>
              <w:t>g</w:t>
            </w:r>
            <w:r w:rsidRPr="002520DA">
              <w:t>overnment encouragement for working from home arrangements.</w:t>
            </w:r>
          </w:p>
        </w:tc>
      </w:tr>
    </w:tbl>
    <w:p w14:paraId="5F57721F" w14:textId="7614D02C" w:rsidR="002520DA" w:rsidRPr="006D7E85" w:rsidRDefault="002520DA" w:rsidP="004E534B">
      <w:pPr>
        <w:pStyle w:val="Heading4"/>
      </w:pPr>
      <w:r w:rsidRPr="002520DA">
        <w:lastRenderedPageBreak/>
        <w:t>Accelerate</w:t>
      </w:r>
      <w:r w:rsidRPr="006D7E85" w:rsidDel="00E17F25">
        <w:t xml:space="preserve"> </w:t>
      </w:r>
      <w:r w:rsidR="00186779">
        <w:t xml:space="preserve">uptake of </w:t>
      </w:r>
      <w:r w:rsidRPr="006D7E85">
        <w:t xml:space="preserve">electric vehicles </w:t>
      </w:r>
    </w:p>
    <w:p w14:paraId="38C1EF78" w14:textId="1B7E582F" w:rsidR="002520DA" w:rsidRPr="002520DA" w:rsidRDefault="002520DA" w:rsidP="004E534B">
      <w:r w:rsidRPr="002520DA">
        <w:t>Light vehicles are a major source of emissions in Aotearoa and were responsible for almost 11</w:t>
      </w:r>
      <w:r w:rsidR="0045465D">
        <w:t xml:space="preserve"> </w:t>
      </w:r>
      <w:r w:rsidRPr="002520DA">
        <w:t>Mt CO</w:t>
      </w:r>
      <w:r w:rsidRPr="002520DA">
        <w:rPr>
          <w:vertAlign w:val="subscript"/>
        </w:rPr>
        <w:t>2</w:t>
      </w:r>
      <w:r w:rsidRPr="002520DA">
        <w:t>e emissions in 2018. Most vehicles run on petrol or diesel. Our analysis shows that electrifying light vehicle</w:t>
      </w:r>
      <w:r w:rsidR="00320476">
        <w:t>s</w:t>
      </w:r>
      <w:r w:rsidRPr="002520DA">
        <w:t xml:space="preserve"> will play a</w:t>
      </w:r>
      <w:r w:rsidR="00702531">
        <w:t xml:space="preserve"> crucial</w:t>
      </w:r>
      <w:r w:rsidRPr="002520DA">
        <w:t xml:space="preserve"> role in meeting later emissions budgets and the 2050 target. </w:t>
      </w:r>
    </w:p>
    <w:p w14:paraId="030CB121" w14:textId="6539EA8E" w:rsidR="002520DA" w:rsidRPr="002520DA" w:rsidRDefault="002520DA" w:rsidP="004E534B">
      <w:r w:rsidRPr="002520DA">
        <w:t>Electric vehicle (EV)</w:t>
      </w:r>
      <w:r w:rsidRPr="002520DA">
        <w:rPr>
          <w:vertAlign w:val="superscript"/>
        </w:rPr>
        <w:t xml:space="preserve"> </w:t>
      </w:r>
      <w:r w:rsidRPr="002520DA">
        <w:t xml:space="preserve">ownership in Aotearoa is increasing but remains low. There are currently several supply and demand barriers to </w:t>
      </w:r>
      <w:r w:rsidR="007A0B9D">
        <w:t>people choosing</w:t>
      </w:r>
      <w:r w:rsidRPr="002520DA">
        <w:t xml:space="preserve"> EVs, including higher up-front costs, lack of choice and supply volumes, and </w:t>
      </w:r>
      <w:r w:rsidR="004D3E8E">
        <w:t>the country’s</w:t>
      </w:r>
      <w:r w:rsidR="004D3E8E" w:rsidRPr="002520DA">
        <w:t xml:space="preserve"> </w:t>
      </w:r>
      <w:r w:rsidRPr="002520DA">
        <w:t xml:space="preserve">limited leverage for accessing future supplies </w:t>
      </w:r>
      <w:r w:rsidRPr="002520DA" w:rsidDel="00461D77">
        <w:t xml:space="preserve">of </w:t>
      </w:r>
      <w:r w:rsidRPr="002520DA">
        <w:t xml:space="preserve">EVs. </w:t>
      </w:r>
      <w:r w:rsidR="007C79FE">
        <w:t>Range anxiety, charging network</w:t>
      </w:r>
      <w:r w:rsidR="00A011FF">
        <w:t xml:space="preserve"> access and expected battery </w:t>
      </w:r>
      <w:r w:rsidR="00540DB5">
        <w:t>life also affect demand.</w:t>
      </w:r>
    </w:p>
    <w:p w14:paraId="18F3ECFF" w14:textId="60A71D4D" w:rsidR="002520DA" w:rsidRPr="002520DA" w:rsidRDefault="002520DA" w:rsidP="004E534B">
      <w:r w:rsidRPr="002520DA">
        <w:t xml:space="preserve">An ambitious package of policies is needed to address these barriers. Fiscal incentives to lower the upfront costs of EVs will be </w:t>
      </w:r>
      <w:r w:rsidR="00DC6309">
        <w:t xml:space="preserve">an </w:t>
      </w:r>
      <w:r w:rsidRPr="002520DA">
        <w:t xml:space="preserve">important part of this and should be introduced as a matter of urgency. </w:t>
      </w:r>
    </w:p>
    <w:p w14:paraId="60D7BA58" w14:textId="79E83F38" w:rsidR="002520DA" w:rsidRPr="002520DA" w:rsidRDefault="002520DA" w:rsidP="004E534B">
      <w:r w:rsidRPr="002520DA">
        <w:t xml:space="preserve">Other measures will also be needed. </w:t>
      </w:r>
      <w:r w:rsidR="004D3E8E">
        <w:t>V</w:t>
      </w:r>
      <w:r w:rsidRPr="002520DA">
        <w:t>ehicles</w:t>
      </w:r>
      <w:r w:rsidR="004D3E8E">
        <w:t xml:space="preserve"> in Aotearoa</w:t>
      </w:r>
      <w:r w:rsidRPr="002520DA">
        <w:t xml:space="preserve"> produce more emissions and cost more to run over their lifetime than in other countries</w:t>
      </w:r>
      <w:r w:rsidR="00C843BD">
        <w:t xml:space="preserve">. </w:t>
      </w:r>
      <w:r w:rsidRPr="002520DA">
        <w:t>Vehicles that enter the country today will be on the road until they are almost 20</w:t>
      </w:r>
      <w:r w:rsidR="00C843BD">
        <w:t xml:space="preserve"> </w:t>
      </w:r>
      <w:r w:rsidRPr="002520DA">
        <w:t>years</w:t>
      </w:r>
      <w:r w:rsidR="00C843BD">
        <w:t xml:space="preserve"> </w:t>
      </w:r>
      <w:r w:rsidRPr="002520DA">
        <w:t>old on average.</w:t>
      </w:r>
    </w:p>
    <w:p w14:paraId="4F14AC4B" w14:textId="32D05140" w:rsidR="002520DA" w:rsidRPr="002520DA" w:rsidRDefault="002520DA" w:rsidP="004E534B">
      <w:r w:rsidRPr="002520DA" w:rsidDel="00DB180A">
        <w:t>Conventional</w:t>
      </w:r>
      <w:r w:rsidRPr="002520DA">
        <w:t xml:space="preserve"> </w:t>
      </w:r>
      <w:r w:rsidR="00C843BD">
        <w:t xml:space="preserve">internal combustion engine </w:t>
      </w:r>
      <w:r w:rsidR="00435F9E">
        <w:t xml:space="preserve">(ICE) </w:t>
      </w:r>
      <w:r w:rsidRPr="002520DA">
        <w:t xml:space="preserve">vehicles need to be rapidly phased out and replaced by EVs to </w:t>
      </w:r>
      <w:r w:rsidR="00D40CDE">
        <w:t>put</w:t>
      </w:r>
      <w:r w:rsidRPr="002520DA">
        <w:t xml:space="preserve"> transport </w:t>
      </w:r>
      <w:r w:rsidR="00D40CDE">
        <w:t xml:space="preserve">on track to meeting our proposed emissions budgets. </w:t>
      </w:r>
      <w:r w:rsidRPr="002520DA">
        <w:t xml:space="preserve">If Aotearoa is to achieve a low emissions vehicle fleet by 2050, all light vehicles entering the country must be low emissions by 2035. </w:t>
      </w:r>
      <w:r w:rsidR="005D4229">
        <w:t>Putting</w:t>
      </w:r>
      <w:r w:rsidR="005D4229" w:rsidRPr="002520DA">
        <w:t xml:space="preserve"> </w:t>
      </w:r>
      <w:r w:rsidRPr="002520DA">
        <w:t xml:space="preserve">a restriction or ban on the import and manufacture of </w:t>
      </w:r>
      <w:r w:rsidR="005D4229">
        <w:t xml:space="preserve">internal combustion </w:t>
      </w:r>
      <w:r w:rsidR="008927D6">
        <w:t xml:space="preserve">engine </w:t>
      </w:r>
      <w:r w:rsidRPr="002520DA">
        <w:t>vehicles should be made in the context of an equitable transition, with additional measures put in place</w:t>
      </w:r>
      <w:r w:rsidR="006B5472">
        <w:t>,</w:t>
      </w:r>
      <w:r w:rsidRPr="002520DA">
        <w:t xml:space="preserve"> if necessary</w:t>
      </w:r>
      <w:r w:rsidR="006B5472">
        <w:t>,</w:t>
      </w:r>
      <w:r w:rsidRPr="002520DA">
        <w:t xml:space="preserve"> to make EVs accessible to all New Zealanders.</w:t>
      </w:r>
    </w:p>
    <w:p w14:paraId="6722896B" w14:textId="5DCE4E4A" w:rsidR="002520DA" w:rsidRPr="002520DA" w:rsidRDefault="002520DA" w:rsidP="004E534B">
      <w:r w:rsidRPr="002520DA">
        <w:t xml:space="preserve">One important constraint will be the availability of EVs, particularly </w:t>
      </w:r>
      <w:r w:rsidR="00E63C87">
        <w:t xml:space="preserve">those that are </w:t>
      </w:r>
      <w:r w:rsidRPr="002520DA">
        <w:t>second</w:t>
      </w:r>
      <w:r w:rsidR="00E63C87">
        <w:t xml:space="preserve"> </w:t>
      </w:r>
      <w:r w:rsidRPr="002520DA">
        <w:t xml:space="preserve">hand. </w:t>
      </w:r>
      <w:r w:rsidR="004D3E8E">
        <w:t>The country’s</w:t>
      </w:r>
      <w:r w:rsidR="004D3E8E" w:rsidRPr="002520DA">
        <w:t xml:space="preserve"> </w:t>
      </w:r>
      <w:r w:rsidRPr="002520DA">
        <w:t>vehicle market is small, remote, left-side driving, and heavily dependent on used vehicle imports from Japan</w:t>
      </w:r>
      <w:r w:rsidR="003F471D">
        <w:t xml:space="preserve">. However, Japan </w:t>
      </w:r>
      <w:r w:rsidRPr="002520DA">
        <w:t>is prioritising investing in hydrogen and conventional hybrids and has limited EV supply.</w:t>
      </w:r>
    </w:p>
    <w:p w14:paraId="32FEB559" w14:textId="4E9E4BF7" w:rsidR="002520DA" w:rsidRPr="002520DA" w:rsidRDefault="002520DA" w:rsidP="004E534B">
      <w:r w:rsidRPr="002520DA">
        <w:t xml:space="preserve">EV charging infrastructure is relatively well developed </w:t>
      </w:r>
      <w:r w:rsidR="004D3E8E">
        <w:t xml:space="preserve">in Aotearoa </w:t>
      </w:r>
      <w:r w:rsidRPr="002520DA">
        <w:t>for the number of EVs currently on the road. However, it will need to keep pace with the projected rapid uptake of EVs to ensure wide coverage. More community charging stations will be needed to ensure access for people who can</w:t>
      </w:r>
      <w:r w:rsidR="003F471D">
        <w:t>not</w:t>
      </w:r>
      <w:r w:rsidRPr="002520DA">
        <w:t xml:space="preserve"> charge at home. Action is also needed to build infrastructure to support refurbishment, reuse, recycling and responsible disposal solutions for EV batteries</w:t>
      </w:r>
      <w:r w:rsidR="00220800">
        <w:t>. L</w:t>
      </w:r>
      <w:r w:rsidRPr="002520DA">
        <w:t>ithium-ion EV batteries can be highly polluting and pose a fire risk if not disposed of properly.</w:t>
      </w:r>
    </w:p>
    <w:p w14:paraId="707FEB40" w14:textId="72989D79" w:rsidR="002520DA" w:rsidRPr="002520DA" w:rsidRDefault="002520DA" w:rsidP="004E534B">
      <w:r w:rsidRPr="002520DA">
        <w:t xml:space="preserve">While EVs will make the biggest difference to the efficiency of </w:t>
      </w:r>
      <w:r w:rsidR="000C5A31">
        <w:t>the country’s</w:t>
      </w:r>
      <w:r w:rsidR="000C5A31" w:rsidRPr="002520DA">
        <w:t xml:space="preserve"> </w:t>
      </w:r>
      <w:r w:rsidRPr="002520DA">
        <w:t>fleet, plug</w:t>
      </w:r>
      <w:r w:rsidR="00220800">
        <w:t>-</w:t>
      </w:r>
      <w:r w:rsidRPr="002520DA">
        <w:t xml:space="preserve">in hybrids and more efficient petrol and diesel cars can also contribute. </w:t>
      </w:r>
      <w:r w:rsidR="0071739C">
        <w:t xml:space="preserve">Inefficient vehicles use more fuel and therefore have higher emissions. </w:t>
      </w:r>
      <w:r w:rsidRPr="002520DA">
        <w:t xml:space="preserve">The lack of regulations or restrictions to influence the fuel efficiency of light vehicles entering the country has contributed to the inefficiency of </w:t>
      </w:r>
      <w:r w:rsidR="000C5A31">
        <w:t>the</w:t>
      </w:r>
      <w:r w:rsidR="000C5A31" w:rsidRPr="002520DA">
        <w:t xml:space="preserve"> </w:t>
      </w:r>
      <w:r w:rsidRPr="002520DA">
        <w:t xml:space="preserve">light vehicle fleet. Clear guidance from the Government on emissions standards is needed to prevent Aotearoa from becoming a dumping ground for inefficient vehicles. </w:t>
      </w:r>
    </w:p>
    <w:p w14:paraId="7670E0DF" w14:textId="750D9B86" w:rsidR="002520DA" w:rsidRPr="002520DA" w:rsidRDefault="002520DA" w:rsidP="004E534B">
      <w:r w:rsidRPr="002520DA">
        <w:t xml:space="preserve">There are different international examples of how an intervention to increase the fuel efficiency of the vehicle fleet could be designed. </w:t>
      </w:r>
      <w:r w:rsidRPr="002520DA" w:rsidDel="00E014BC">
        <w:t xml:space="preserve">Typically, suppliers would be required to meet an overall average fuel economy or emissions level, which would </w:t>
      </w:r>
      <w:r w:rsidRPr="002520DA">
        <w:t xml:space="preserve">be </w:t>
      </w:r>
      <w:r w:rsidRPr="002520DA" w:rsidDel="00E014BC">
        <w:t xml:space="preserve">weighted across </w:t>
      </w:r>
      <w:r w:rsidRPr="002520DA">
        <w:t xml:space="preserve">all </w:t>
      </w:r>
      <w:r w:rsidRPr="002520DA" w:rsidDel="00E014BC">
        <w:t xml:space="preserve">new vehicle sales </w:t>
      </w:r>
      <w:r w:rsidRPr="002520DA">
        <w:t xml:space="preserve">in the country and would </w:t>
      </w:r>
      <w:r w:rsidRPr="002520DA" w:rsidDel="00E014BC">
        <w:t>become more stringent</w:t>
      </w:r>
      <w:r w:rsidRPr="002520DA">
        <w:t xml:space="preserve"> over time</w:t>
      </w:r>
      <w:r w:rsidRPr="002520DA" w:rsidDel="00E014BC">
        <w:t xml:space="preserve">. </w:t>
      </w:r>
      <w:r w:rsidRPr="002520DA">
        <w:t xml:space="preserve">Suppliers would need to sell more efficient vehicles to meet </w:t>
      </w:r>
      <w:r w:rsidRPr="002520DA">
        <w:lastRenderedPageBreak/>
        <w:t>the efficiency target, or pay a penalty.</w:t>
      </w:r>
      <w:r w:rsidRPr="002520DA">
        <w:rPr>
          <w:vertAlign w:val="superscript"/>
        </w:rPr>
        <w:t xml:space="preserve"> </w:t>
      </w:r>
      <w:r w:rsidRPr="002520DA">
        <w:t>They would be likely to lower the price of efficient vehicles to ensure they make sufficient sales.</w:t>
      </w:r>
    </w:p>
    <w:p w14:paraId="636FB722" w14:textId="77777777" w:rsidR="002520DA" w:rsidRDefault="002520DA" w:rsidP="004E534B">
      <w:r w:rsidRPr="002520DA">
        <w:t xml:space="preserve">Accelerating access to EVs is an important issue to consider as part of an equitable transition. Leasing and car share schemes targeted at low income communities should be considered to help address barriers to access. </w:t>
      </w:r>
    </w:p>
    <w:p w14:paraId="66E0494B" w14:textId="77777777" w:rsidR="00443AA8" w:rsidRPr="002520DA" w:rsidRDefault="00443AA8" w:rsidP="004E534B"/>
    <w:tbl>
      <w:tblPr>
        <w:tblStyle w:val="GridTable4-Accent2"/>
        <w:tblW w:w="0" w:type="auto"/>
        <w:tblCellMar>
          <w:top w:w="57" w:type="dxa"/>
          <w:bottom w:w="57" w:type="dxa"/>
        </w:tblCellMar>
        <w:tblLook w:val="04A0" w:firstRow="1" w:lastRow="0" w:firstColumn="1" w:lastColumn="0" w:noHBand="0" w:noVBand="1"/>
      </w:tblPr>
      <w:tblGrid>
        <w:gridCol w:w="9016"/>
      </w:tblGrid>
      <w:tr w:rsidR="002520DA" w:rsidRPr="002520DA" w14:paraId="2AD69F3A"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FD17163" w14:textId="2CDA2B6A" w:rsidR="002520DA" w:rsidRPr="002520DA" w:rsidRDefault="002520DA" w:rsidP="002520DA">
            <w:pPr>
              <w:spacing w:before="0" w:after="0"/>
              <w:jc w:val="center"/>
              <w:rPr>
                <w:color w:val="000000" w:themeColor="text1"/>
                <w:sz w:val="24"/>
                <w:szCs w:val="24"/>
                <w:lang w:val="en-US"/>
              </w:rPr>
            </w:pPr>
            <w:r w:rsidRPr="002520DA">
              <w:rPr>
                <w:sz w:val="28"/>
                <w:szCs w:val="28"/>
              </w:rPr>
              <w:t>Time</w:t>
            </w:r>
            <w:r w:rsidR="00DE4485" w:rsidRPr="00DE4485">
              <w:rPr>
                <w:sz w:val="28"/>
                <w:szCs w:val="28"/>
              </w:rPr>
              <w:t>-</w:t>
            </w:r>
            <w:r w:rsidRPr="002520DA">
              <w:rPr>
                <w:sz w:val="28"/>
                <w:szCs w:val="28"/>
              </w:rPr>
              <w:t xml:space="preserve">critical </w:t>
            </w:r>
            <w:r w:rsidR="00DE4485" w:rsidRPr="00DE4485">
              <w:rPr>
                <w:sz w:val="28"/>
                <w:szCs w:val="28"/>
              </w:rPr>
              <w:t>necessary action</w:t>
            </w:r>
            <w:r w:rsidRPr="002520DA">
              <w:rPr>
                <w:sz w:val="28"/>
                <w:szCs w:val="28"/>
              </w:rPr>
              <w:t xml:space="preserve"> </w:t>
            </w:r>
            <w:r w:rsidR="00F15405">
              <w:rPr>
                <w:sz w:val="28"/>
                <w:szCs w:val="28"/>
              </w:rPr>
              <w:t>2</w:t>
            </w:r>
          </w:p>
          <w:p w14:paraId="30F7BB3B" w14:textId="77777777" w:rsidR="002520DA" w:rsidRPr="00B052DC" w:rsidRDefault="002520DA" w:rsidP="002520DA">
            <w:pPr>
              <w:spacing w:before="0" w:after="0"/>
              <w:jc w:val="center"/>
              <w:rPr>
                <w:b w:val="0"/>
                <w:bCs w:val="0"/>
                <w:sz w:val="28"/>
                <w:szCs w:val="28"/>
              </w:rPr>
            </w:pPr>
            <w:r w:rsidRPr="00B052DC">
              <w:rPr>
                <w:b w:val="0"/>
                <w:bCs w:val="0"/>
                <w:sz w:val="28"/>
                <w:szCs w:val="28"/>
                <w:lang w:val="en-US"/>
              </w:rPr>
              <w:t>Accelerate light electric vehicle uptake</w:t>
            </w:r>
          </w:p>
        </w:tc>
      </w:tr>
      <w:tr w:rsidR="002520DA" w:rsidRPr="002520DA" w14:paraId="0E3D0CEC"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6A730EA" w14:textId="2742C76B" w:rsidR="002520DA" w:rsidRPr="002520DA" w:rsidRDefault="002520DA" w:rsidP="002520DA">
            <w:r w:rsidRPr="002520DA">
              <w:t xml:space="preserve">Light electric vehicle uptake needs to be accelerated as fast as possible. To meet our proposed emissions budgets and be on track for 2050, at least 50% of all light vehicle (cars, SUVs, vans and </w:t>
            </w:r>
            <w:proofErr w:type="spellStart"/>
            <w:r w:rsidRPr="002520DA">
              <w:t>utes</w:t>
            </w:r>
            <w:proofErr w:type="spellEnd"/>
            <w:r w:rsidRPr="002520DA">
              <w:t xml:space="preserve">) and motorbike imports should be electric by 2027 (both </w:t>
            </w:r>
            <w:r w:rsidR="00BD0EAB">
              <w:t xml:space="preserve">battery </w:t>
            </w:r>
            <w:r w:rsidRPr="002520DA">
              <w:t xml:space="preserve">EV and </w:t>
            </w:r>
            <w:r w:rsidR="008F3937">
              <w:t>plug-in</w:t>
            </w:r>
            <w:r w:rsidR="00137F50">
              <w:t xml:space="preserve"> hybrid E</w:t>
            </w:r>
            <w:r w:rsidRPr="002520DA">
              <w:t>V). To achieve this, we recommend in the first budget period the Government:</w:t>
            </w:r>
          </w:p>
          <w:p w14:paraId="570C475D" w14:textId="017B4EF4" w:rsidR="002520DA" w:rsidRPr="002520DA" w:rsidRDefault="002520DA" w:rsidP="00655722">
            <w:pPr>
              <w:numPr>
                <w:ilvl w:val="0"/>
                <w:numId w:val="52"/>
              </w:numPr>
            </w:pPr>
            <w:r w:rsidRPr="002520DA">
              <w:t>Place a time limit on light vehicles with internal combustion engines entering, being manufactured, or assembled in Aotearoa, other than in specified exceptional circumstances. The limit should be no later than 2035 and</w:t>
            </w:r>
            <w:r w:rsidR="007909A3">
              <w:t>,</w:t>
            </w:r>
            <w:r w:rsidRPr="002520DA">
              <w:t xml:space="preserve"> if possible</w:t>
            </w:r>
            <w:r w:rsidR="007909A3">
              <w:t>,</w:t>
            </w:r>
            <w:r w:rsidRPr="002520DA">
              <w:t xml:space="preserve"> as early as 2030.</w:t>
            </w:r>
          </w:p>
          <w:p w14:paraId="0D1AAA22" w14:textId="73D8FDC9" w:rsidR="002520DA" w:rsidRPr="002520DA" w:rsidRDefault="002520DA" w:rsidP="00655722">
            <w:pPr>
              <w:numPr>
                <w:ilvl w:val="0"/>
                <w:numId w:val="52"/>
              </w:numPr>
            </w:pPr>
            <w:r w:rsidRPr="002520DA">
              <w:t>Introduce a package of measures to ensure there are enough E</w:t>
            </w:r>
            <w:r w:rsidR="00C2244A">
              <w:t>V</w:t>
            </w:r>
            <w:r w:rsidRPr="002520DA">
              <w:t xml:space="preserve">s entering Aotearoa, and to reduce the upfront cost of purchasing light electric vehicles until such time as they </w:t>
            </w:r>
            <w:r w:rsidR="001E67C3">
              <w:t xml:space="preserve">are </w:t>
            </w:r>
            <w:r w:rsidRPr="002520DA">
              <w:t xml:space="preserve">cost competitive </w:t>
            </w:r>
            <w:r w:rsidR="005F2156">
              <w:t>with</w:t>
            </w:r>
            <w:r w:rsidR="005F2156" w:rsidRPr="002520DA">
              <w:t xml:space="preserve"> </w:t>
            </w:r>
            <w:r w:rsidRPr="002520DA">
              <w:t>the equivalent ICE vehicle.</w:t>
            </w:r>
          </w:p>
          <w:p w14:paraId="52FD8AAE" w14:textId="383E5EA0" w:rsidR="002520DA" w:rsidRPr="002520DA" w:rsidRDefault="002520DA" w:rsidP="00655722">
            <w:pPr>
              <w:numPr>
                <w:ilvl w:val="0"/>
                <w:numId w:val="52"/>
              </w:numPr>
            </w:pPr>
            <w:r w:rsidRPr="002520DA">
              <w:t>Improve the efficiency of the</w:t>
            </w:r>
            <w:r w:rsidR="00D97D39">
              <w:t xml:space="preserve"> </w:t>
            </w:r>
            <w:r w:rsidR="00621D13">
              <w:t>light vehicle</w:t>
            </w:r>
            <w:r w:rsidRPr="002520DA">
              <w:t xml:space="preserve"> fleet </w:t>
            </w:r>
            <w:r w:rsidR="00644591">
              <w:t xml:space="preserve">and stop Aotearoa receiving inefficient vehicles by introducing an emissions target for light vehicles new to Aotearoa </w:t>
            </w:r>
            <w:r w:rsidRPr="002520DA">
              <w:t>of 105 grams CO</w:t>
            </w:r>
            <w:r w:rsidRPr="00825859">
              <w:rPr>
                <w:vertAlign w:val="subscript"/>
              </w:rPr>
              <w:t>2</w:t>
            </w:r>
            <w:r w:rsidRPr="002520DA">
              <w:t xml:space="preserve"> per kilometre by 2028.</w:t>
            </w:r>
          </w:p>
          <w:p w14:paraId="63BE151E" w14:textId="6C172B08" w:rsidR="002520DA" w:rsidRPr="002520DA" w:rsidRDefault="002520DA" w:rsidP="00655722">
            <w:pPr>
              <w:numPr>
                <w:ilvl w:val="0"/>
                <w:numId w:val="52"/>
              </w:numPr>
            </w:pPr>
            <w:r w:rsidRPr="002520DA">
              <w:t>Develop a charging infrastructure plan for the rapid uptake of E</w:t>
            </w:r>
            <w:r w:rsidR="00435F9E">
              <w:t>V</w:t>
            </w:r>
            <w:r w:rsidRPr="002520DA">
              <w:t>s to ensure greater coverage, multiple points of access and rapid charging, and continue to support the practical roll out of charging infrastructure.</w:t>
            </w:r>
          </w:p>
        </w:tc>
      </w:tr>
    </w:tbl>
    <w:p w14:paraId="57257839" w14:textId="77777777" w:rsidR="002520DA" w:rsidRPr="002520DA" w:rsidRDefault="002520DA" w:rsidP="002520DA">
      <w:pPr>
        <w:spacing w:before="120" w:after="120"/>
        <w:rPr>
          <w:bCs/>
          <w:sz w:val="20"/>
          <w:szCs w:val="20"/>
        </w:rPr>
      </w:pPr>
    </w:p>
    <w:tbl>
      <w:tblPr>
        <w:tblStyle w:val="GridTable4-Accent2"/>
        <w:tblW w:w="0" w:type="auto"/>
        <w:tblCellMar>
          <w:top w:w="57" w:type="dxa"/>
          <w:bottom w:w="57" w:type="dxa"/>
        </w:tblCellMar>
        <w:tblLook w:val="04A0" w:firstRow="1" w:lastRow="0" w:firstColumn="1" w:lastColumn="0" w:noHBand="0" w:noVBand="1"/>
      </w:tblPr>
      <w:tblGrid>
        <w:gridCol w:w="9016"/>
      </w:tblGrid>
      <w:tr w:rsidR="002520DA" w:rsidRPr="002520DA" w14:paraId="3F90F833"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3820F47" w14:textId="77777777" w:rsidR="002520DA" w:rsidRPr="002520DA" w:rsidRDefault="002520DA" w:rsidP="002520DA">
            <w:pPr>
              <w:spacing w:before="120" w:after="120"/>
              <w:jc w:val="center"/>
            </w:pPr>
            <w:r w:rsidRPr="002520DA">
              <w:rPr>
                <w:sz w:val="28"/>
                <w:szCs w:val="28"/>
              </w:rPr>
              <w:t>Progress indicators</w:t>
            </w:r>
          </w:p>
        </w:tc>
      </w:tr>
      <w:tr w:rsidR="002520DA" w:rsidRPr="002520DA" w14:paraId="092EE94E"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78E9B76" w14:textId="77777777" w:rsidR="002520DA" w:rsidRPr="002520DA" w:rsidRDefault="002520DA" w:rsidP="00655722">
            <w:pPr>
              <w:numPr>
                <w:ilvl w:val="0"/>
                <w:numId w:val="55"/>
              </w:numPr>
            </w:pPr>
            <w:r w:rsidRPr="002520DA">
              <w:t>Government to have consulted, no later than 30 June 2022, on preferred policy options for accelerating EV uptake (including a date for placing a time limit on the import of ICEs).</w:t>
            </w:r>
          </w:p>
          <w:p w14:paraId="74EEDD06" w14:textId="4118280C" w:rsidR="002520DA" w:rsidRPr="002520DA" w:rsidRDefault="002520DA" w:rsidP="00655722">
            <w:pPr>
              <w:numPr>
                <w:ilvl w:val="0"/>
                <w:numId w:val="55"/>
              </w:numPr>
            </w:pPr>
            <w:r w:rsidRPr="002520DA">
              <w:t xml:space="preserve">Cabinet decisions on preferred policy options to be made, as soon as possible but no later than </w:t>
            </w:r>
            <w:r w:rsidR="00470069">
              <w:t>31 December</w:t>
            </w:r>
            <w:r w:rsidRPr="002520DA">
              <w:t xml:space="preserve"> 2022, on accelerating EV uptake.</w:t>
            </w:r>
          </w:p>
          <w:p w14:paraId="0AA2233F" w14:textId="77777777" w:rsidR="002520DA" w:rsidRPr="002520DA" w:rsidRDefault="002520DA" w:rsidP="00655722">
            <w:pPr>
              <w:numPr>
                <w:ilvl w:val="0"/>
                <w:numId w:val="55"/>
              </w:numPr>
            </w:pPr>
            <w:r w:rsidRPr="002520DA">
              <w:t>Government to have implemented regulations on improving the fuel efficiency by 30 June 2022.</w:t>
            </w:r>
          </w:p>
        </w:tc>
      </w:tr>
    </w:tbl>
    <w:p w14:paraId="67B8F866" w14:textId="50C03395" w:rsidR="002520DA" w:rsidRPr="002520DA" w:rsidRDefault="002520DA" w:rsidP="002520DA">
      <w:pPr>
        <w:rPr>
          <w:bCs/>
          <w:lang w:val="en-US"/>
        </w:rPr>
      </w:pPr>
      <w:r w:rsidRPr="002520DA" w:rsidDel="002D22DB">
        <w:rPr>
          <w:bCs/>
          <w:lang w:val="en-US"/>
        </w:rPr>
        <w:t xml:space="preserve"> </w:t>
      </w:r>
    </w:p>
    <w:p w14:paraId="7887B27E" w14:textId="77777777" w:rsidR="00FC29AF" w:rsidRDefault="00FC29AF">
      <w:pPr>
        <w:spacing w:before="0" w:after="160"/>
        <w:rPr>
          <w:bCs/>
          <w:lang w:val="en-US"/>
        </w:rPr>
      </w:pPr>
      <w:r>
        <w:rPr>
          <w:bCs/>
          <w:lang w:val="en-US"/>
        </w:rPr>
        <w:br w:type="page"/>
      </w:r>
    </w:p>
    <w:p w14:paraId="238F6FC9" w14:textId="77777777" w:rsidR="002520DA" w:rsidRPr="002520DA" w:rsidRDefault="002520DA" w:rsidP="002520DA">
      <w:pPr>
        <w:rPr>
          <w:bCs/>
          <w:lang w:val="en-US"/>
        </w:rPr>
      </w:pPr>
    </w:p>
    <w:tbl>
      <w:tblPr>
        <w:tblStyle w:val="GridTable4-Accent5"/>
        <w:tblW w:w="0" w:type="auto"/>
        <w:tblCellMar>
          <w:top w:w="57" w:type="dxa"/>
          <w:bottom w:w="57" w:type="dxa"/>
        </w:tblCellMar>
        <w:tblLook w:val="04A0" w:firstRow="1" w:lastRow="0" w:firstColumn="1" w:lastColumn="0" w:noHBand="0" w:noVBand="1"/>
      </w:tblPr>
      <w:tblGrid>
        <w:gridCol w:w="9016"/>
      </w:tblGrid>
      <w:tr w:rsidR="002520DA" w:rsidRPr="002520DA" w14:paraId="1CD44B42"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E1E618F" w14:textId="65C1DE4D" w:rsidR="002520DA" w:rsidRPr="002520DA" w:rsidRDefault="003F340F" w:rsidP="002520DA">
            <w:pPr>
              <w:spacing w:before="0" w:after="0"/>
              <w:jc w:val="center"/>
              <w:rPr>
                <w:sz w:val="28"/>
                <w:szCs w:val="28"/>
              </w:rPr>
            </w:pPr>
            <w:r w:rsidRPr="003F340F">
              <w:rPr>
                <w:sz w:val="28"/>
                <w:szCs w:val="28"/>
              </w:rPr>
              <w:t>Necessary</w:t>
            </w:r>
            <w:r w:rsidR="002520DA" w:rsidRPr="002520DA">
              <w:rPr>
                <w:sz w:val="28"/>
                <w:szCs w:val="28"/>
              </w:rPr>
              <w:t xml:space="preserve"> action </w:t>
            </w:r>
            <w:r w:rsidR="003B15E6">
              <w:rPr>
                <w:sz w:val="28"/>
                <w:szCs w:val="28"/>
              </w:rPr>
              <w:t>3</w:t>
            </w:r>
          </w:p>
          <w:p w14:paraId="2E917222" w14:textId="77777777" w:rsidR="002520DA" w:rsidRPr="00B052DC" w:rsidRDefault="002520DA" w:rsidP="002520DA">
            <w:pPr>
              <w:spacing w:before="0" w:after="0"/>
              <w:jc w:val="center"/>
              <w:rPr>
                <w:b w:val="0"/>
                <w:bCs w:val="0"/>
                <w:sz w:val="28"/>
                <w:szCs w:val="28"/>
                <w:u w:val="single"/>
              </w:rPr>
            </w:pPr>
            <w:r w:rsidRPr="00B052DC">
              <w:rPr>
                <w:b w:val="0"/>
                <w:bCs w:val="0"/>
                <w:sz w:val="28"/>
                <w:szCs w:val="28"/>
              </w:rPr>
              <w:t>Accelerate light electric vehicle uptake</w:t>
            </w:r>
          </w:p>
        </w:tc>
      </w:tr>
      <w:tr w:rsidR="002520DA" w:rsidRPr="002520DA" w14:paraId="345CED3C"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757F2B4" w14:textId="77777777" w:rsidR="002520DA" w:rsidRPr="002520DA" w:rsidRDefault="002520DA" w:rsidP="002520DA">
            <w:pPr>
              <w:spacing w:before="120"/>
            </w:pPr>
            <w:r w:rsidRPr="002520DA">
              <w:t>We recommend that, in the first budget period the Government make progress on the following:</w:t>
            </w:r>
          </w:p>
          <w:p w14:paraId="2406A10F" w14:textId="51D2FA6C" w:rsidR="002520DA" w:rsidRPr="002520DA" w:rsidRDefault="002520DA" w:rsidP="00655722">
            <w:pPr>
              <w:numPr>
                <w:ilvl w:val="0"/>
                <w:numId w:val="31"/>
              </w:numPr>
            </w:pPr>
            <w:r w:rsidRPr="002520DA">
              <w:t xml:space="preserve">As part of a policy package introduce a fiscal incentive, such as a feebate or subsidy, to reduce the upfront cost of </w:t>
            </w:r>
            <w:r w:rsidR="00EF33B3">
              <w:t>E</w:t>
            </w:r>
            <w:r w:rsidR="00FD7BF5">
              <w:t>V</w:t>
            </w:r>
            <w:r w:rsidR="00EF33B3">
              <w:t>s</w:t>
            </w:r>
            <w:r w:rsidRPr="002520DA">
              <w:t xml:space="preserve"> until such time as there is price parity with ICEs. </w:t>
            </w:r>
          </w:p>
          <w:p w14:paraId="2D5D82BC" w14:textId="4D32822A" w:rsidR="002520DA" w:rsidRPr="002520DA" w:rsidRDefault="002520DA" w:rsidP="00655722">
            <w:pPr>
              <w:numPr>
                <w:ilvl w:val="0"/>
                <w:numId w:val="31"/>
              </w:numPr>
            </w:pPr>
            <w:r w:rsidRPr="002520DA">
              <w:t>As part of an equitable transition, evaluate and support interventions such as leasing, hire and sharing schemes to remove barriers and address some of the upfront capital costs of E</w:t>
            </w:r>
            <w:r w:rsidR="00FD7BF5">
              <w:t>V</w:t>
            </w:r>
            <w:r w:rsidR="009341A7">
              <w:t>s</w:t>
            </w:r>
            <w:r w:rsidRPr="002520DA">
              <w:t>.</w:t>
            </w:r>
          </w:p>
          <w:p w14:paraId="776D284E" w14:textId="30470FAC" w:rsidR="002520DA" w:rsidRPr="002520DA" w:rsidRDefault="00F66A2D" w:rsidP="00655722">
            <w:pPr>
              <w:numPr>
                <w:ilvl w:val="0"/>
                <w:numId w:val="31"/>
              </w:numPr>
            </w:pPr>
            <w:r>
              <w:t>Investigate</w:t>
            </w:r>
            <w:r w:rsidR="002520DA" w:rsidRPr="002520DA">
              <w:t xml:space="preserve"> ways to bulk procure and ensure the supply of E</w:t>
            </w:r>
            <w:r w:rsidR="00FD7BF5">
              <w:t>V</w:t>
            </w:r>
            <w:r w:rsidR="002520DA" w:rsidRPr="002520DA">
              <w:t>s into Aotearoa and work with the private sector to do so.</w:t>
            </w:r>
          </w:p>
          <w:p w14:paraId="31B03983" w14:textId="77777777" w:rsidR="002520DA" w:rsidRPr="002520DA" w:rsidRDefault="002520DA" w:rsidP="00655722">
            <w:pPr>
              <w:numPr>
                <w:ilvl w:val="0"/>
                <w:numId w:val="31"/>
              </w:numPr>
            </w:pPr>
            <w:r w:rsidRPr="002520DA">
              <w:t>Evaluate how to use the tax system to incentivise EV uptake and discourage the purchase and continued operation of ICE vehicles.</w:t>
            </w:r>
          </w:p>
          <w:p w14:paraId="509B361F" w14:textId="77777777" w:rsidR="002520DA" w:rsidRPr="002520DA" w:rsidRDefault="002520DA" w:rsidP="00655722">
            <w:pPr>
              <w:numPr>
                <w:ilvl w:val="0"/>
                <w:numId w:val="31"/>
              </w:numPr>
            </w:pPr>
            <w:r w:rsidRPr="002520DA">
              <w:t>Work with the private sector to roll out EV battery refurbishment, collection and recycling systems to support sustainable electrification of light vehicle fleet. </w:t>
            </w:r>
          </w:p>
          <w:p w14:paraId="6D7833CD" w14:textId="5C1C36C3" w:rsidR="002520DA" w:rsidRPr="002520DA" w:rsidRDefault="002520DA" w:rsidP="00655722">
            <w:pPr>
              <w:numPr>
                <w:ilvl w:val="0"/>
                <w:numId w:val="31"/>
              </w:numPr>
            </w:pPr>
            <w:r w:rsidRPr="002520DA">
              <w:t xml:space="preserve">Evaluate the role of other pricing mechanisms beyond the </w:t>
            </w:r>
            <w:r w:rsidR="00A56734">
              <w:t xml:space="preserve">NZ </w:t>
            </w:r>
            <w:r w:rsidRPr="002520DA">
              <w:t>ETS, such as road pricing, can play in supporting the change to a low emissions and equitable transport system</w:t>
            </w:r>
            <w:r w:rsidR="00FC1881">
              <w:t>.</w:t>
            </w:r>
          </w:p>
          <w:p w14:paraId="376838EF" w14:textId="1A44C00D" w:rsidR="002520DA" w:rsidRPr="002520DA" w:rsidRDefault="002520DA" w:rsidP="00655722">
            <w:pPr>
              <w:numPr>
                <w:ilvl w:val="0"/>
                <w:numId w:val="31"/>
              </w:numPr>
            </w:pPr>
            <w:r w:rsidRPr="002520DA">
              <w:t>In setting these policies the Government needs to mitigate impacts for low-income households and people with disabilities, regional and remote access, and with limited access to electricity.</w:t>
            </w:r>
          </w:p>
        </w:tc>
      </w:tr>
    </w:tbl>
    <w:p w14:paraId="6C05EA6A" w14:textId="04BAE92B" w:rsidR="002520DA" w:rsidRPr="00FC1881" w:rsidRDefault="002520DA" w:rsidP="00443AA8">
      <w:pPr>
        <w:pStyle w:val="Heading4"/>
      </w:pPr>
      <w:r w:rsidRPr="002520DA">
        <w:t xml:space="preserve">Increase the use of </w:t>
      </w:r>
      <w:r w:rsidRPr="00FC1881">
        <w:t>low</w:t>
      </w:r>
      <w:r w:rsidR="00BA556A">
        <w:t xml:space="preserve"> </w:t>
      </w:r>
      <w:r w:rsidRPr="00FC1881">
        <w:t>carbon fuels for trains, ships, heavy trucks and planes</w:t>
      </w:r>
    </w:p>
    <w:p w14:paraId="39FED99F" w14:textId="01CD05CE" w:rsidR="002520DA" w:rsidRPr="002520DA" w:rsidRDefault="002520DA" w:rsidP="00F02E52">
      <w:pPr>
        <w:rPr>
          <w:rFonts w:ascii="Calibri" w:hAnsi="Calibri" w:cs="Calibri"/>
          <w:color w:val="000000"/>
          <w:shd w:val="clear" w:color="auto" w:fill="FFFFFF"/>
          <w:lang w:val="en-US"/>
        </w:rPr>
      </w:pPr>
      <w:r w:rsidRPr="002520DA">
        <w:t>Low</w:t>
      </w:r>
      <w:r w:rsidR="00BA556A">
        <w:t xml:space="preserve"> </w:t>
      </w:r>
      <w:r w:rsidRPr="002520DA">
        <w:t>carbon fuels to power vehicles offer an alternative to conventional fossil fuels</w:t>
      </w:r>
      <w:r w:rsidR="00443AA8">
        <w:t xml:space="preserve"> such as petrol and diesel.</w:t>
      </w:r>
      <w:r w:rsidRPr="002520DA">
        <w:t xml:space="preserve"> This section is focused on three low</w:t>
      </w:r>
      <w:r w:rsidR="00BA556A">
        <w:t xml:space="preserve"> </w:t>
      </w:r>
      <w:r w:rsidRPr="002520DA">
        <w:t>carbon fuel options – electricity, green hydrogen and biofuels.</w:t>
      </w:r>
    </w:p>
    <w:p w14:paraId="00EF7F02" w14:textId="6957F86F" w:rsidR="002520DA" w:rsidRPr="002520DA" w:rsidRDefault="002520DA" w:rsidP="00F02E52">
      <w:pPr>
        <w:rPr>
          <w:rFonts w:ascii="Calibri" w:hAnsi="Calibri" w:cs="Calibri"/>
          <w:color w:val="000000"/>
          <w:shd w:val="clear" w:color="auto" w:fill="FFFFFF"/>
          <w:lang w:val="en-US"/>
        </w:rPr>
      </w:pPr>
      <w:r w:rsidRPr="002520DA">
        <w:rPr>
          <w:rFonts w:ascii="Calibri" w:hAnsi="Calibri" w:cs="Calibri"/>
          <w:color w:val="000000"/>
          <w:shd w:val="clear" w:color="auto" w:fill="FFFFFF"/>
          <w:lang w:val="en-US"/>
        </w:rPr>
        <w:t>Low</w:t>
      </w:r>
      <w:r w:rsidR="00BA556A">
        <w:rPr>
          <w:rFonts w:ascii="Calibri" w:hAnsi="Calibri" w:cs="Calibri"/>
          <w:color w:val="000000"/>
          <w:shd w:val="clear" w:color="auto" w:fill="FFFFFF"/>
          <w:lang w:val="en-US"/>
        </w:rPr>
        <w:t xml:space="preserve"> </w:t>
      </w:r>
      <w:r w:rsidRPr="002520DA">
        <w:rPr>
          <w:rFonts w:ascii="Calibri" w:hAnsi="Calibri" w:cs="Calibri"/>
          <w:color w:val="000000"/>
          <w:shd w:val="clear" w:color="auto" w:fill="FFFFFF"/>
          <w:lang w:val="en-US"/>
        </w:rPr>
        <w:t>carbon fuels will play an important role in reducing emissions from transport. Even if Aotearoa rapidly converts to E</w:t>
      </w:r>
      <w:r w:rsidR="00715A82">
        <w:rPr>
          <w:rFonts w:ascii="Calibri" w:hAnsi="Calibri" w:cs="Calibri"/>
          <w:color w:val="000000"/>
          <w:shd w:val="clear" w:color="auto" w:fill="FFFFFF"/>
          <w:lang w:val="en-US"/>
        </w:rPr>
        <w:t>V</w:t>
      </w:r>
      <w:r w:rsidRPr="002520DA">
        <w:rPr>
          <w:rFonts w:ascii="Calibri" w:hAnsi="Calibri" w:cs="Calibri"/>
          <w:color w:val="000000"/>
          <w:shd w:val="clear" w:color="auto" w:fill="FFFFFF"/>
          <w:lang w:val="en-US"/>
        </w:rPr>
        <w:t xml:space="preserve">s, biofuels or hydrogen are likely to be needed for ships, trains, aircraft and long-distance trucks. These heavy vehicles are more difficult to electrify, so the transition is likely to take longer. </w:t>
      </w:r>
    </w:p>
    <w:p w14:paraId="7EE825D2" w14:textId="21149EE8" w:rsidR="002520DA" w:rsidRPr="002520DA" w:rsidRDefault="002520DA" w:rsidP="00F02E52">
      <w:pPr>
        <w:rPr>
          <w:rFonts w:ascii="Calibri" w:hAnsi="Calibri" w:cs="Calibri"/>
          <w:color w:val="000000"/>
          <w:shd w:val="clear" w:color="auto" w:fill="FFFFFF"/>
          <w:lang w:val="en-US"/>
        </w:rPr>
      </w:pPr>
      <w:r w:rsidRPr="002520DA">
        <w:rPr>
          <w:rFonts w:ascii="Calibri" w:hAnsi="Calibri" w:cs="Calibri"/>
          <w:color w:val="000000"/>
          <w:shd w:val="clear" w:color="auto" w:fill="FFFFFF"/>
          <w:lang w:val="en-US"/>
        </w:rPr>
        <w:t xml:space="preserve">Our analysis shows that Aotearoa is likely to need </w:t>
      </w:r>
      <w:r w:rsidR="005A4D87">
        <w:rPr>
          <w:rFonts w:ascii="Calibri" w:hAnsi="Calibri" w:cs="Calibri"/>
          <w:color w:val="000000"/>
          <w:shd w:val="clear" w:color="auto" w:fill="FFFFFF"/>
          <w:lang w:val="en-US"/>
        </w:rPr>
        <w:t>3</w:t>
      </w:r>
      <w:r w:rsidRPr="002520DA">
        <w:rPr>
          <w:rFonts w:ascii="Calibri" w:hAnsi="Calibri" w:cs="Calibri"/>
          <w:color w:val="000000"/>
          <w:shd w:val="clear" w:color="auto" w:fill="FFFFFF"/>
          <w:lang w:val="en-US"/>
        </w:rPr>
        <w:t xml:space="preserve">% of </w:t>
      </w:r>
      <w:r w:rsidR="005A4D87">
        <w:rPr>
          <w:rFonts w:ascii="Calibri" w:hAnsi="Calibri" w:cs="Calibri"/>
          <w:color w:val="000000"/>
          <w:shd w:val="clear" w:color="auto" w:fill="FFFFFF"/>
          <w:lang w:val="en-US"/>
        </w:rPr>
        <w:t>domestic</w:t>
      </w:r>
      <w:r w:rsidRPr="002520DA">
        <w:rPr>
          <w:rFonts w:ascii="Calibri" w:hAnsi="Calibri" w:cs="Calibri"/>
          <w:color w:val="000000"/>
          <w:shd w:val="clear" w:color="auto" w:fill="FFFFFF"/>
          <w:lang w:val="en-US"/>
        </w:rPr>
        <w:t xml:space="preserve"> liquid fuels to be low carbon by 2035, which is approximately 140 million </w:t>
      </w:r>
      <w:proofErr w:type="spellStart"/>
      <w:r w:rsidRPr="002520DA">
        <w:rPr>
          <w:rFonts w:ascii="Calibri" w:hAnsi="Calibri" w:cs="Calibri"/>
          <w:color w:val="000000"/>
          <w:shd w:val="clear" w:color="auto" w:fill="FFFFFF"/>
          <w:lang w:val="en-US"/>
        </w:rPr>
        <w:t>litres</w:t>
      </w:r>
      <w:proofErr w:type="spellEnd"/>
      <w:r w:rsidRPr="002520DA">
        <w:rPr>
          <w:rFonts w:ascii="Calibri" w:hAnsi="Calibri" w:cs="Calibri"/>
          <w:color w:val="000000"/>
          <w:shd w:val="clear" w:color="auto" w:fill="FFFFFF"/>
          <w:lang w:val="en-US"/>
        </w:rPr>
        <w:t xml:space="preserve"> per year. Achieving this would require building about another seven plants with </w:t>
      </w:r>
      <w:r w:rsidRPr="002520DA">
        <w:t>similar capacity to Z Energy’s existing Wiri plant – 20 million litres per year.</w:t>
      </w:r>
    </w:p>
    <w:p w14:paraId="2AFFEF0A" w14:textId="42BED6F0" w:rsidR="002520DA" w:rsidRPr="002520DA" w:rsidRDefault="002520DA" w:rsidP="00F02E52">
      <w:pPr>
        <w:rPr>
          <w:rFonts w:ascii="Calibri" w:hAnsi="Calibri" w:cs="Calibri"/>
          <w:color w:val="000000"/>
          <w:shd w:val="clear" w:color="auto" w:fill="FFFFFF"/>
          <w:lang w:val="en-US"/>
        </w:rPr>
      </w:pPr>
      <w:r w:rsidRPr="002520DA">
        <w:rPr>
          <w:rFonts w:ascii="Calibri" w:hAnsi="Calibri" w:cs="Calibri"/>
          <w:color w:val="000000"/>
          <w:shd w:val="clear" w:color="auto" w:fill="FFFFFF"/>
          <w:lang w:val="en-US"/>
        </w:rPr>
        <w:t>Low</w:t>
      </w:r>
      <w:r w:rsidR="00C03D45">
        <w:rPr>
          <w:rFonts w:ascii="Calibri" w:hAnsi="Calibri" w:cs="Calibri"/>
          <w:color w:val="000000"/>
          <w:shd w:val="clear" w:color="auto" w:fill="FFFFFF"/>
          <w:lang w:val="en-US"/>
        </w:rPr>
        <w:t xml:space="preserve"> </w:t>
      </w:r>
      <w:r w:rsidRPr="002520DA">
        <w:rPr>
          <w:rFonts w:ascii="Calibri" w:hAnsi="Calibri" w:cs="Calibri"/>
          <w:color w:val="000000"/>
          <w:shd w:val="clear" w:color="auto" w:fill="FFFFFF"/>
          <w:lang w:val="en-US"/>
        </w:rPr>
        <w:t>carbon fuels are more expensive than fossil fuels, and Aotearoa does not currently have incentives or regulations in place to help them become more competitive, or to increase demand. Aotearoa also currently lacks facilities to produce biofuels and hydrogen, limiting their supply.</w:t>
      </w:r>
    </w:p>
    <w:p w14:paraId="37821A7D" w14:textId="0602D8B3" w:rsidR="002520DA" w:rsidRPr="002520DA" w:rsidRDefault="002520DA" w:rsidP="00F02E52">
      <w:pPr>
        <w:rPr>
          <w:rFonts w:ascii="Calibri" w:hAnsi="Calibri" w:cs="Calibri"/>
          <w:color w:val="000000"/>
          <w:shd w:val="clear" w:color="auto" w:fill="FFFFFF"/>
          <w:lang w:val="en-US"/>
        </w:rPr>
      </w:pPr>
      <w:r w:rsidRPr="002520DA">
        <w:rPr>
          <w:rFonts w:eastAsia="Courier New"/>
          <w:lang w:val="en-US" w:eastAsia="en-NZ"/>
        </w:rPr>
        <w:lastRenderedPageBreak/>
        <w:t xml:space="preserve">Aviation is particularly challenging to </w:t>
      </w:r>
      <w:proofErr w:type="spellStart"/>
      <w:r w:rsidR="00D8662C">
        <w:rPr>
          <w:rFonts w:eastAsia="Courier New"/>
          <w:lang w:val="en-US" w:eastAsia="en-NZ"/>
        </w:rPr>
        <w:t>decarbonise</w:t>
      </w:r>
      <w:proofErr w:type="spellEnd"/>
      <w:r w:rsidRPr="002520DA">
        <w:rPr>
          <w:rFonts w:eastAsia="Courier New"/>
          <w:lang w:val="en-US" w:eastAsia="en-NZ"/>
        </w:rPr>
        <w:t xml:space="preserve">. There is currently no commercially viable sustainable aviation fuel supply in </w:t>
      </w:r>
      <w:r w:rsidRPr="002520DA">
        <w:t>Aotearoa</w:t>
      </w:r>
      <w:r w:rsidRPr="002520DA">
        <w:rPr>
          <w:rFonts w:eastAsia="Courier New"/>
          <w:lang w:val="en-US" w:eastAsia="en-NZ"/>
        </w:rPr>
        <w:t xml:space="preserve">. In offshore ports where </w:t>
      </w:r>
      <w:r w:rsidR="00985E8D">
        <w:rPr>
          <w:rFonts w:eastAsia="Courier New"/>
          <w:lang w:val="en-US" w:eastAsia="en-NZ"/>
        </w:rPr>
        <w:t>sustainable aviation fuel</w:t>
      </w:r>
      <w:r w:rsidR="00985E8D" w:rsidRPr="002520DA">
        <w:rPr>
          <w:rFonts w:eastAsia="Courier New"/>
          <w:lang w:val="en-US" w:eastAsia="en-NZ"/>
        </w:rPr>
        <w:t xml:space="preserve"> </w:t>
      </w:r>
      <w:r w:rsidRPr="002520DA">
        <w:rPr>
          <w:rFonts w:eastAsia="Courier New"/>
          <w:lang w:val="en-US" w:eastAsia="en-NZ"/>
        </w:rPr>
        <w:t>is being produced, its use has been supported by public funding and other policies. Aotearoa needs p</w:t>
      </w:r>
      <w:r w:rsidRPr="002520DA">
        <w:rPr>
          <w:rFonts w:ascii="Calibri" w:hAnsi="Calibri" w:cs="Calibri"/>
          <w:color w:val="000000"/>
          <w:shd w:val="clear" w:color="auto" w:fill="FFFFFF"/>
          <w:lang w:val="en-US"/>
        </w:rPr>
        <w:t>olicies to address supply and demand, including measures like grants or tax credits to improve competitiveness with fossil fuels. Measures are also needed to create demand and help build a market for low</w:t>
      </w:r>
      <w:r w:rsidR="00C03D45">
        <w:rPr>
          <w:rFonts w:ascii="Calibri" w:hAnsi="Calibri" w:cs="Calibri"/>
          <w:color w:val="000000"/>
          <w:shd w:val="clear" w:color="auto" w:fill="FFFFFF"/>
          <w:lang w:val="en-US"/>
        </w:rPr>
        <w:t xml:space="preserve"> </w:t>
      </w:r>
      <w:r w:rsidRPr="002520DA">
        <w:rPr>
          <w:rFonts w:ascii="Calibri" w:hAnsi="Calibri" w:cs="Calibri"/>
          <w:color w:val="000000"/>
          <w:shd w:val="clear" w:color="auto" w:fill="FFFFFF"/>
          <w:lang w:val="en-US"/>
        </w:rPr>
        <w:t xml:space="preserve">carbon fuels in the long term. </w:t>
      </w:r>
    </w:p>
    <w:p w14:paraId="153F0EAC" w14:textId="1F3ADB5C" w:rsidR="002520DA" w:rsidRDefault="002520DA" w:rsidP="00443AA8">
      <w:pPr>
        <w:rPr>
          <w:rFonts w:ascii="Calibri" w:hAnsi="Calibri" w:cs="Calibri"/>
          <w:color w:val="000000"/>
          <w:shd w:val="clear" w:color="auto" w:fill="FFFFFF"/>
          <w:lang w:val="en-US"/>
        </w:rPr>
      </w:pPr>
      <w:r w:rsidRPr="002520DA">
        <w:rPr>
          <w:rFonts w:ascii="Calibri" w:hAnsi="Calibri" w:cs="Calibri"/>
          <w:color w:val="000000"/>
          <w:shd w:val="clear" w:color="auto" w:fill="FFFFFF"/>
          <w:lang w:val="en-US"/>
        </w:rPr>
        <w:t xml:space="preserve">There is potential for </w:t>
      </w:r>
      <w:proofErr w:type="spellStart"/>
      <w:r w:rsidRPr="002520DA" w:rsidDel="000C5A31">
        <w:rPr>
          <w:rFonts w:ascii="Calibri" w:hAnsi="Calibri" w:cs="Calibri"/>
          <w:color w:val="000000"/>
          <w:shd w:val="clear" w:color="auto" w:fill="FFFFFF"/>
          <w:lang w:val="en-US"/>
        </w:rPr>
        <w:t>decarbonising</w:t>
      </w:r>
      <w:proofErr w:type="spellEnd"/>
      <w:r w:rsidRPr="002520DA">
        <w:rPr>
          <w:rFonts w:ascii="Calibri" w:hAnsi="Calibri" w:cs="Calibri"/>
          <w:color w:val="000000"/>
          <w:shd w:val="clear" w:color="auto" w:fill="FFFFFF"/>
          <w:lang w:val="en-US"/>
        </w:rPr>
        <w:t xml:space="preserve"> rail through further overhead electrification or through the use of battery-hybrid or low carbon fuel locomotives. </w:t>
      </w:r>
      <w:r w:rsidRPr="002520DA">
        <w:t>Significant parts of the freight rail network have been facing a state of managed decline due to lack of long-term investment and inadequate planning and funding frameworks. The Draft New Zealand Rail Plan sets out a remedial investment programme and a new planning and funding framework to maintain freight rail but does not establish clear targets, or an investment strategy</w:t>
      </w:r>
      <w:r w:rsidR="003821CC">
        <w:t>,</w:t>
      </w:r>
      <w:r w:rsidRPr="002520DA">
        <w:t xml:space="preserve"> to increase the share of rail. </w:t>
      </w:r>
      <w:r w:rsidRPr="002520DA">
        <w:rPr>
          <w:rFonts w:ascii="Calibri" w:hAnsi="Calibri" w:cs="Calibri"/>
          <w:color w:val="000000"/>
          <w:shd w:val="clear" w:color="auto" w:fill="FFFFFF"/>
          <w:lang w:val="en-US"/>
        </w:rPr>
        <w:t>There is also potential to shift freight from road to coastal shipping.</w:t>
      </w:r>
    </w:p>
    <w:p w14:paraId="6D222698" w14:textId="77777777" w:rsidR="00F02E52" w:rsidRPr="002520DA" w:rsidRDefault="00F02E52" w:rsidP="00443AA8">
      <w:pPr>
        <w:rPr>
          <w:rFonts w:ascii="Calibri" w:hAnsi="Calibri" w:cs="Calibri"/>
          <w:color w:val="000000"/>
          <w:shd w:val="clear" w:color="auto" w:fill="FFFFFF"/>
          <w:lang w:val="en-US"/>
        </w:rPr>
      </w:pPr>
    </w:p>
    <w:tbl>
      <w:tblPr>
        <w:tblStyle w:val="GridTable4-Accent5"/>
        <w:tblW w:w="0" w:type="auto"/>
        <w:tblCellMar>
          <w:top w:w="57" w:type="dxa"/>
          <w:bottom w:w="57" w:type="dxa"/>
        </w:tblCellMar>
        <w:tblLook w:val="04A0" w:firstRow="1" w:lastRow="0" w:firstColumn="1" w:lastColumn="0" w:noHBand="0" w:noVBand="1"/>
      </w:tblPr>
      <w:tblGrid>
        <w:gridCol w:w="9016"/>
      </w:tblGrid>
      <w:tr w:rsidR="002520DA" w:rsidRPr="002520DA" w14:paraId="3E5563ED" w14:textId="77777777" w:rsidTr="0052109F">
        <w:trPr>
          <w:cnfStyle w:val="100000000000" w:firstRow="1" w:lastRow="0" w:firstColumn="0" w:lastColumn="0" w:oddVBand="0" w:evenVBand="0" w:oddHBand="0"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9016" w:type="dxa"/>
          </w:tcPr>
          <w:p w14:paraId="2F22871F" w14:textId="6A68BE6B" w:rsidR="002520DA" w:rsidRPr="002520DA" w:rsidRDefault="003F340F" w:rsidP="002520DA">
            <w:pPr>
              <w:spacing w:before="0" w:after="0"/>
              <w:jc w:val="center"/>
              <w:rPr>
                <w:sz w:val="28"/>
                <w:szCs w:val="28"/>
              </w:rPr>
            </w:pPr>
            <w:r w:rsidRPr="003F340F">
              <w:rPr>
                <w:sz w:val="28"/>
                <w:szCs w:val="28"/>
              </w:rPr>
              <w:t>Necessary</w:t>
            </w:r>
            <w:r w:rsidR="002520DA" w:rsidRPr="002520DA">
              <w:rPr>
                <w:sz w:val="28"/>
                <w:szCs w:val="28"/>
              </w:rPr>
              <w:t xml:space="preserve"> action </w:t>
            </w:r>
            <w:r w:rsidR="003B15E6">
              <w:rPr>
                <w:sz w:val="28"/>
                <w:szCs w:val="28"/>
              </w:rPr>
              <w:t>4</w:t>
            </w:r>
          </w:p>
          <w:p w14:paraId="5AA6714C" w14:textId="221775E8" w:rsidR="002520DA" w:rsidRPr="00B052DC" w:rsidRDefault="002520DA" w:rsidP="002520DA">
            <w:pPr>
              <w:spacing w:before="0" w:after="0"/>
              <w:jc w:val="center"/>
              <w:rPr>
                <w:b w:val="0"/>
                <w:bCs w:val="0"/>
                <w:sz w:val="26"/>
                <w:szCs w:val="26"/>
              </w:rPr>
            </w:pPr>
            <w:r w:rsidRPr="00B052DC">
              <w:rPr>
                <w:b w:val="0"/>
                <w:bCs w:val="0"/>
                <w:sz w:val="26"/>
                <w:szCs w:val="26"/>
              </w:rPr>
              <w:t>Increase the use of low</w:t>
            </w:r>
            <w:r w:rsidR="00C03D45">
              <w:rPr>
                <w:b w:val="0"/>
                <w:bCs w:val="0"/>
                <w:sz w:val="26"/>
                <w:szCs w:val="26"/>
              </w:rPr>
              <w:t xml:space="preserve"> </w:t>
            </w:r>
            <w:r w:rsidRPr="00B052DC">
              <w:rPr>
                <w:b w:val="0"/>
                <w:bCs w:val="0"/>
                <w:sz w:val="26"/>
                <w:szCs w:val="26"/>
              </w:rPr>
              <w:t>carbon fuels for trains, ships, heavy trucks and planes</w:t>
            </w:r>
          </w:p>
        </w:tc>
      </w:tr>
      <w:tr w:rsidR="002520DA" w:rsidRPr="002520DA" w14:paraId="4985AC16"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CE7437A" w14:textId="2FFE241A" w:rsidR="002520DA" w:rsidRPr="002520DA" w:rsidRDefault="002520DA" w:rsidP="002520DA">
            <w:pPr>
              <w:spacing w:before="120"/>
            </w:pPr>
            <w:r w:rsidRPr="002520DA">
              <w:t xml:space="preserve">We recommend that, in the first budget period the Government </w:t>
            </w:r>
            <w:r w:rsidR="00A64B34">
              <w:t>take</w:t>
            </w:r>
            <w:r w:rsidRPr="002520DA">
              <w:t xml:space="preserve"> the following steps to support the use of low carbon fuels for heavy vehicles such as trucks, planes, ships, and off-road vehicles to meet emissions budgets:</w:t>
            </w:r>
          </w:p>
          <w:p w14:paraId="1937EE86" w14:textId="3FD9559F" w:rsidR="00C21623" w:rsidRPr="00C21623" w:rsidRDefault="00C21623" w:rsidP="00655722">
            <w:pPr>
              <w:numPr>
                <w:ilvl w:val="0"/>
                <w:numId w:val="37"/>
              </w:numPr>
              <w:rPr>
                <w:rFonts w:ascii="Calibri" w:eastAsia="Times New Roman" w:hAnsi="Calibri" w:cs="Calibri"/>
                <w:lang w:eastAsia="en-NZ"/>
              </w:rPr>
            </w:pPr>
            <w:r w:rsidRPr="00C21623">
              <w:rPr>
                <w:rFonts w:ascii="Calibri" w:eastAsia="Times New Roman" w:hAnsi="Calibri" w:cs="Calibri"/>
                <w:lang w:eastAsia="en-NZ"/>
              </w:rPr>
              <w:t xml:space="preserve">Set a </w:t>
            </w:r>
            <w:r w:rsidRPr="00C21623">
              <w:t>target</w:t>
            </w:r>
            <w:r w:rsidRPr="00C21623">
              <w:rPr>
                <w:rFonts w:ascii="Calibri" w:eastAsia="Times New Roman" w:hAnsi="Calibri" w:cs="Calibri"/>
                <w:lang w:eastAsia="en-NZ"/>
              </w:rPr>
              <w:t xml:space="preserve"> and introduce polices so that at least 140 million litres of low carbon liquid fuels are sold in Aotearoa by </w:t>
            </w:r>
            <w:r w:rsidR="002D51B0">
              <w:rPr>
                <w:rFonts w:ascii="Calibri" w:eastAsia="Times New Roman" w:hAnsi="Calibri" w:cs="Calibri"/>
                <w:lang w:eastAsia="en-NZ"/>
              </w:rPr>
              <w:t xml:space="preserve">31 December </w:t>
            </w:r>
            <w:r w:rsidRPr="00C21623">
              <w:rPr>
                <w:rFonts w:ascii="Calibri" w:eastAsia="Times New Roman" w:hAnsi="Calibri" w:cs="Calibri"/>
                <w:lang w:eastAsia="en-NZ"/>
              </w:rPr>
              <w:t>2035</w:t>
            </w:r>
            <w:r w:rsidR="00C60D0B">
              <w:rPr>
                <w:rFonts w:ascii="Calibri" w:eastAsia="Times New Roman" w:hAnsi="Calibri" w:cs="Calibri"/>
                <w:lang w:eastAsia="en-NZ"/>
              </w:rPr>
              <w:t>.</w:t>
            </w:r>
          </w:p>
          <w:p w14:paraId="52250CDC" w14:textId="77777777" w:rsidR="002520DA" w:rsidRPr="002520DA" w:rsidRDefault="002520DA" w:rsidP="00655722">
            <w:pPr>
              <w:numPr>
                <w:ilvl w:val="0"/>
                <w:numId w:val="37"/>
              </w:numPr>
            </w:pPr>
            <w:r w:rsidRPr="002520DA">
              <w:t>Introduce low carbon fuel standards or mandates to increase demand for low carbon fuels, with specific consideration given to aviation.</w:t>
            </w:r>
          </w:p>
          <w:p w14:paraId="726B44FC" w14:textId="061315DC" w:rsidR="002520DA" w:rsidRPr="002520DA" w:rsidRDefault="002520DA" w:rsidP="00655722">
            <w:pPr>
              <w:numPr>
                <w:ilvl w:val="0"/>
                <w:numId w:val="37"/>
              </w:numPr>
            </w:pPr>
            <w:r w:rsidRPr="002520DA">
              <w:t>Introduce incentives to establish low emission</w:t>
            </w:r>
            <w:r w:rsidR="00F726BF">
              <w:t>s</w:t>
            </w:r>
            <w:r w:rsidRPr="002520DA">
              <w:t xml:space="preserve"> fuel plants, such as biofuel sustainable aviation fuel, and make those fuels more competitive with traditional fossil fuels.</w:t>
            </w:r>
          </w:p>
          <w:p w14:paraId="18427B6C" w14:textId="7839EB22" w:rsidR="002520DA" w:rsidRPr="002520DA" w:rsidRDefault="002520DA" w:rsidP="00655722">
            <w:pPr>
              <w:numPr>
                <w:ilvl w:val="0"/>
                <w:numId w:val="37"/>
              </w:numPr>
            </w:pPr>
            <w:r w:rsidRPr="002520DA">
              <w:rPr>
                <w:lang w:val="en-US"/>
              </w:rPr>
              <w:t xml:space="preserve">Place further emphasis on </w:t>
            </w:r>
            <w:proofErr w:type="spellStart"/>
            <w:r w:rsidR="00F726BF">
              <w:rPr>
                <w:lang w:val="en-US"/>
              </w:rPr>
              <w:t>decarbonising</w:t>
            </w:r>
            <w:proofErr w:type="spellEnd"/>
            <w:r w:rsidRPr="002520DA">
              <w:rPr>
                <w:lang w:val="en-US"/>
              </w:rPr>
              <w:t xml:space="preserve"> the rail system</w:t>
            </w:r>
            <w:r w:rsidR="00B94FD6">
              <w:rPr>
                <w:lang w:val="en-US"/>
              </w:rPr>
              <w:t>,</w:t>
            </w:r>
            <w:r w:rsidRPr="002520DA">
              <w:rPr>
                <w:lang w:val="en-US"/>
              </w:rPr>
              <w:t xml:space="preserve"> and establish an investment strategy and clear targets to increase the share of rail and coastal shipping.</w:t>
            </w:r>
          </w:p>
        </w:tc>
      </w:tr>
    </w:tbl>
    <w:p w14:paraId="2827BEED" w14:textId="77777777" w:rsidR="007C25C8" w:rsidRDefault="007C25C8" w:rsidP="00400204">
      <w:pPr>
        <w:pStyle w:val="Content"/>
      </w:pPr>
    </w:p>
    <w:tbl>
      <w:tblPr>
        <w:tblStyle w:val="GridTable4-Accent2"/>
        <w:tblW w:w="0" w:type="auto"/>
        <w:shd w:val="clear" w:color="auto" w:fill="C6B1D1"/>
        <w:tblCellMar>
          <w:top w:w="57" w:type="dxa"/>
          <w:bottom w:w="57" w:type="dxa"/>
        </w:tblCellMar>
        <w:tblLook w:val="04A0" w:firstRow="1" w:lastRow="0" w:firstColumn="1" w:lastColumn="0" w:noHBand="0" w:noVBand="1"/>
      </w:tblPr>
      <w:tblGrid>
        <w:gridCol w:w="9016"/>
      </w:tblGrid>
      <w:tr w:rsidR="007C25C8" w:rsidRPr="00EA4071" w14:paraId="63E450AC" w14:textId="77777777" w:rsidTr="00EA29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9E76B3"/>
          </w:tcPr>
          <w:p w14:paraId="410DA9A9" w14:textId="77777777" w:rsidR="007C25C8" w:rsidRPr="00BA7CD8" w:rsidRDefault="007C25C8" w:rsidP="00EA297B">
            <w:pPr>
              <w:pStyle w:val="Content"/>
              <w:spacing w:before="0" w:after="0"/>
              <w:jc w:val="center"/>
              <w:rPr>
                <w:bCs w:val="0"/>
                <w:color w:val="000000" w:themeColor="text1"/>
                <w:sz w:val="24"/>
                <w:szCs w:val="24"/>
                <w:lang w:val="en-US"/>
              </w:rPr>
            </w:pPr>
            <w:r>
              <w:rPr>
                <w:bCs w:val="0"/>
                <w:sz w:val="28"/>
                <w:szCs w:val="28"/>
              </w:rPr>
              <w:t>Consultation question 14</w:t>
            </w:r>
          </w:p>
          <w:p w14:paraId="44329754" w14:textId="77777777" w:rsidR="007C25C8" w:rsidRPr="00EA4071" w:rsidRDefault="007C25C8" w:rsidP="00EA297B">
            <w:pPr>
              <w:pStyle w:val="Content"/>
              <w:spacing w:before="0" w:after="0"/>
              <w:jc w:val="center"/>
              <w:rPr>
                <w:b w:val="0"/>
                <w:sz w:val="28"/>
                <w:szCs w:val="28"/>
              </w:rPr>
            </w:pPr>
            <w:r>
              <w:rPr>
                <w:b w:val="0"/>
                <w:sz w:val="28"/>
                <w:szCs w:val="28"/>
                <w:lang w:val="en-US"/>
              </w:rPr>
              <w:t>Transport</w:t>
            </w:r>
          </w:p>
        </w:tc>
      </w:tr>
      <w:tr w:rsidR="00A01D1E" w:rsidRPr="00EA4071" w14:paraId="6522448F" w14:textId="77777777" w:rsidTr="00EA2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C6B1D1"/>
          </w:tcPr>
          <w:p w14:paraId="48F7CA8C" w14:textId="31E4DBC7" w:rsidR="00A01D1E" w:rsidRPr="00E5673C" w:rsidRDefault="00A01D1E" w:rsidP="00A01D1E">
            <w:r w:rsidRPr="00B9426C">
              <w:t>Do you support the package of recommendations and actions for the transport sector</w:t>
            </w:r>
            <w:r>
              <w:rPr>
                <w:bCs w:val="0"/>
              </w:rPr>
              <w:t>? Is there anything we should change, and why</w:t>
            </w:r>
            <w:r w:rsidRPr="00E5673C">
              <w:rPr>
                <w:bCs w:val="0"/>
              </w:rPr>
              <w:t>?</w:t>
            </w:r>
          </w:p>
        </w:tc>
      </w:tr>
    </w:tbl>
    <w:p w14:paraId="56C4AB0B" w14:textId="17FA5F4D" w:rsidR="00EB649D" w:rsidRPr="00C60D0B" w:rsidRDefault="00CB24D5" w:rsidP="00EB649D">
      <w:pPr>
        <w:pStyle w:val="Heading3"/>
      </w:pPr>
      <w:bookmarkStart w:id="213" w:name="_Toc62649365"/>
      <w:bookmarkStart w:id="214" w:name="_Toc62650306"/>
      <w:r>
        <w:lastRenderedPageBreak/>
        <w:t xml:space="preserve">6.1.2 </w:t>
      </w:r>
      <w:r w:rsidR="00EB649D" w:rsidRPr="002520DA">
        <w:t>Heat, industry and</w:t>
      </w:r>
      <w:r w:rsidR="00EB649D" w:rsidRPr="00C60D0B">
        <w:t xml:space="preserve"> power</w:t>
      </w:r>
      <w:bookmarkEnd w:id="213"/>
      <w:bookmarkEnd w:id="214"/>
    </w:p>
    <w:p w14:paraId="51E2B7A3" w14:textId="77777777" w:rsidR="00EB649D" w:rsidRPr="002520DA" w:rsidRDefault="00EB649D" w:rsidP="00EB649D">
      <w:pPr>
        <w:pStyle w:val="Heading4"/>
        <w:rPr>
          <w:color w:val="1F3864" w:themeColor="accent1" w:themeShade="80"/>
          <w:sz w:val="24"/>
          <w:szCs w:val="24"/>
        </w:rPr>
      </w:pPr>
      <w:r w:rsidRPr="002520DA">
        <w:t xml:space="preserve">Decarbonise energy </w:t>
      </w:r>
    </w:p>
    <w:p w14:paraId="01ABCA13" w14:textId="77777777" w:rsidR="00EB649D" w:rsidRPr="002520DA" w:rsidRDefault="00EB649D" w:rsidP="00EB649D">
      <w:pPr>
        <w:rPr>
          <w:shd w:val="clear" w:color="auto" w:fill="FFFFFF"/>
        </w:rPr>
      </w:pPr>
      <w:r w:rsidRPr="002520DA">
        <w:t>In 2018</w:t>
      </w:r>
      <w:r>
        <w:t>, the country’s</w:t>
      </w:r>
      <w:r w:rsidRPr="002520DA" w:rsidDel="000C5A31">
        <w:rPr>
          <w:shd w:val="clear" w:color="auto" w:fill="FFFFFF"/>
        </w:rPr>
        <w:t xml:space="preserve"> </w:t>
      </w:r>
      <w:r w:rsidRPr="002520DA">
        <w:rPr>
          <w:shd w:val="clear" w:color="auto" w:fill="FFFFFF"/>
        </w:rPr>
        <w:t>energy supply was 40% renewable</w:t>
      </w:r>
      <w:r>
        <w:rPr>
          <w:shd w:val="clear" w:color="auto" w:fill="FFFFFF"/>
        </w:rPr>
        <w:t>. T</w:t>
      </w:r>
      <w:r w:rsidRPr="002520DA">
        <w:rPr>
          <w:shd w:val="clear" w:color="auto" w:fill="FFFFFF"/>
        </w:rPr>
        <w:t xml:space="preserve">he remaining 60% came from oil, </w:t>
      </w:r>
      <w:r>
        <w:rPr>
          <w:shd w:val="clear" w:color="auto" w:fill="FFFFFF"/>
        </w:rPr>
        <w:t xml:space="preserve">natural </w:t>
      </w:r>
      <w:r w:rsidRPr="002520DA">
        <w:rPr>
          <w:shd w:val="clear" w:color="auto" w:fill="FFFFFF"/>
        </w:rPr>
        <w:t>gas and coal. This energy is used across the economy in transport, electricity, for heating and by industry. In 2018</w:t>
      </w:r>
      <w:r>
        <w:rPr>
          <w:shd w:val="clear" w:color="auto" w:fill="FFFFFF"/>
        </w:rPr>
        <w:t>, the country</w:t>
      </w:r>
      <w:r w:rsidRPr="002520DA">
        <w:rPr>
          <w:shd w:val="clear" w:color="auto" w:fill="FFFFFF"/>
        </w:rPr>
        <w:t>’s energy use resulted in 32 Mt</w:t>
      </w:r>
      <w:r>
        <w:rPr>
          <w:shd w:val="clear" w:color="auto" w:fill="FFFFFF"/>
        </w:rPr>
        <w:t xml:space="preserve"> CO</w:t>
      </w:r>
      <w:r w:rsidRPr="000E553B">
        <w:rPr>
          <w:shd w:val="clear" w:color="auto" w:fill="FFFFFF"/>
          <w:vertAlign w:val="subscript"/>
        </w:rPr>
        <w:t>2</w:t>
      </w:r>
      <w:r>
        <w:rPr>
          <w:shd w:val="clear" w:color="auto" w:fill="FFFFFF"/>
        </w:rPr>
        <w:t>e.</w:t>
      </w:r>
    </w:p>
    <w:p w14:paraId="3673F6EC" w14:textId="77777777" w:rsidR="00EB649D" w:rsidRPr="002520DA" w:rsidRDefault="00EB649D" w:rsidP="00EB649D">
      <w:pPr>
        <w:rPr>
          <w:rFonts w:ascii="Calibri" w:hAnsi="Calibri" w:cs="Calibri"/>
          <w:shd w:val="clear" w:color="auto" w:fill="FFFFFF"/>
        </w:rPr>
      </w:pPr>
      <w:r w:rsidRPr="002520DA">
        <w:rPr>
          <w:rFonts w:ascii="Calibri" w:hAnsi="Calibri" w:cs="Calibri"/>
          <w:shd w:val="clear" w:color="auto" w:fill="FFFFFF"/>
        </w:rPr>
        <w:t xml:space="preserve">The Government’s aspirational renewable electricity target is part of a bigger energy picture. To meet the 2050 target of net zero long-lived gases Aotearoa needs to transition away from fossil fuels </w:t>
      </w:r>
      <w:r w:rsidRPr="002520DA">
        <w:rPr>
          <w:shd w:val="clear" w:color="auto" w:fill="FFFFFF"/>
        </w:rPr>
        <w:t>and rely more heavily on renewable electricity and low emissions fuels like bioenergy and hydrogen, and improve energy efficiency.</w:t>
      </w:r>
      <w:r w:rsidRPr="002520DA">
        <w:rPr>
          <w:rFonts w:ascii="Calibri" w:hAnsi="Calibri" w:cs="Calibri"/>
          <w:shd w:val="clear" w:color="auto" w:fill="FFFFFF"/>
        </w:rPr>
        <w:t xml:space="preserve"> Setting a broader, system-wide target for renewable energy would signal the scale of emissions reductions required across the whole energy system and encourage investment without locking in a prescribed pathway. </w:t>
      </w:r>
    </w:p>
    <w:p w14:paraId="19D4822C" w14:textId="77777777" w:rsidR="00EB649D" w:rsidRDefault="00EB649D" w:rsidP="00EB649D">
      <w:pPr>
        <w:rPr>
          <w:shd w:val="clear" w:color="auto" w:fill="FFFFFF"/>
        </w:rPr>
      </w:pPr>
      <w:r w:rsidRPr="002520DA">
        <w:rPr>
          <w:shd w:val="clear" w:color="auto" w:fill="FFFFFF"/>
        </w:rPr>
        <w:t>Developing a</w:t>
      </w:r>
      <w:r w:rsidRPr="002520DA" w:rsidDel="0082335D">
        <w:rPr>
          <w:shd w:val="clear" w:color="auto" w:fill="FFFFFF"/>
        </w:rPr>
        <w:t xml:space="preserve"> </w:t>
      </w:r>
      <w:r w:rsidRPr="002520DA">
        <w:rPr>
          <w:shd w:val="clear" w:color="auto" w:fill="FFFFFF"/>
        </w:rPr>
        <w:t xml:space="preserve">national energy strategy would help to ensure that </w:t>
      </w:r>
      <w:r>
        <w:rPr>
          <w:shd w:val="clear" w:color="auto" w:fill="FFFFFF"/>
        </w:rPr>
        <w:t>the following aspects of the</w:t>
      </w:r>
      <w:r w:rsidRPr="00AE61B5">
        <w:rPr>
          <w:shd w:val="clear" w:color="auto" w:fill="FFFFFF"/>
        </w:rPr>
        <w:t xml:space="preserve"> energy system</w:t>
      </w:r>
      <w:r>
        <w:rPr>
          <w:shd w:val="clear" w:color="auto" w:fill="FFFFFF"/>
        </w:rPr>
        <w:t xml:space="preserve"> in Aotearoa are considered in a coherent way:</w:t>
      </w:r>
    </w:p>
    <w:p w14:paraId="08929294" w14:textId="77777777" w:rsidR="00EB649D" w:rsidRDefault="00EB649D" w:rsidP="00655722">
      <w:pPr>
        <w:pStyle w:val="ListParagraph"/>
        <w:numPr>
          <w:ilvl w:val="0"/>
          <w:numId w:val="46"/>
        </w:numPr>
        <w:rPr>
          <w:shd w:val="clear" w:color="auto" w:fill="FFFFFF"/>
        </w:rPr>
      </w:pPr>
      <w:r w:rsidRPr="002520DA">
        <w:rPr>
          <w:shd w:val="clear" w:color="auto" w:fill="FFFFFF"/>
        </w:rPr>
        <w:t>emissions reductions</w:t>
      </w:r>
    </w:p>
    <w:p w14:paraId="7A0DDAE7" w14:textId="77777777" w:rsidR="00EB649D" w:rsidRDefault="00EB649D" w:rsidP="00655722">
      <w:pPr>
        <w:pStyle w:val="ListParagraph"/>
        <w:numPr>
          <w:ilvl w:val="0"/>
          <w:numId w:val="46"/>
        </w:numPr>
        <w:rPr>
          <w:shd w:val="clear" w:color="auto" w:fill="FFFFFF"/>
        </w:rPr>
      </w:pPr>
      <w:r w:rsidRPr="002520DA">
        <w:rPr>
          <w:shd w:val="clear" w:color="auto" w:fill="FFFFFF"/>
        </w:rPr>
        <w:t>future energy developments</w:t>
      </w:r>
    </w:p>
    <w:p w14:paraId="0093D764" w14:textId="77777777" w:rsidR="00EB649D" w:rsidRDefault="00EB649D" w:rsidP="00655722">
      <w:pPr>
        <w:pStyle w:val="ListParagraph"/>
        <w:numPr>
          <w:ilvl w:val="0"/>
          <w:numId w:val="46"/>
        </w:numPr>
        <w:rPr>
          <w:shd w:val="clear" w:color="auto" w:fill="FFFFFF"/>
        </w:rPr>
      </w:pPr>
      <w:r w:rsidRPr="002520DA">
        <w:rPr>
          <w:shd w:val="clear" w:color="auto" w:fill="FFFFFF"/>
        </w:rPr>
        <w:t>infrastructure</w:t>
      </w:r>
    </w:p>
    <w:p w14:paraId="42BADA64" w14:textId="77777777" w:rsidR="00EB649D" w:rsidRDefault="00EB649D" w:rsidP="00655722">
      <w:pPr>
        <w:pStyle w:val="ListParagraph"/>
        <w:numPr>
          <w:ilvl w:val="0"/>
          <w:numId w:val="46"/>
        </w:numPr>
        <w:rPr>
          <w:shd w:val="clear" w:color="auto" w:fill="FFFFFF"/>
        </w:rPr>
      </w:pPr>
      <w:r w:rsidRPr="002520DA">
        <w:rPr>
          <w:shd w:val="clear" w:color="auto" w:fill="FFFFFF"/>
        </w:rPr>
        <w:t>equitable industry transitions</w:t>
      </w:r>
    </w:p>
    <w:p w14:paraId="1558F79D" w14:textId="77777777" w:rsidR="00EB649D" w:rsidRDefault="00EB649D" w:rsidP="00655722">
      <w:pPr>
        <w:pStyle w:val="ListParagraph"/>
        <w:numPr>
          <w:ilvl w:val="0"/>
          <w:numId w:val="46"/>
        </w:numPr>
        <w:rPr>
          <w:shd w:val="clear" w:color="auto" w:fill="FFFFFF"/>
        </w:rPr>
      </w:pPr>
      <w:r w:rsidRPr="002520DA">
        <w:rPr>
          <w:shd w:val="clear" w:color="auto" w:fill="FFFFFF"/>
        </w:rPr>
        <w:t xml:space="preserve">regional and </w:t>
      </w:r>
      <w:r>
        <w:rPr>
          <w:shd w:val="clear" w:color="auto" w:fill="FFFFFF"/>
        </w:rPr>
        <w:t xml:space="preserve">national </w:t>
      </w:r>
      <w:r w:rsidRPr="002520DA">
        <w:rPr>
          <w:shd w:val="clear" w:color="auto" w:fill="FFFFFF"/>
        </w:rPr>
        <w:t xml:space="preserve">economic development planning </w:t>
      </w:r>
    </w:p>
    <w:p w14:paraId="111FF357" w14:textId="77777777" w:rsidR="00EB649D" w:rsidRPr="002520DA" w:rsidRDefault="00EB649D" w:rsidP="00EB649D">
      <w:pPr>
        <w:rPr>
          <w:shd w:val="clear" w:color="auto" w:fill="FFFFFF"/>
        </w:rPr>
      </w:pPr>
      <w:r w:rsidRPr="002520DA">
        <w:rPr>
          <w:shd w:val="clear" w:color="auto" w:fill="FFFFFF"/>
        </w:rPr>
        <w:t>The objective</w:t>
      </w:r>
      <w:r w:rsidRPr="002520DA" w:rsidDel="00F214C2">
        <w:rPr>
          <w:shd w:val="clear" w:color="auto" w:fill="FFFFFF"/>
        </w:rPr>
        <w:t xml:space="preserve"> </w:t>
      </w:r>
      <w:r w:rsidRPr="002520DA">
        <w:rPr>
          <w:shd w:val="clear" w:color="auto" w:fill="FFFFFF"/>
        </w:rPr>
        <w:t xml:space="preserve">of such a strategy would be to ensure </w:t>
      </w:r>
      <w:r w:rsidRPr="0090548C">
        <w:rPr>
          <w:shd w:val="clear" w:color="auto" w:fill="FFFFFF"/>
        </w:rPr>
        <w:t>a smooth and appropriately sequenced</w:t>
      </w:r>
      <w:r w:rsidRPr="002520DA">
        <w:rPr>
          <w:shd w:val="clear" w:color="auto" w:fill="FFFFFF"/>
        </w:rPr>
        <w:t xml:space="preserve"> phase down of fossil fuels, and scale up of electricity generation and new low</w:t>
      </w:r>
      <w:r>
        <w:rPr>
          <w:shd w:val="clear" w:color="auto" w:fill="FFFFFF"/>
        </w:rPr>
        <w:t xml:space="preserve"> </w:t>
      </w:r>
      <w:r w:rsidRPr="002520DA">
        <w:rPr>
          <w:shd w:val="clear" w:color="auto" w:fill="FFFFFF"/>
        </w:rPr>
        <w:t>emissions fuels in the context of changing supply and demand requirements.</w:t>
      </w:r>
    </w:p>
    <w:p w14:paraId="11C71804" w14:textId="77777777" w:rsidR="00EB649D" w:rsidRPr="002520DA" w:rsidRDefault="00EB649D" w:rsidP="00EB649D">
      <w:pPr>
        <w:rPr>
          <w:shd w:val="clear" w:color="auto" w:fill="FFFFFF"/>
        </w:rPr>
      </w:pPr>
      <w:r w:rsidRPr="002520DA">
        <w:rPr>
          <w:shd w:val="clear" w:color="auto" w:fill="FFFFFF"/>
        </w:rPr>
        <w:t xml:space="preserve">Government can provide industry with greater certainty by clearly signalling the timing and direction of travel as the energy system decarbonises, so that industry is able to plan. </w:t>
      </w:r>
    </w:p>
    <w:p w14:paraId="1DF108E7" w14:textId="77777777" w:rsidR="00EB649D" w:rsidRDefault="00EB649D" w:rsidP="00EB649D">
      <w:pPr>
        <w:rPr>
          <w:shd w:val="clear" w:color="auto" w:fill="FFFFFF"/>
        </w:rPr>
      </w:pPr>
      <w:r w:rsidRPr="002520DA">
        <w:rPr>
          <w:shd w:val="clear" w:color="auto" w:fill="FFFFFF"/>
        </w:rPr>
        <w:t xml:space="preserve">There will be some </w:t>
      </w:r>
      <w:r w:rsidRPr="002520DA">
        <w:rPr>
          <w:color w:val="000000" w:themeColor="text1"/>
        </w:rPr>
        <w:t>nationally significant forks in the road as the energy system decarbonises</w:t>
      </w:r>
      <w:r>
        <w:rPr>
          <w:color w:val="000000" w:themeColor="text1"/>
        </w:rPr>
        <w:t>, where</w:t>
      </w:r>
      <w:r w:rsidRPr="002520DA">
        <w:rPr>
          <w:shd w:val="clear" w:color="auto" w:fill="FFFFFF"/>
        </w:rPr>
        <w:t xml:space="preserve"> choices will need to be made. For example, </w:t>
      </w:r>
      <w:r w:rsidRPr="002520DA">
        <w:rPr>
          <w:color w:val="000000" w:themeColor="text1"/>
        </w:rPr>
        <w:t>whether Aotearoa</w:t>
      </w:r>
      <w:r w:rsidRPr="002520DA">
        <w:rPr>
          <w:shd w:val="clear" w:color="auto" w:fill="FFFFFF"/>
        </w:rPr>
        <w:t xml:space="preserve"> should keep its gas pipeline infrastructure long term as an option for low emissions gases, or whether a low emissions steel industry is critical for security of supply for </w:t>
      </w:r>
      <w:r>
        <w:rPr>
          <w:shd w:val="clear" w:color="auto" w:fill="FFFFFF"/>
        </w:rPr>
        <w:t>the country’s</w:t>
      </w:r>
      <w:r w:rsidRPr="002520DA">
        <w:rPr>
          <w:shd w:val="clear" w:color="auto" w:fill="FFFFFF"/>
        </w:rPr>
        <w:t xml:space="preserve"> construction industry. Also, whether the skills of those who work in the oil and gas sector should be actively retained in Aotearoa for new low emissions industries. </w:t>
      </w:r>
      <w:r>
        <w:rPr>
          <w:shd w:val="clear" w:color="auto" w:fill="FFFFFF"/>
        </w:rPr>
        <w:t>The country’s</w:t>
      </w:r>
      <w:r w:rsidRPr="002520DA">
        <w:rPr>
          <w:shd w:val="clear" w:color="auto" w:fill="FFFFFF"/>
        </w:rPr>
        <w:t xml:space="preserve"> current energy system is extensive, with a dedicated infrastructure and workforce behind it spread throughout the regions and the transition away from fossil fuels will need to be carefully managed in partnership with </w:t>
      </w:r>
      <w:r w:rsidRPr="002520DA">
        <w:rPr>
          <w:color w:val="000000" w:themeColor="text1"/>
        </w:rPr>
        <w:t>industry and</w:t>
      </w:r>
      <w:r w:rsidRPr="002520DA">
        <w:rPr>
          <w:shd w:val="clear" w:color="auto" w:fill="FFFFFF"/>
        </w:rPr>
        <w:t xml:space="preserve"> communities (</w:t>
      </w:r>
      <w:r w:rsidRPr="00B9134A">
        <w:rPr>
          <w:shd w:val="clear" w:color="auto" w:fill="FFFFFF"/>
        </w:rPr>
        <w:t>see time-critical necessary action 1 in chapter 5).</w:t>
      </w:r>
    </w:p>
    <w:p w14:paraId="42EF4947" w14:textId="08D78409" w:rsidR="00EB649D" w:rsidRPr="002520DA" w:rsidRDefault="00FC29AF">
      <w:pPr>
        <w:spacing w:before="0" w:after="160"/>
        <w:rPr>
          <w:shd w:val="clear" w:color="auto" w:fill="FFFFFF"/>
        </w:rPr>
      </w:pPr>
      <w:r>
        <w:rPr>
          <w:shd w:val="clear" w:color="auto" w:fill="FFFFFF"/>
        </w:rPr>
        <w:br w:type="page"/>
      </w:r>
    </w:p>
    <w:p w14:paraId="4EF11546" w14:textId="77777777" w:rsidR="00EB649D" w:rsidRPr="002520DA" w:rsidRDefault="00EB649D" w:rsidP="00EB649D">
      <w:pPr>
        <w:rPr>
          <w:shd w:val="clear" w:color="auto" w:fill="FFFFFF"/>
        </w:rPr>
      </w:pPr>
    </w:p>
    <w:tbl>
      <w:tblPr>
        <w:tblStyle w:val="GridTable4-Accent2"/>
        <w:tblW w:w="0" w:type="auto"/>
        <w:tblCellMar>
          <w:top w:w="57" w:type="dxa"/>
          <w:bottom w:w="57" w:type="dxa"/>
        </w:tblCellMar>
        <w:tblLook w:val="04A0" w:firstRow="1" w:lastRow="0" w:firstColumn="1" w:lastColumn="0" w:noHBand="0" w:noVBand="1"/>
      </w:tblPr>
      <w:tblGrid>
        <w:gridCol w:w="9016"/>
      </w:tblGrid>
      <w:tr w:rsidR="00EB649D" w:rsidRPr="002520DA" w14:paraId="4F21ADA2" w14:textId="77777777" w:rsidTr="00760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0DB0DF2" w14:textId="77777777" w:rsidR="00EB649D" w:rsidRPr="002520DA" w:rsidRDefault="00EB649D" w:rsidP="007602C9">
            <w:pPr>
              <w:spacing w:before="0" w:after="0"/>
              <w:jc w:val="center"/>
              <w:rPr>
                <w:color w:val="000000" w:themeColor="text1"/>
                <w:sz w:val="24"/>
                <w:szCs w:val="24"/>
                <w:lang w:val="en-US"/>
              </w:rPr>
            </w:pPr>
            <w:r w:rsidRPr="002520DA">
              <w:rPr>
                <w:sz w:val="28"/>
                <w:szCs w:val="28"/>
              </w:rPr>
              <w:t>Time</w:t>
            </w:r>
            <w:r w:rsidRPr="00DE4485">
              <w:rPr>
                <w:sz w:val="28"/>
                <w:szCs w:val="28"/>
              </w:rPr>
              <w:t>-</w:t>
            </w:r>
            <w:r w:rsidRPr="002520DA">
              <w:rPr>
                <w:sz w:val="28"/>
                <w:szCs w:val="28"/>
              </w:rPr>
              <w:t xml:space="preserve">critical </w:t>
            </w:r>
            <w:r w:rsidRPr="00DE4485">
              <w:rPr>
                <w:sz w:val="28"/>
                <w:szCs w:val="28"/>
              </w:rPr>
              <w:t>necessary action</w:t>
            </w:r>
            <w:r w:rsidRPr="002520DA">
              <w:rPr>
                <w:sz w:val="28"/>
                <w:szCs w:val="28"/>
              </w:rPr>
              <w:t xml:space="preserve"> </w:t>
            </w:r>
            <w:r>
              <w:rPr>
                <w:sz w:val="28"/>
                <w:szCs w:val="28"/>
              </w:rPr>
              <w:t>3</w:t>
            </w:r>
          </w:p>
          <w:p w14:paraId="1EB2DEFF" w14:textId="77777777" w:rsidR="00EB649D" w:rsidRPr="005A3D7F" w:rsidRDefault="00EB649D" w:rsidP="007602C9">
            <w:pPr>
              <w:spacing w:before="0" w:after="0"/>
              <w:jc w:val="center"/>
              <w:rPr>
                <w:b w:val="0"/>
                <w:bCs w:val="0"/>
                <w:sz w:val="28"/>
                <w:szCs w:val="28"/>
              </w:rPr>
            </w:pPr>
            <w:r w:rsidRPr="005A3D7F">
              <w:rPr>
                <w:b w:val="0"/>
                <w:bCs w:val="0"/>
                <w:sz w:val="28"/>
                <w:szCs w:val="28"/>
                <w:lang w:val="en-US"/>
              </w:rPr>
              <w:t>Target 60% renewable energy no later than 2035</w:t>
            </w:r>
          </w:p>
        </w:tc>
      </w:tr>
      <w:tr w:rsidR="00EB649D" w:rsidRPr="002520DA" w14:paraId="396218C2" w14:textId="77777777" w:rsidTr="00760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A0F0740" w14:textId="77777777" w:rsidR="00EB649D" w:rsidRPr="002520DA" w:rsidRDefault="00EB649D" w:rsidP="007602C9">
            <w:pPr>
              <w:rPr>
                <w:color w:val="000000" w:themeColor="text1"/>
              </w:rPr>
            </w:pPr>
            <w:r w:rsidRPr="002520DA">
              <w:rPr>
                <w:color w:val="000000" w:themeColor="text1"/>
              </w:rPr>
              <w:t>Setting a target for renewable energy enables the Government to signal the required emissions reductions across the full energy system. Within that context, the 100% renewable electricity target should be treated as aspirational and considered in the broader context of the energy system that includes electricity, process and building heat and transport. We recommend the Government:</w:t>
            </w:r>
          </w:p>
          <w:p w14:paraId="0D961591" w14:textId="77777777" w:rsidR="00EB649D" w:rsidRPr="002520DA" w:rsidRDefault="00EB649D" w:rsidP="00655722">
            <w:pPr>
              <w:numPr>
                <w:ilvl w:val="0"/>
                <w:numId w:val="56"/>
              </w:numPr>
              <w:rPr>
                <w:color w:val="000000" w:themeColor="text1"/>
              </w:rPr>
            </w:pPr>
            <w:r w:rsidRPr="002520DA">
              <w:rPr>
                <w:color w:val="000000" w:themeColor="text1"/>
              </w:rPr>
              <w:t>Develop a long-term national energy strategy</w:t>
            </w:r>
            <w:r w:rsidRPr="002520DA">
              <w:t xml:space="preserve"> </w:t>
            </w:r>
            <w:r w:rsidRPr="002520DA">
              <w:rPr>
                <w:color w:val="000000" w:themeColor="text1"/>
              </w:rPr>
              <w:t>that provides clear objectives and a predictable pathway away from fossil fuels and towards low emission</w:t>
            </w:r>
            <w:r>
              <w:rPr>
                <w:color w:val="000000" w:themeColor="text1"/>
              </w:rPr>
              <w:t>s</w:t>
            </w:r>
            <w:r w:rsidRPr="002520DA">
              <w:rPr>
                <w:color w:val="000000" w:themeColor="text1"/>
              </w:rPr>
              <w:t xml:space="preserve"> fuels, and the infrastructure to support delivery.</w:t>
            </w:r>
          </w:p>
          <w:p w14:paraId="51C6240E" w14:textId="77777777" w:rsidR="00EB649D" w:rsidRPr="002520DA" w:rsidRDefault="00EB649D" w:rsidP="00655722">
            <w:pPr>
              <w:numPr>
                <w:ilvl w:val="0"/>
                <w:numId w:val="56"/>
              </w:numPr>
              <w:rPr>
                <w:color w:val="000000" w:themeColor="text1"/>
              </w:rPr>
            </w:pPr>
            <w:r w:rsidRPr="002520DA">
              <w:rPr>
                <w:color w:val="000000" w:themeColor="text1"/>
              </w:rPr>
              <w:t xml:space="preserve">Under the framework of the national energy strategy, set a renewable energy target to increase renewable energy to at least 60% </w:t>
            </w:r>
            <w:r>
              <w:rPr>
                <w:color w:val="000000" w:themeColor="text1"/>
              </w:rPr>
              <w:t>by 31 December</w:t>
            </w:r>
            <w:r w:rsidRPr="002520DA">
              <w:rPr>
                <w:color w:val="000000" w:themeColor="text1"/>
              </w:rPr>
              <w:t xml:space="preserve"> 2035.</w:t>
            </w:r>
          </w:p>
        </w:tc>
      </w:tr>
    </w:tbl>
    <w:p w14:paraId="035CA4FE" w14:textId="77777777" w:rsidR="00EB649D" w:rsidRPr="002520DA" w:rsidRDefault="00EB649D" w:rsidP="00EB649D">
      <w:pPr>
        <w:spacing w:before="120" w:after="120"/>
        <w:rPr>
          <w:bCs/>
          <w:color w:val="000000"/>
          <w:shd w:val="clear" w:color="auto" w:fill="FFFFFF"/>
        </w:rPr>
      </w:pPr>
    </w:p>
    <w:tbl>
      <w:tblPr>
        <w:tblStyle w:val="GridTable4-Accent2"/>
        <w:tblW w:w="0" w:type="auto"/>
        <w:tblCellMar>
          <w:top w:w="57" w:type="dxa"/>
          <w:bottom w:w="57" w:type="dxa"/>
        </w:tblCellMar>
        <w:tblLook w:val="04A0" w:firstRow="1" w:lastRow="0" w:firstColumn="1" w:lastColumn="0" w:noHBand="0" w:noVBand="1"/>
      </w:tblPr>
      <w:tblGrid>
        <w:gridCol w:w="9016"/>
      </w:tblGrid>
      <w:tr w:rsidR="00EB649D" w:rsidRPr="002520DA" w14:paraId="6CCA167C" w14:textId="77777777" w:rsidTr="00760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43267F0" w14:textId="77777777" w:rsidR="00EB649D" w:rsidRPr="002520DA" w:rsidRDefault="00EB649D" w:rsidP="007602C9">
            <w:pPr>
              <w:spacing w:before="0" w:after="0"/>
              <w:jc w:val="center"/>
              <w:rPr>
                <w:color w:val="000000" w:themeColor="text1"/>
                <w:sz w:val="24"/>
                <w:szCs w:val="24"/>
                <w:lang w:val="en-US"/>
              </w:rPr>
            </w:pPr>
            <w:r w:rsidRPr="002520DA">
              <w:rPr>
                <w:sz w:val="28"/>
                <w:szCs w:val="28"/>
              </w:rPr>
              <w:t>Progress indicator</w:t>
            </w:r>
          </w:p>
        </w:tc>
      </w:tr>
      <w:tr w:rsidR="00EB649D" w:rsidRPr="002520DA" w14:paraId="2B5A9E39" w14:textId="77777777" w:rsidTr="00760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FCD8B02" w14:textId="77777777" w:rsidR="00EB649D" w:rsidRPr="00D45C4D" w:rsidRDefault="00EB649D" w:rsidP="00655722">
            <w:pPr>
              <w:numPr>
                <w:ilvl w:val="0"/>
                <w:numId w:val="32"/>
              </w:numPr>
              <w:rPr>
                <w:color w:val="000000" w:themeColor="text1"/>
              </w:rPr>
            </w:pPr>
            <w:r w:rsidRPr="002520DA">
              <w:rPr>
                <w:color w:val="000000" w:themeColor="text1"/>
              </w:rPr>
              <w:t xml:space="preserve">The Government to have, by 30 June 2023, set a renewable energy target of at least 60% </w:t>
            </w:r>
            <w:r>
              <w:rPr>
                <w:color w:val="000000" w:themeColor="text1"/>
              </w:rPr>
              <w:t>by 31 December</w:t>
            </w:r>
            <w:r w:rsidRPr="002520DA">
              <w:rPr>
                <w:color w:val="000000" w:themeColor="text1"/>
              </w:rPr>
              <w:t xml:space="preserve"> 2035</w:t>
            </w:r>
            <w:r>
              <w:rPr>
                <w:color w:val="000000" w:themeColor="text1"/>
              </w:rPr>
              <w:t>, set milestones for 2025 and 2030,</w:t>
            </w:r>
            <w:r w:rsidRPr="002520DA">
              <w:rPr>
                <w:color w:val="000000" w:themeColor="text1"/>
              </w:rPr>
              <w:t xml:space="preserve"> and released an energy strategy to deliver this target. </w:t>
            </w:r>
          </w:p>
        </w:tc>
      </w:tr>
    </w:tbl>
    <w:p w14:paraId="4E74CA05" w14:textId="77777777" w:rsidR="00EB649D" w:rsidRPr="00D45C4D" w:rsidRDefault="00EB649D" w:rsidP="00EB649D">
      <w:pPr>
        <w:pStyle w:val="Heading4"/>
      </w:pPr>
      <w:r w:rsidRPr="002520DA">
        <w:t>Maximise the use of electrici</w:t>
      </w:r>
      <w:r w:rsidRPr="00D45C4D">
        <w:t xml:space="preserve">ty as a low emissions fuel </w:t>
      </w:r>
    </w:p>
    <w:p w14:paraId="71770F6F" w14:textId="77777777" w:rsidR="00EB649D" w:rsidRPr="002520DA" w:rsidRDefault="00EB649D" w:rsidP="00EB649D">
      <w:r w:rsidRPr="002520DA">
        <w:t xml:space="preserve">Aotearoa has one of the lowest emission electricity systems in the world. This low emissions electricity can be used to reduce emissions elsewhere through electrifying transport, process and space heating. To reduce the emissions of the electricity system itself, fossil-fuelled generation will need to be phased out and more renewable generation, like wind and solar, will need to be built. </w:t>
      </w:r>
    </w:p>
    <w:p w14:paraId="7F980B8F" w14:textId="77777777" w:rsidR="00EB649D" w:rsidRPr="002520DA" w:rsidRDefault="00EB649D" w:rsidP="00EB649D">
      <w:pPr>
        <w:rPr>
          <w:shd w:val="clear" w:color="auto" w:fill="FFFFFF"/>
        </w:rPr>
      </w:pPr>
      <w:r w:rsidRPr="002520DA">
        <w:rPr>
          <w:color w:val="000000"/>
        </w:rPr>
        <w:t xml:space="preserve">We anticipate a steep increase in demand for electricity as the number of </w:t>
      </w:r>
      <w:r w:rsidRPr="002520DA">
        <w:rPr>
          <w:color w:val="000000" w:themeColor="text1"/>
        </w:rPr>
        <w:t xml:space="preserve">EVs on </w:t>
      </w:r>
      <w:r>
        <w:rPr>
          <w:color w:val="000000" w:themeColor="text1"/>
        </w:rPr>
        <w:t>the country</w:t>
      </w:r>
      <w:r w:rsidRPr="002520DA">
        <w:rPr>
          <w:color w:val="000000" w:themeColor="text1"/>
        </w:rPr>
        <w:t>’s roads grows.</w:t>
      </w:r>
      <w:r w:rsidRPr="002520DA">
        <w:rPr>
          <w:color w:val="000000"/>
        </w:rPr>
        <w:t xml:space="preserve"> </w:t>
      </w:r>
      <w:r w:rsidRPr="002520DA">
        <w:rPr>
          <w:color w:val="000000" w:themeColor="text1"/>
        </w:rPr>
        <w:t>T</w:t>
      </w:r>
      <w:r w:rsidRPr="002520DA">
        <w:rPr>
          <w:color w:val="000000"/>
        </w:rPr>
        <w:t xml:space="preserve">he industry will need to build more low emissions generation capacity rapidly to meet this. </w:t>
      </w:r>
      <w:r w:rsidRPr="002520DA">
        <w:rPr>
          <w:shd w:val="clear" w:color="auto" w:fill="FFFFFF"/>
        </w:rPr>
        <w:t xml:space="preserve">Big changes in demand or supply, like the Tiwai Point </w:t>
      </w:r>
      <w:r>
        <w:rPr>
          <w:shd w:val="clear" w:color="auto" w:fill="FFFFFF"/>
        </w:rPr>
        <w:t>Aluminium Smelter</w:t>
      </w:r>
      <w:r w:rsidRPr="002520DA">
        <w:rPr>
          <w:shd w:val="clear" w:color="auto" w:fill="FFFFFF"/>
        </w:rPr>
        <w:t xml:space="preserve"> </w:t>
      </w:r>
      <w:r>
        <w:rPr>
          <w:shd w:val="clear" w:color="auto" w:fill="FFFFFF"/>
        </w:rPr>
        <w:t>closing</w:t>
      </w:r>
      <w:r w:rsidRPr="002520DA">
        <w:rPr>
          <w:shd w:val="clear" w:color="auto" w:fill="FFFFFF"/>
        </w:rPr>
        <w:t xml:space="preserve">, create uncertainty in the market that can result in generators delaying investment in new renewable generation. </w:t>
      </w:r>
      <w:r>
        <w:rPr>
          <w:shd w:val="clear" w:color="auto" w:fill="FFFFFF"/>
        </w:rPr>
        <w:t xml:space="preserve">Barriers to rapid electrification will need to be systematically addressed. </w:t>
      </w:r>
      <w:r w:rsidRPr="002520DA">
        <w:t>For consumers and industry to invest and convert to electrification, they need to have confidence that electricity will be available, affordable and reliable.</w:t>
      </w:r>
    </w:p>
    <w:p w14:paraId="07005F12" w14:textId="77777777" w:rsidR="00EB649D" w:rsidRPr="002520DA" w:rsidRDefault="00EB649D" w:rsidP="00EB649D">
      <w:pPr>
        <w:rPr>
          <w:shd w:val="clear" w:color="auto" w:fill="FFFFFF"/>
        </w:rPr>
      </w:pPr>
      <w:r w:rsidRPr="002520DA">
        <w:rPr>
          <w:shd w:val="clear" w:color="auto" w:fill="FFFFFF"/>
        </w:rPr>
        <w:t>The NZ Battery project will deliver advice on potential solutions to the challenge of dry year energy security. While a solution to this challenge could enable Aotearoa to reach 100% renewable electricity, it could cost taxpayers billions of dollars. As noted above, electricity is part of a broader energy transition. Alternative options for reducing emissions should be considered, as other actions may have a larger impact for the same cost. Arriving at 100% renewable electricity is the desired end point, but the timing and sequencing of the transition is important.</w:t>
      </w:r>
    </w:p>
    <w:p w14:paraId="344BDB3B" w14:textId="77777777" w:rsidR="00EB649D" w:rsidRPr="002520DA" w:rsidRDefault="00EB649D" w:rsidP="00EB649D">
      <w:pPr>
        <w:rPr>
          <w:shd w:val="clear" w:color="auto" w:fill="FFFFFF"/>
        </w:rPr>
      </w:pPr>
      <w:r w:rsidRPr="002520DA">
        <w:rPr>
          <w:shd w:val="clear" w:color="auto" w:fill="FFFFFF"/>
        </w:rPr>
        <w:lastRenderedPageBreak/>
        <w:t xml:space="preserve">Technology has the potential to change the way New Zealanders generate, store and consume electricity. It will affect how the market could work, and create greater potential for independent and distributed generation, micro-grids and demand response. Innovations like peer-to-peer trading are emerging, and these disruptions create opportunities for Māori-collectives, remote and rural communities and others. </w:t>
      </w:r>
    </w:p>
    <w:p w14:paraId="5D2627EB" w14:textId="77777777" w:rsidR="00EB649D" w:rsidRPr="002520DA" w:rsidRDefault="00EB649D" w:rsidP="00EB649D">
      <w:pPr>
        <w:rPr>
          <w:shd w:val="clear" w:color="auto" w:fill="FFFFFF"/>
        </w:rPr>
      </w:pPr>
      <w:r w:rsidRPr="002520DA">
        <w:rPr>
          <w:shd w:val="clear" w:color="auto" w:fill="FFFFFF"/>
        </w:rPr>
        <w:t>Innovations that enable consumers to participate in the market can help to reduce the amount of fossil</w:t>
      </w:r>
      <w:r>
        <w:rPr>
          <w:shd w:val="clear" w:color="auto" w:fill="FFFFFF"/>
        </w:rPr>
        <w:t>-</w:t>
      </w:r>
      <w:r w:rsidRPr="002520DA">
        <w:rPr>
          <w:shd w:val="clear" w:color="auto" w:fill="FFFFFF"/>
        </w:rPr>
        <w:t xml:space="preserve">fuelled generation required to meet peak electricity demand and replace the need for diesel as back-up generation. </w:t>
      </w:r>
    </w:p>
    <w:p w14:paraId="1BD65923" w14:textId="77777777" w:rsidR="00EB649D" w:rsidRDefault="00EB649D" w:rsidP="00EB649D">
      <w:pPr>
        <w:rPr>
          <w:shd w:val="clear" w:color="auto" w:fill="FFFFFF"/>
        </w:rPr>
      </w:pPr>
      <w:r w:rsidRPr="002520DA">
        <w:rPr>
          <w:shd w:val="clear" w:color="auto" w:fill="FFFFFF"/>
        </w:rPr>
        <w:t xml:space="preserve">The regulatory regime must continue to adapt and respond to innovations, to ensure </w:t>
      </w:r>
      <w:r>
        <w:rPr>
          <w:shd w:val="clear" w:color="auto" w:fill="FFFFFF"/>
        </w:rPr>
        <w:t>it</w:t>
      </w:r>
      <w:r w:rsidRPr="002520DA">
        <w:rPr>
          <w:shd w:val="clear" w:color="auto" w:fill="FFFFFF"/>
        </w:rPr>
        <w:t xml:space="preserve"> can </w:t>
      </w:r>
      <w:r w:rsidRPr="002520DA">
        <w:t xml:space="preserve">deliver </w:t>
      </w:r>
      <w:r w:rsidRPr="002520DA">
        <w:rPr>
          <w:shd w:val="clear" w:color="auto" w:fill="FFFFFF"/>
        </w:rPr>
        <w:t xml:space="preserve">access to abundant, affordable, and reliable low emissions electricity. It must be able to deliver the services needed to underpin </w:t>
      </w:r>
      <w:r>
        <w:rPr>
          <w:shd w:val="clear" w:color="auto" w:fill="FFFFFF"/>
        </w:rPr>
        <w:t>electrifying</w:t>
      </w:r>
      <w:r w:rsidRPr="002520DA">
        <w:rPr>
          <w:shd w:val="clear" w:color="auto" w:fill="FFFFFF"/>
        </w:rPr>
        <w:t xml:space="preserve"> the vehicle fleet and industry. The </w:t>
      </w:r>
      <w:r w:rsidRPr="002520DA">
        <w:t>capacity and capability of electricity distribution businesses will be an important consideration. The Electricity Pric</w:t>
      </w:r>
      <w:r>
        <w:t xml:space="preserve">e </w:t>
      </w:r>
      <w:r w:rsidRPr="002520DA">
        <w:t>Review and others have called for more</w:t>
      </w:r>
      <w:r w:rsidRPr="002520DA">
        <w:rPr>
          <w:shd w:val="clear" w:color="auto" w:fill="FFFFFF"/>
        </w:rPr>
        <w:t xml:space="preserve"> innovation to be led by these businesses.</w:t>
      </w:r>
    </w:p>
    <w:p w14:paraId="0926435F" w14:textId="77777777" w:rsidR="00EB649D" w:rsidRPr="002520DA" w:rsidRDefault="00EB649D" w:rsidP="00EB649D">
      <w:pPr>
        <w:rPr>
          <w:shd w:val="clear" w:color="auto" w:fill="FFFFFF"/>
        </w:rPr>
      </w:pPr>
    </w:p>
    <w:tbl>
      <w:tblPr>
        <w:tblStyle w:val="GridTable4-Accent5"/>
        <w:tblW w:w="0" w:type="auto"/>
        <w:tblCellMar>
          <w:top w:w="57" w:type="dxa"/>
          <w:bottom w:w="57" w:type="dxa"/>
        </w:tblCellMar>
        <w:tblLook w:val="04A0" w:firstRow="1" w:lastRow="0" w:firstColumn="1" w:lastColumn="0" w:noHBand="0" w:noVBand="1"/>
      </w:tblPr>
      <w:tblGrid>
        <w:gridCol w:w="9016"/>
      </w:tblGrid>
      <w:tr w:rsidR="00EB649D" w:rsidRPr="002520DA" w14:paraId="3CB9ED37" w14:textId="77777777" w:rsidTr="00760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BF35B12" w14:textId="31B5F478" w:rsidR="00EB649D" w:rsidRPr="002520DA" w:rsidRDefault="00EB649D" w:rsidP="007602C9">
            <w:pPr>
              <w:keepNext/>
              <w:spacing w:before="0" w:after="0"/>
              <w:jc w:val="center"/>
              <w:rPr>
                <w:sz w:val="28"/>
                <w:szCs w:val="28"/>
              </w:rPr>
            </w:pPr>
            <w:r w:rsidRPr="003F340F">
              <w:rPr>
                <w:sz w:val="28"/>
                <w:szCs w:val="28"/>
              </w:rPr>
              <w:t>Necessary</w:t>
            </w:r>
            <w:r w:rsidRPr="002520DA">
              <w:rPr>
                <w:sz w:val="28"/>
                <w:szCs w:val="28"/>
              </w:rPr>
              <w:t xml:space="preserve"> action </w:t>
            </w:r>
            <w:r w:rsidR="003B15E6">
              <w:rPr>
                <w:sz w:val="28"/>
                <w:szCs w:val="28"/>
              </w:rPr>
              <w:t>5</w:t>
            </w:r>
          </w:p>
          <w:p w14:paraId="61F986EC" w14:textId="77777777" w:rsidR="00EB649D" w:rsidRPr="004038BD" w:rsidRDefault="00EB649D" w:rsidP="007602C9">
            <w:pPr>
              <w:spacing w:before="0" w:after="0"/>
              <w:jc w:val="center"/>
              <w:rPr>
                <w:b w:val="0"/>
                <w:bCs w:val="0"/>
                <w:sz w:val="28"/>
                <w:szCs w:val="28"/>
              </w:rPr>
            </w:pPr>
            <w:r w:rsidRPr="004038BD">
              <w:rPr>
                <w:b w:val="0"/>
                <w:bCs w:val="0"/>
                <w:sz w:val="28"/>
                <w:szCs w:val="28"/>
              </w:rPr>
              <w:t>Maximise the use of electricity as a low emissions fuel</w:t>
            </w:r>
          </w:p>
        </w:tc>
      </w:tr>
      <w:tr w:rsidR="00EB649D" w:rsidRPr="002520DA" w14:paraId="4AC6BD40" w14:textId="77777777" w:rsidTr="00760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Mar>
              <w:top w:w="28" w:type="dxa"/>
              <w:bottom w:w="28" w:type="dxa"/>
            </w:tcMar>
          </w:tcPr>
          <w:p w14:paraId="43CE3CE2" w14:textId="77777777" w:rsidR="00EB649D" w:rsidRPr="002520DA" w:rsidRDefault="00EB649D" w:rsidP="007602C9">
            <w:pPr>
              <w:spacing w:before="120"/>
            </w:pPr>
            <w:r w:rsidRPr="002520DA">
              <w:t xml:space="preserve">We recommend that, in the first budget period the Government take steps to ensure a low emissions, reliable and affordable electricity system to support </w:t>
            </w:r>
            <w:r>
              <w:t>electrifying</w:t>
            </w:r>
            <w:r w:rsidRPr="002520DA">
              <w:t xml:space="preserve"> transport and industry through progress on the following: </w:t>
            </w:r>
          </w:p>
          <w:p w14:paraId="5A028523" w14:textId="77777777" w:rsidR="00EB649D" w:rsidRPr="002520DA" w:rsidRDefault="00EB649D" w:rsidP="00655722">
            <w:pPr>
              <w:numPr>
                <w:ilvl w:val="0"/>
                <w:numId w:val="57"/>
              </w:numPr>
            </w:pPr>
            <w:r w:rsidRPr="002520DA">
              <w:t xml:space="preserve">Under the framework of a national energy strategy, set a date by which coal electricity generation assets must be retired. </w:t>
            </w:r>
          </w:p>
          <w:p w14:paraId="2DBA8428" w14:textId="77777777" w:rsidR="00EB649D" w:rsidRPr="002520DA" w:rsidRDefault="00EB649D" w:rsidP="00655722">
            <w:pPr>
              <w:numPr>
                <w:ilvl w:val="0"/>
                <w:numId w:val="57"/>
              </w:numPr>
            </w:pPr>
            <w:r w:rsidRPr="002520DA">
              <w:t>Under the framework of a national energy strategy, decide how</w:t>
            </w:r>
            <w:r w:rsidRPr="002520DA" w:rsidDel="000114EF">
              <w:t xml:space="preserve"> </w:t>
            </w:r>
            <w:r w:rsidRPr="002520DA">
              <w:t>to progress solutions to the dry year problem, when this should happen, and at what cost.</w:t>
            </w:r>
          </w:p>
          <w:p w14:paraId="676CB058" w14:textId="77777777" w:rsidR="00EB649D" w:rsidRPr="002520DA" w:rsidRDefault="00EB649D" w:rsidP="00655722">
            <w:pPr>
              <w:numPr>
                <w:ilvl w:val="0"/>
                <w:numId w:val="57"/>
              </w:numPr>
            </w:pPr>
            <w:r w:rsidRPr="002520DA">
              <w:t>Introduc</w:t>
            </w:r>
            <w:r>
              <w:t>e</w:t>
            </w:r>
            <w:r w:rsidRPr="002520DA">
              <w:t xml:space="preserve"> measures, such as a disclosure regime, to reduce wholesale electricity market uncertainty over Emissions Budgets 1 and 2, to encourage investment in new renewable generation.</w:t>
            </w:r>
          </w:p>
          <w:p w14:paraId="4FB61A8D" w14:textId="77777777" w:rsidR="00EB649D" w:rsidRPr="002520DA" w:rsidRDefault="00EB649D" w:rsidP="00655722">
            <w:pPr>
              <w:numPr>
                <w:ilvl w:val="0"/>
                <w:numId w:val="57"/>
              </w:numPr>
            </w:pPr>
            <w:r w:rsidRPr="002520DA">
              <w:t>Assess whether electricity distributors are equipped, resourced and incentivised to innovate and support the adoption on their networks of new technologies, platforms and business models, including the successful integration of EVs.</w:t>
            </w:r>
          </w:p>
          <w:p w14:paraId="1825735C" w14:textId="77777777" w:rsidR="00EB649D" w:rsidRPr="002520DA" w:rsidRDefault="00EB649D" w:rsidP="00655722">
            <w:pPr>
              <w:numPr>
                <w:ilvl w:val="0"/>
                <w:numId w:val="57"/>
              </w:numPr>
            </w:pPr>
            <w:r w:rsidRPr="002520DA">
              <w:t>Enabl</w:t>
            </w:r>
            <w:r>
              <w:t>e</w:t>
            </w:r>
            <w:r w:rsidRPr="002520DA">
              <w:t xml:space="preserve"> more independent generation and distributed generation, especially for remote rural and Māori communities, and ensur</w:t>
            </w:r>
            <w:r>
              <w:t>e</w:t>
            </w:r>
            <w:r w:rsidRPr="002520DA">
              <w:t xml:space="preserve"> access to capital for this purpose.</w:t>
            </w:r>
          </w:p>
          <w:p w14:paraId="6FC7459E" w14:textId="77777777" w:rsidR="00EB649D" w:rsidRPr="002520DA" w:rsidRDefault="00EB649D" w:rsidP="00655722">
            <w:pPr>
              <w:numPr>
                <w:ilvl w:val="0"/>
                <w:numId w:val="57"/>
              </w:numPr>
            </w:pPr>
            <w:r w:rsidRPr="002520DA">
              <w:t>Monitor and review to ensure electricity remains affordable and accessible, and measures are in place to keep system costs down, such as demand response</w:t>
            </w:r>
            <w:r>
              <w:t xml:space="preserve"> management</w:t>
            </w:r>
            <w:r w:rsidRPr="002520DA">
              <w:t>.</w:t>
            </w:r>
          </w:p>
        </w:tc>
      </w:tr>
    </w:tbl>
    <w:p w14:paraId="45572E05" w14:textId="77777777" w:rsidR="00EB649D" w:rsidRPr="002520DA" w:rsidRDefault="00EB649D" w:rsidP="00EB649D">
      <w:pPr>
        <w:spacing w:before="120" w:after="120"/>
        <w:rPr>
          <w:bCs/>
          <w:shd w:val="clear" w:color="auto" w:fill="FFFFFF"/>
        </w:rPr>
      </w:pPr>
    </w:p>
    <w:p w14:paraId="0F797BE2" w14:textId="77777777" w:rsidR="00FC29AF" w:rsidRDefault="00FC29AF">
      <w:pPr>
        <w:spacing w:before="0" w:after="160"/>
        <w:rPr>
          <w:rFonts w:asciiTheme="majorHAnsi" w:eastAsiaTheme="majorEastAsia" w:hAnsiTheme="majorHAnsi" w:cstheme="majorBidi"/>
          <w:i/>
          <w:iCs/>
          <w:color w:val="2F5496" w:themeColor="accent1" w:themeShade="BF"/>
        </w:rPr>
      </w:pPr>
      <w:r>
        <w:br w:type="page"/>
      </w:r>
    </w:p>
    <w:p w14:paraId="3C8D53A1" w14:textId="11CA0DA0" w:rsidR="00EB649D" w:rsidRPr="00CB24D5" w:rsidRDefault="00EB649D" w:rsidP="00EB649D">
      <w:pPr>
        <w:pStyle w:val="Heading4"/>
      </w:pPr>
      <w:r w:rsidRPr="002520DA">
        <w:lastRenderedPageBreak/>
        <w:t>Sc</w:t>
      </w:r>
      <w:r w:rsidRPr="00CB24D5">
        <w:t xml:space="preserve">ale up provision of low emissions energy sources </w:t>
      </w:r>
    </w:p>
    <w:p w14:paraId="14CE0ADA" w14:textId="77777777" w:rsidR="00EB649D" w:rsidRPr="002520DA" w:rsidRDefault="00EB649D" w:rsidP="00EB649D">
      <w:pPr>
        <w:rPr>
          <w:shd w:val="clear" w:color="auto" w:fill="FFFFFF"/>
        </w:rPr>
      </w:pPr>
      <w:r>
        <w:t>Producing</w:t>
      </w:r>
      <w:r w:rsidRPr="002520DA">
        <w:t xml:space="preserve"> low emission fuels is important in meeting the 2050 target. Government support will be needed to increase the amount of clean energy Aotearoa can produce during the first emissions budget. This will ensure the emissions reductions required in later emissions budgets can be met.</w:t>
      </w:r>
    </w:p>
    <w:p w14:paraId="3F830BFC" w14:textId="77777777" w:rsidR="00EB649D" w:rsidRPr="002520DA" w:rsidRDefault="00EB649D" w:rsidP="00EB649D">
      <w:r w:rsidRPr="002520DA">
        <w:t xml:space="preserve">Some activities, such as industrial processes that use high temperature heat, will be hard to electrify. Aotearoa will need a range of energy sources to support decarbonisation. Diverse energy sources will also be needed to maintain energy security. </w:t>
      </w:r>
    </w:p>
    <w:p w14:paraId="216FA4A1" w14:textId="77777777" w:rsidR="00EB649D" w:rsidRPr="002520DA" w:rsidRDefault="00EB649D" w:rsidP="00EB649D">
      <w:pPr>
        <w:rPr>
          <w:shd w:val="clear" w:color="auto" w:fill="FFFFFF"/>
        </w:rPr>
      </w:pPr>
      <w:r w:rsidRPr="002520DA">
        <w:t>Bioenergy and hydrogen both hold promise, but Aotearoa needs to understand how best to make use of their potential. Our analysis indicates that these fuels have significant potential for reducing emissions in transport, process heat and industrial processes. However, more work is needed to support establishing supply chains and infrastructure and making them more cost competitive.</w:t>
      </w:r>
    </w:p>
    <w:p w14:paraId="530B8569" w14:textId="77777777" w:rsidR="00EB649D" w:rsidRDefault="00EB649D" w:rsidP="00EB649D">
      <w:r w:rsidRPr="002520DA">
        <w:t>To establish a bioeconomy, greater government coherence and coordination is needed. The Government needs to provide direction on the priority uses of bioenergy, to signal the optimal scale of a system, help overcome barriers, and to provide investment and procurement support.</w:t>
      </w:r>
    </w:p>
    <w:p w14:paraId="7C09ED93" w14:textId="77777777" w:rsidR="00EB649D" w:rsidRPr="002520DA" w:rsidRDefault="00EB649D" w:rsidP="00EB649D"/>
    <w:tbl>
      <w:tblPr>
        <w:tblStyle w:val="GridTable4-Accent5"/>
        <w:tblW w:w="0" w:type="auto"/>
        <w:tblLook w:val="04A0" w:firstRow="1" w:lastRow="0" w:firstColumn="1" w:lastColumn="0" w:noHBand="0" w:noVBand="1"/>
      </w:tblPr>
      <w:tblGrid>
        <w:gridCol w:w="9016"/>
      </w:tblGrid>
      <w:tr w:rsidR="00EB649D" w:rsidRPr="002520DA" w14:paraId="52C8F01B" w14:textId="77777777" w:rsidTr="00760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3EC17D7" w14:textId="75923D07" w:rsidR="00EB649D" w:rsidRPr="002520DA" w:rsidRDefault="00EB649D" w:rsidP="007602C9">
            <w:pPr>
              <w:keepNext/>
              <w:spacing w:before="0" w:after="0"/>
              <w:jc w:val="center"/>
              <w:rPr>
                <w:sz w:val="28"/>
                <w:szCs w:val="28"/>
              </w:rPr>
            </w:pPr>
            <w:r w:rsidRPr="003F340F">
              <w:rPr>
                <w:sz w:val="28"/>
                <w:szCs w:val="28"/>
              </w:rPr>
              <w:t>Necessary</w:t>
            </w:r>
            <w:r w:rsidRPr="002520DA">
              <w:rPr>
                <w:sz w:val="28"/>
                <w:szCs w:val="28"/>
              </w:rPr>
              <w:t xml:space="preserve"> action </w:t>
            </w:r>
            <w:r w:rsidR="003B15E6">
              <w:rPr>
                <w:sz w:val="28"/>
                <w:szCs w:val="28"/>
              </w:rPr>
              <w:t>6</w:t>
            </w:r>
          </w:p>
          <w:p w14:paraId="335B5B43" w14:textId="77777777" w:rsidR="00EB649D" w:rsidRPr="004038BD" w:rsidRDefault="00EB649D" w:rsidP="007602C9">
            <w:pPr>
              <w:spacing w:before="0" w:after="0"/>
              <w:jc w:val="center"/>
              <w:rPr>
                <w:b w:val="0"/>
                <w:bCs w:val="0"/>
                <w:sz w:val="28"/>
                <w:szCs w:val="28"/>
              </w:rPr>
            </w:pPr>
            <w:r w:rsidRPr="004038BD">
              <w:rPr>
                <w:b w:val="0"/>
                <w:bCs w:val="0"/>
                <w:sz w:val="28"/>
                <w:szCs w:val="28"/>
              </w:rPr>
              <w:t>Scale up provision of low emissions energy sources</w:t>
            </w:r>
          </w:p>
        </w:tc>
      </w:tr>
      <w:tr w:rsidR="00EB649D" w:rsidRPr="002520DA" w14:paraId="4D37F220" w14:textId="77777777" w:rsidTr="00760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Mar>
              <w:top w:w="57" w:type="dxa"/>
              <w:bottom w:w="57" w:type="dxa"/>
            </w:tcMar>
          </w:tcPr>
          <w:p w14:paraId="01B022B0" w14:textId="77777777" w:rsidR="00EB649D" w:rsidRPr="002520DA" w:rsidRDefault="00EB649D" w:rsidP="007602C9">
            <w:pPr>
              <w:spacing w:before="120"/>
            </w:pPr>
            <w:r w:rsidRPr="002520DA">
              <w:t xml:space="preserve">We recommend that, in the first budget period the Government make progress in scaling up the provision of new low emissions fuels by: </w:t>
            </w:r>
          </w:p>
          <w:p w14:paraId="5D2F7C79" w14:textId="77777777" w:rsidR="00EB649D" w:rsidRPr="002520DA" w:rsidRDefault="00EB649D" w:rsidP="00655722">
            <w:pPr>
              <w:numPr>
                <w:ilvl w:val="0"/>
                <w:numId w:val="58"/>
              </w:numPr>
            </w:pPr>
            <w:r w:rsidRPr="002520DA">
              <w:t>Developing a plan for the bioeconomy alongside the new national energy strategy, across transport, buildings, energy, waste, land</w:t>
            </w:r>
            <w:r>
              <w:t xml:space="preserve"> </w:t>
            </w:r>
            <w:r w:rsidRPr="002520DA">
              <w:t>use and industry.</w:t>
            </w:r>
          </w:p>
          <w:p w14:paraId="01C71331" w14:textId="77777777" w:rsidR="00EB649D" w:rsidRPr="002520DA" w:rsidRDefault="00EB649D" w:rsidP="00655722">
            <w:pPr>
              <w:numPr>
                <w:ilvl w:val="0"/>
                <w:numId w:val="58"/>
              </w:numPr>
            </w:pPr>
            <w:r w:rsidRPr="002520DA">
              <w:t>Assess</w:t>
            </w:r>
            <w:r>
              <w:t>ing</w:t>
            </w:r>
            <w:r w:rsidRPr="002520DA">
              <w:t xml:space="preserve"> the place that hydrogen has in the new national energy strategy.</w:t>
            </w:r>
          </w:p>
        </w:tc>
      </w:tr>
    </w:tbl>
    <w:p w14:paraId="76509FB9" w14:textId="77777777" w:rsidR="00EB649D" w:rsidRPr="002520DA" w:rsidRDefault="00EB649D" w:rsidP="00EB649D">
      <w:pPr>
        <w:spacing w:before="0" w:after="160"/>
        <w:rPr>
          <w:bCs/>
        </w:rPr>
      </w:pPr>
    </w:p>
    <w:p w14:paraId="0E0C74D8" w14:textId="77777777" w:rsidR="00EB649D" w:rsidRPr="002520DA" w:rsidRDefault="00EB649D" w:rsidP="00EB649D">
      <w:pPr>
        <w:pStyle w:val="Heading4"/>
        <w:rPr>
          <w:color w:val="1F3864" w:themeColor="accent1" w:themeShade="80"/>
          <w:sz w:val="24"/>
          <w:szCs w:val="24"/>
        </w:rPr>
      </w:pPr>
      <w:r w:rsidRPr="002520DA">
        <w:t xml:space="preserve">Reduce emissions from process heat </w:t>
      </w:r>
    </w:p>
    <w:p w14:paraId="0EEB4708" w14:textId="77777777" w:rsidR="00EB649D" w:rsidRPr="002520DA" w:rsidRDefault="00EB649D" w:rsidP="00EB649D">
      <w:r w:rsidRPr="002520DA">
        <w:t xml:space="preserve">Reducing emissions from process heat will be critical for meeting the 2050 target. Improving energy efficiency, optimising processes and switching to cleaner energy sources like electricity and biomass are key opportunities. </w:t>
      </w:r>
    </w:p>
    <w:p w14:paraId="7310B919" w14:textId="77777777" w:rsidR="00EB649D" w:rsidRPr="002520DA" w:rsidRDefault="00EB649D" w:rsidP="00EB649D">
      <w:r w:rsidRPr="002520DA">
        <w:t>The rate at which emissions can be reduced will be limited by several factors. This includes the time required to convert plants and establish or expand fuel supply chains, as well as how long it takes to upgrade grid infrastructure and build new renewable electricity generation. Our emissions budgets require reduction in the use of coal in boilers of around 1.4</w:t>
      </w:r>
      <w:r>
        <w:t xml:space="preserve"> </w:t>
      </w:r>
      <w:r w:rsidRPr="002520DA">
        <w:t>PJ per year. This is a substantial amount, roughly equivalent to the energy used by one very</w:t>
      </w:r>
      <w:r w:rsidRPr="002520DA" w:rsidDel="001877F2">
        <w:t xml:space="preserve"> </w:t>
      </w:r>
      <w:r w:rsidRPr="002520DA">
        <w:t xml:space="preserve">large dairy processing factory. </w:t>
      </w:r>
    </w:p>
    <w:p w14:paraId="6399E0F3" w14:textId="7F954E25" w:rsidR="00EB649D" w:rsidRDefault="00EB649D" w:rsidP="00EB649D">
      <w:r>
        <w:t>Low and medium temperature process heat is generated predominantly from boilers and is used for food processing and pulp and paper production. The emissions associated with these activities were around 4 Mt CO</w:t>
      </w:r>
      <w:r w:rsidRPr="00374AE7">
        <w:rPr>
          <w:vertAlign w:val="subscript"/>
        </w:rPr>
        <w:t>2</w:t>
      </w:r>
      <w:r>
        <w:t xml:space="preserve">e in 2018. </w:t>
      </w:r>
      <w:r w:rsidRPr="002520DA">
        <w:t>Boilers are enduring assets with life cycles of up to 40 years. To get on a low emissions pathway Aotearoa needs to take urgent action to avoid locking in new fossil fuel process heat assets</w:t>
      </w:r>
      <w:r>
        <w:t>,</w:t>
      </w:r>
      <w:r w:rsidRPr="002520DA">
        <w:t xml:space="preserve"> and</w:t>
      </w:r>
      <w:r>
        <w:t xml:space="preserve"> focus on</w:t>
      </w:r>
      <w:r w:rsidRPr="002520DA">
        <w:t xml:space="preserve"> converting boilers to low emissions sources of energy.</w:t>
      </w:r>
    </w:p>
    <w:p w14:paraId="2157C7A2" w14:textId="77777777" w:rsidR="00EB649D" w:rsidRPr="002520DA" w:rsidRDefault="00EB649D" w:rsidP="00EB649D"/>
    <w:tbl>
      <w:tblPr>
        <w:tblStyle w:val="GridTable4-Accent5"/>
        <w:tblW w:w="0" w:type="auto"/>
        <w:tblCellMar>
          <w:bottom w:w="57" w:type="dxa"/>
        </w:tblCellMar>
        <w:tblLook w:val="04A0" w:firstRow="1" w:lastRow="0" w:firstColumn="1" w:lastColumn="0" w:noHBand="0" w:noVBand="1"/>
      </w:tblPr>
      <w:tblGrid>
        <w:gridCol w:w="9016"/>
      </w:tblGrid>
      <w:tr w:rsidR="00EB649D" w:rsidRPr="002520DA" w14:paraId="3D21604C" w14:textId="77777777" w:rsidTr="00760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F926745" w14:textId="063C3320" w:rsidR="00EB649D" w:rsidRPr="002520DA" w:rsidRDefault="00EB649D" w:rsidP="007602C9">
            <w:pPr>
              <w:spacing w:before="0" w:after="0"/>
              <w:jc w:val="center"/>
              <w:rPr>
                <w:sz w:val="28"/>
                <w:szCs w:val="28"/>
              </w:rPr>
            </w:pPr>
            <w:r w:rsidRPr="003F340F">
              <w:rPr>
                <w:sz w:val="28"/>
                <w:szCs w:val="28"/>
              </w:rPr>
              <w:t>Necessary</w:t>
            </w:r>
            <w:r w:rsidRPr="002520DA">
              <w:rPr>
                <w:sz w:val="28"/>
                <w:szCs w:val="28"/>
              </w:rPr>
              <w:t xml:space="preserve"> action </w:t>
            </w:r>
            <w:r w:rsidR="003B15E6">
              <w:rPr>
                <w:sz w:val="28"/>
                <w:szCs w:val="28"/>
              </w:rPr>
              <w:t>7</w:t>
            </w:r>
          </w:p>
          <w:p w14:paraId="6E909E9A" w14:textId="77777777" w:rsidR="00EB649D" w:rsidRPr="004038BD" w:rsidRDefault="00EB649D" w:rsidP="007602C9">
            <w:pPr>
              <w:spacing w:before="0" w:after="0"/>
              <w:jc w:val="center"/>
              <w:rPr>
                <w:b w:val="0"/>
                <w:bCs w:val="0"/>
                <w:sz w:val="28"/>
                <w:szCs w:val="28"/>
              </w:rPr>
            </w:pPr>
            <w:r w:rsidRPr="004038BD">
              <w:rPr>
                <w:b w:val="0"/>
                <w:bCs w:val="0"/>
                <w:sz w:val="28"/>
                <w:szCs w:val="28"/>
              </w:rPr>
              <w:t>Reduce emissions from process heat</w:t>
            </w:r>
          </w:p>
        </w:tc>
      </w:tr>
      <w:tr w:rsidR="00EB649D" w:rsidRPr="002520DA" w14:paraId="46EA667C" w14:textId="77777777" w:rsidTr="00760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478223E" w14:textId="77777777" w:rsidR="00EB649D" w:rsidRPr="002520DA" w:rsidRDefault="00EB649D" w:rsidP="007602C9">
            <w:pPr>
              <w:spacing w:before="120"/>
            </w:pPr>
            <w:r w:rsidRPr="002520DA">
              <w:t xml:space="preserve">We recommend that, in the first budget period the Government take steps to reduce </w:t>
            </w:r>
            <w:r>
              <w:t>carbon</w:t>
            </w:r>
            <w:r w:rsidRPr="002520DA">
              <w:t xml:space="preserve"> emissions from fossil fuelled boilers by: </w:t>
            </w:r>
          </w:p>
          <w:p w14:paraId="4FC68E2C" w14:textId="77777777" w:rsidR="00EB649D" w:rsidRPr="002520DA" w:rsidRDefault="00EB649D" w:rsidP="00655722">
            <w:pPr>
              <w:numPr>
                <w:ilvl w:val="0"/>
                <w:numId w:val="59"/>
              </w:numPr>
            </w:pPr>
            <w:r w:rsidRPr="002520DA">
              <w:t>Urgently introducing regulation to ensure no new coal boilers are installed.</w:t>
            </w:r>
          </w:p>
          <w:p w14:paraId="0F490C2C" w14:textId="77777777" w:rsidR="00EB649D" w:rsidRPr="002520DA" w:rsidRDefault="00EB649D" w:rsidP="00655722">
            <w:pPr>
              <w:numPr>
                <w:ilvl w:val="0"/>
                <w:numId w:val="59"/>
              </w:numPr>
            </w:pPr>
            <w:r w:rsidRPr="002520DA">
              <w:t xml:space="preserve">Introducing measures to </w:t>
            </w:r>
            <w:r>
              <w:t>help reduce</w:t>
            </w:r>
            <w:r w:rsidRPr="002520DA">
              <w:t xml:space="preserve"> </w:t>
            </w:r>
            <w:r>
              <w:t>process heat emissions from boilers by 1.4 Mt CO</w:t>
            </w:r>
            <w:r w:rsidRPr="00374AE7">
              <w:rPr>
                <w:vertAlign w:val="subscript"/>
              </w:rPr>
              <w:t>2</w:t>
            </w:r>
            <w:r>
              <w:t xml:space="preserve">e over 2018 levels </w:t>
            </w:r>
            <w:r w:rsidRPr="002520DA">
              <w:t>by 2030</w:t>
            </w:r>
            <w:r>
              <w:t xml:space="preserve"> and by 2 Mt CO</w:t>
            </w:r>
            <w:r w:rsidRPr="00374AE7">
              <w:rPr>
                <w:vertAlign w:val="subscript"/>
              </w:rPr>
              <w:t>2</w:t>
            </w:r>
            <w:r>
              <w:t>e by 2035</w:t>
            </w:r>
            <w:r w:rsidRPr="002520DA">
              <w:t xml:space="preserve">. </w:t>
            </w:r>
          </w:p>
          <w:p w14:paraId="0064B3D4" w14:textId="77777777" w:rsidR="00EB649D" w:rsidRPr="002520DA" w:rsidRDefault="00EB649D" w:rsidP="00655722">
            <w:pPr>
              <w:numPr>
                <w:ilvl w:val="0"/>
                <w:numId w:val="59"/>
              </w:numPr>
            </w:pPr>
            <w:r w:rsidRPr="002520DA">
              <w:t>Increas</w:t>
            </w:r>
            <w:r>
              <w:t>ing</w:t>
            </w:r>
            <w:r w:rsidRPr="002520DA">
              <w:t xml:space="preserve"> support for identif</w:t>
            </w:r>
            <w:r>
              <w:t>ying</w:t>
            </w:r>
            <w:r w:rsidRPr="002520DA">
              <w:t xml:space="preserve"> and reporting o</w:t>
            </w:r>
            <w:r>
              <w:t>n</w:t>
            </w:r>
            <w:r w:rsidRPr="002520DA">
              <w:t xml:space="preserve"> emission</w:t>
            </w:r>
            <w:r>
              <w:t>s</w:t>
            </w:r>
            <w:r w:rsidRPr="002520DA">
              <w:t xml:space="preserve"> reduction opportunities in industry, including energy efficiency, process optimisation, and fuel switching.</w:t>
            </w:r>
          </w:p>
          <w:p w14:paraId="32537634" w14:textId="77777777" w:rsidR="00EB649D" w:rsidRPr="002520DA" w:rsidRDefault="00EB649D" w:rsidP="00655722">
            <w:pPr>
              <w:numPr>
                <w:ilvl w:val="0"/>
                <w:numId w:val="59"/>
              </w:numPr>
            </w:pPr>
            <w:r>
              <w:t>Helping people to access</w:t>
            </w:r>
            <w:r w:rsidRPr="002520DA">
              <w:t xml:space="preserve"> capital to reduce barriers to the uptake of technology or infrastructure upgrades such as boiler conversions, energy efficiency technologies, and electricity network upgrades. </w:t>
            </w:r>
          </w:p>
        </w:tc>
      </w:tr>
    </w:tbl>
    <w:p w14:paraId="296A70C0" w14:textId="77777777" w:rsidR="00EB649D" w:rsidRPr="000D631C" w:rsidRDefault="00EB649D" w:rsidP="00EB649D">
      <w:pPr>
        <w:pStyle w:val="Heading4"/>
      </w:pPr>
      <w:r w:rsidRPr="002520DA">
        <w:t xml:space="preserve">Support innovation to </w:t>
      </w:r>
      <w:r w:rsidRPr="000D631C">
        <w:t xml:space="preserve">eliminate emissions from industrial processes </w:t>
      </w:r>
    </w:p>
    <w:p w14:paraId="73743716" w14:textId="483F8A79" w:rsidR="00EB649D" w:rsidRPr="002520DA" w:rsidRDefault="00EB649D" w:rsidP="00EB649D">
      <w:r w:rsidRPr="002520DA">
        <w:t xml:space="preserve">Aotearoa has several single company industries with industrial processes </w:t>
      </w:r>
      <w:r>
        <w:t xml:space="preserve">that are </w:t>
      </w:r>
      <w:r w:rsidRPr="002520DA">
        <w:t xml:space="preserve">unique to this country. These industrial processes create emissions that can be challenging to abate. For example, making structural grade steel requires coal as part of the chemical process. </w:t>
      </w:r>
    </w:p>
    <w:p w14:paraId="4C722FD1" w14:textId="77777777" w:rsidR="00EB649D" w:rsidRPr="002520DA" w:rsidRDefault="00EB649D" w:rsidP="00EB649D">
      <w:pPr>
        <w:rPr>
          <w:rFonts w:ascii="Segoe UI" w:hAnsi="Segoe UI" w:cs="Segoe UI"/>
          <w:sz w:val="21"/>
          <w:szCs w:val="21"/>
        </w:rPr>
      </w:pPr>
      <w:r w:rsidRPr="002520DA">
        <w:rPr>
          <w:rFonts w:ascii="Calibri" w:hAnsi="Calibri" w:cs="Calibri"/>
        </w:rPr>
        <w:t>Hard</w:t>
      </w:r>
      <w:r>
        <w:rPr>
          <w:rFonts w:ascii="Calibri" w:hAnsi="Calibri" w:cs="Calibri"/>
        </w:rPr>
        <w:t>-</w:t>
      </w:r>
      <w:r w:rsidRPr="002520DA">
        <w:rPr>
          <w:rFonts w:ascii="Calibri" w:hAnsi="Calibri" w:cs="Calibri"/>
        </w:rPr>
        <w:t>to</w:t>
      </w:r>
      <w:r>
        <w:rPr>
          <w:rFonts w:ascii="Calibri" w:hAnsi="Calibri" w:cs="Calibri"/>
        </w:rPr>
        <w:t>-</w:t>
      </w:r>
      <w:r w:rsidRPr="002520DA">
        <w:rPr>
          <w:rFonts w:ascii="Calibri" w:hAnsi="Calibri" w:cs="Calibri"/>
        </w:rPr>
        <w:t xml:space="preserve">abate industries are likely to still create significant emissions in 2050, but they provide products that are fundamental to </w:t>
      </w:r>
      <w:r>
        <w:rPr>
          <w:rFonts w:ascii="Calibri" w:hAnsi="Calibri" w:cs="Calibri"/>
        </w:rPr>
        <w:t>the</w:t>
      </w:r>
      <w:r w:rsidRPr="002520DA">
        <w:rPr>
          <w:rFonts w:ascii="Calibri" w:hAnsi="Calibri" w:cs="Calibri"/>
        </w:rPr>
        <w:t xml:space="preserve"> economy, like cement, steel and iron. Aotearoa has a choice as to whether it is critical to keep these industries and manufacturing plants based here. If Aotearoa keeps old, emitting plants it would be possible to use forestry to offset the associated emissions. It </w:t>
      </w:r>
      <w:r w:rsidRPr="000D631C">
        <w:t>may be beneficial to investigate the potential of other options to remove emissions from hard to abate industries, such as carbon capture and storage (CCS) or bioenergy combined with CCS (BECCS)</w:t>
      </w:r>
      <w:r>
        <w:t>. However,</w:t>
      </w:r>
      <w:r w:rsidRPr="000D631C">
        <w:t xml:space="preserve"> considerable research would be required as these </w:t>
      </w:r>
      <w:r>
        <w:t>technologies</w:t>
      </w:r>
      <w:r w:rsidRPr="000D631C">
        <w:t xml:space="preserve"> are still largely in a </w:t>
      </w:r>
      <w:r>
        <w:t>research and concept</w:t>
      </w:r>
      <w:r w:rsidRPr="000D631C">
        <w:t xml:space="preserve"> phase</w:t>
      </w:r>
      <w:r>
        <w:t xml:space="preserve"> in Aotearoa</w:t>
      </w:r>
      <w:r w:rsidRPr="000D631C">
        <w:t>.</w:t>
      </w:r>
    </w:p>
    <w:p w14:paraId="53A14342" w14:textId="77777777" w:rsidR="00EB649D" w:rsidRPr="002520DA" w:rsidRDefault="00EB649D" w:rsidP="00EB649D">
      <w:r w:rsidRPr="002520DA">
        <w:t xml:space="preserve">There is also the potential to transform industrial processes from </w:t>
      </w:r>
      <w:r>
        <w:t>the</w:t>
      </w:r>
      <w:r w:rsidRPr="002520DA">
        <w:t xml:space="preserve"> hard</w:t>
      </w:r>
      <w:r>
        <w:t>-</w:t>
      </w:r>
      <w:r w:rsidRPr="002520DA">
        <w:t>to</w:t>
      </w:r>
      <w:r>
        <w:t>-</w:t>
      </w:r>
      <w:r w:rsidRPr="002520DA">
        <w:t xml:space="preserve">abate sectors to achieve gross emissions reductions in line with climate change targets. </w:t>
      </w:r>
      <w:r>
        <w:t>The country’s</w:t>
      </w:r>
      <w:r w:rsidRPr="002520DA">
        <w:t xml:space="preserve"> heavy industrial manufacturing plants are relatively old and built to accommodate specific industrial processes. Entirely new industrial processes and technologies could potentially be adopted, or plants could be modernised between now and 2050, or retrofitted to make use of alternative </w:t>
      </w:r>
      <w:r>
        <w:t>fuels</w:t>
      </w:r>
      <w:r w:rsidRPr="002520DA">
        <w:t xml:space="preserve">. Other choices are also available; for example, Aotearoa could import products from low emissions manufacturing plants overseas. </w:t>
      </w:r>
    </w:p>
    <w:p w14:paraId="6C9E2F1D" w14:textId="77777777" w:rsidR="00EB649D" w:rsidRPr="002520DA" w:rsidRDefault="00EB649D" w:rsidP="00EB649D">
      <w:r w:rsidRPr="002520DA">
        <w:t xml:space="preserve">Retrofitting </w:t>
      </w:r>
      <w:r>
        <w:t>i</w:t>
      </w:r>
      <w:r w:rsidRPr="002520DA">
        <w:t>ndustrial plants with new technologies or building new low emissions processes for the hard</w:t>
      </w:r>
      <w:r>
        <w:t>-</w:t>
      </w:r>
      <w:r w:rsidRPr="002520DA">
        <w:t>to</w:t>
      </w:r>
      <w:r>
        <w:t>-</w:t>
      </w:r>
      <w:r w:rsidRPr="002520DA">
        <w:t xml:space="preserve">abate sectors is expensive based on current cost estimates. Significant research, development and innovation is required. Technologies developed overseas may need to be adapted to work in the unique Aotearoa industry processes. </w:t>
      </w:r>
    </w:p>
    <w:p w14:paraId="0B825A35" w14:textId="77777777" w:rsidR="00EB649D" w:rsidRDefault="00EB649D" w:rsidP="00EB649D">
      <w:r w:rsidRPr="002520DA">
        <w:t>A long-term strategy for hard</w:t>
      </w:r>
      <w:r>
        <w:t>-</w:t>
      </w:r>
      <w:r w:rsidRPr="002520DA">
        <w:t>to</w:t>
      </w:r>
      <w:r>
        <w:t>-</w:t>
      </w:r>
      <w:r w:rsidRPr="002520DA">
        <w:t xml:space="preserve">abate industries should be developed and closely linked to </w:t>
      </w:r>
      <w:r>
        <w:t>the country’s</w:t>
      </w:r>
      <w:r w:rsidRPr="002520DA">
        <w:t xml:space="preserve"> Economic Plans, national infrastructure developments and equitable transitions planning. If the Government decides these hard</w:t>
      </w:r>
      <w:r>
        <w:t>-</w:t>
      </w:r>
      <w:r w:rsidRPr="002520DA">
        <w:t>to</w:t>
      </w:r>
      <w:r>
        <w:t>-</w:t>
      </w:r>
      <w:r w:rsidRPr="002520DA">
        <w:t xml:space="preserve">abate industries are critical national infrastructure, it must </w:t>
      </w:r>
      <w:r w:rsidRPr="002520DA">
        <w:lastRenderedPageBreak/>
        <w:t xml:space="preserve">work collaboratively and inclusively to ensure that people working in these industries are upskilled appropriately. </w:t>
      </w:r>
    </w:p>
    <w:p w14:paraId="22CB61AC" w14:textId="77777777" w:rsidR="00EB649D" w:rsidRPr="002520DA" w:rsidRDefault="00EB649D" w:rsidP="00EB649D"/>
    <w:tbl>
      <w:tblPr>
        <w:tblStyle w:val="GridTable4-Accent5"/>
        <w:tblW w:w="0" w:type="auto"/>
        <w:tblCellMar>
          <w:bottom w:w="57" w:type="dxa"/>
        </w:tblCellMar>
        <w:tblLook w:val="04A0" w:firstRow="1" w:lastRow="0" w:firstColumn="1" w:lastColumn="0" w:noHBand="0" w:noVBand="1"/>
      </w:tblPr>
      <w:tblGrid>
        <w:gridCol w:w="9016"/>
      </w:tblGrid>
      <w:tr w:rsidR="00EB649D" w:rsidRPr="002520DA" w14:paraId="018EC2EF" w14:textId="77777777" w:rsidTr="00760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F6EC2B9" w14:textId="299905F0" w:rsidR="00EB649D" w:rsidRPr="002520DA" w:rsidRDefault="00EB649D" w:rsidP="007602C9">
            <w:pPr>
              <w:spacing w:before="0" w:after="0"/>
              <w:jc w:val="center"/>
              <w:rPr>
                <w:sz w:val="28"/>
                <w:szCs w:val="28"/>
              </w:rPr>
            </w:pPr>
            <w:r w:rsidRPr="003F340F">
              <w:rPr>
                <w:sz w:val="28"/>
                <w:szCs w:val="28"/>
              </w:rPr>
              <w:t>Necessary</w:t>
            </w:r>
            <w:r w:rsidRPr="002520DA">
              <w:rPr>
                <w:sz w:val="28"/>
                <w:szCs w:val="28"/>
              </w:rPr>
              <w:t xml:space="preserve"> action</w:t>
            </w:r>
            <w:r w:rsidR="003B15E6">
              <w:rPr>
                <w:sz w:val="28"/>
                <w:szCs w:val="28"/>
              </w:rPr>
              <w:t xml:space="preserve"> 8</w:t>
            </w:r>
          </w:p>
          <w:p w14:paraId="073118BD" w14:textId="77777777" w:rsidR="00EB649D" w:rsidRPr="004038BD" w:rsidRDefault="00EB649D" w:rsidP="007602C9">
            <w:pPr>
              <w:spacing w:before="0" w:after="0"/>
              <w:jc w:val="center"/>
              <w:rPr>
                <w:b w:val="0"/>
                <w:bCs w:val="0"/>
                <w:sz w:val="28"/>
                <w:szCs w:val="28"/>
              </w:rPr>
            </w:pPr>
            <w:r w:rsidRPr="004038BD">
              <w:rPr>
                <w:b w:val="0"/>
                <w:bCs w:val="0"/>
                <w:sz w:val="28"/>
                <w:szCs w:val="28"/>
              </w:rPr>
              <w:t>Support innovation to reduce emissions from industrial processes</w:t>
            </w:r>
          </w:p>
        </w:tc>
      </w:tr>
      <w:tr w:rsidR="00EB649D" w:rsidRPr="002520DA" w14:paraId="1C2B421A" w14:textId="77777777" w:rsidTr="00760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CD90E1C" w14:textId="77777777" w:rsidR="00EB649D" w:rsidRPr="002520DA" w:rsidRDefault="00EB649D" w:rsidP="007602C9">
            <w:pPr>
              <w:spacing w:before="120"/>
            </w:pPr>
            <w:r w:rsidRPr="002520DA">
              <w:t>We recommend that, in the first budget period the Government take steps to support innovation in hard</w:t>
            </w:r>
            <w:r>
              <w:t>-</w:t>
            </w:r>
            <w:r w:rsidRPr="002520DA">
              <w:t>to</w:t>
            </w:r>
            <w:r>
              <w:t>-</w:t>
            </w:r>
            <w:r w:rsidRPr="002520DA">
              <w:t xml:space="preserve">abate industrial processes, including by: </w:t>
            </w:r>
          </w:p>
          <w:p w14:paraId="0DFF265C" w14:textId="77777777" w:rsidR="00EB649D" w:rsidRPr="002520DA" w:rsidRDefault="00EB649D" w:rsidP="00655722">
            <w:pPr>
              <w:numPr>
                <w:ilvl w:val="0"/>
                <w:numId w:val="60"/>
              </w:numPr>
            </w:pPr>
            <w:r w:rsidRPr="002520DA">
              <w:t>Developing a long-term strategy for the future of hard</w:t>
            </w:r>
            <w:r>
              <w:t>-</w:t>
            </w:r>
            <w:r w:rsidRPr="002520DA">
              <w:t>to</w:t>
            </w:r>
            <w:r>
              <w:t>-</w:t>
            </w:r>
            <w:r w:rsidRPr="002520DA">
              <w:t xml:space="preserve">abate industries, including iron, steel making, cement and lime production and petrochemical production. This strategy should be developed alongside the </w:t>
            </w:r>
            <w:r>
              <w:t xml:space="preserve">national </w:t>
            </w:r>
            <w:r w:rsidRPr="002520DA">
              <w:t>energy strategy, future Economic Plans and strategies for an equitable transition (see time</w:t>
            </w:r>
            <w:r>
              <w:t>-</w:t>
            </w:r>
            <w:r w:rsidRPr="002520DA">
              <w:t xml:space="preserve">critical </w:t>
            </w:r>
            <w:r>
              <w:t xml:space="preserve">necessary </w:t>
            </w:r>
            <w:r w:rsidRPr="00D7388C">
              <w:t>actions 1 and 3).</w:t>
            </w:r>
            <w:r w:rsidRPr="002520DA">
              <w:t xml:space="preserve"> </w:t>
            </w:r>
          </w:p>
          <w:p w14:paraId="106F62BA" w14:textId="77777777" w:rsidR="00EB649D" w:rsidRPr="002520DA" w:rsidRDefault="00EB649D" w:rsidP="00655722">
            <w:pPr>
              <w:numPr>
                <w:ilvl w:val="0"/>
                <w:numId w:val="60"/>
              </w:numPr>
            </w:pPr>
            <w:r w:rsidRPr="002520DA">
              <w:t>Based on the outcome of the strategy, investigat</w:t>
            </w:r>
            <w:r>
              <w:t>ing</w:t>
            </w:r>
            <w:r w:rsidRPr="002520DA">
              <w:t xml:space="preserve"> whether bespoke solutions requiring research and development specific to Aotearoa will be required. </w:t>
            </w:r>
          </w:p>
        </w:tc>
      </w:tr>
    </w:tbl>
    <w:p w14:paraId="4293B2B1" w14:textId="77777777" w:rsidR="00EB649D" w:rsidRPr="00A01E24" w:rsidRDefault="00EB649D" w:rsidP="00EB649D">
      <w:pPr>
        <w:pStyle w:val="Heading4"/>
      </w:pPr>
      <w:r w:rsidRPr="002520DA">
        <w:t>Efficiently</w:t>
      </w:r>
      <w:r w:rsidRPr="00A01E24">
        <w:t xml:space="preserve"> use energy in buildings </w:t>
      </w:r>
    </w:p>
    <w:p w14:paraId="373B0293" w14:textId="77777777" w:rsidR="00EB649D" w:rsidRPr="002520DA" w:rsidRDefault="00EB649D" w:rsidP="00EB649D">
      <w:r w:rsidRPr="002520DA">
        <w:t xml:space="preserve">The most cost-effective way to reduce energy emissions is to reduce the amount of energy consumed. Energy efficiency generally improves at the rate of 1% per year, but this needs to increase. In particular, energy efficiency measures to lower peak electricity demand can have a </w:t>
      </w:r>
      <w:r>
        <w:t>large</w:t>
      </w:r>
      <w:r w:rsidRPr="002520DA">
        <w:t xml:space="preserve"> impact and reduce costs. </w:t>
      </w:r>
    </w:p>
    <w:p w14:paraId="6DDE85CF" w14:textId="77777777" w:rsidR="00EB649D" w:rsidRPr="002520DA" w:rsidRDefault="00EB649D" w:rsidP="00EB649D">
      <w:r w:rsidRPr="002520DA">
        <w:t xml:space="preserve">Our analysis shows that the biggest opportunity to reduce emissions associated with operating buildings is by reducing fossil fuel use, especially gas. Continued improvements in </w:t>
      </w:r>
      <w:r>
        <w:t xml:space="preserve">the </w:t>
      </w:r>
      <w:r w:rsidRPr="002520DA">
        <w:t xml:space="preserve">energy efficiency of existing buildings is also essential, particularly in large commercial buildings and </w:t>
      </w:r>
      <w:r>
        <w:t>public</w:t>
      </w:r>
      <w:r w:rsidRPr="002520DA">
        <w:t xml:space="preserve"> buildings.</w:t>
      </w:r>
    </w:p>
    <w:p w14:paraId="0CC05030" w14:textId="77777777" w:rsidR="00EB649D" w:rsidRPr="002520DA" w:rsidRDefault="00EB649D" w:rsidP="00EB649D">
      <w:r w:rsidRPr="002520DA">
        <w:t xml:space="preserve">Some of the technology required to make homes or businesses more efficient can be costly, and this is often a barrier to adoption. For example, measures like installing insulation can significantly improve energy efficiency, but come with upfront purchase and installation costs. The complexity of the retail electricity market can also disincentivise consumers from making changes that could save them money and reduce emissions. </w:t>
      </w:r>
    </w:p>
    <w:p w14:paraId="48D0E9D3" w14:textId="77777777" w:rsidR="00EB649D" w:rsidRDefault="00EB649D" w:rsidP="00EB649D">
      <w:r w:rsidRPr="002520DA">
        <w:t xml:space="preserve">Electricity is a more efficient and lower emissions source of energy for heating homes and businesses than gas. To get on a low emissions pathway Aotearoa needs to avoid locking in new gas assets. Portable LPG heaters are </w:t>
      </w:r>
      <w:r>
        <w:t>a</w:t>
      </w:r>
      <w:r w:rsidRPr="002520DA">
        <w:t xml:space="preserve"> relatively expensive and unhealthy way of heating homes. We recognise that people may not have an alternative or better choice, and to ensure an inclusive transition it is important that everyone can equally access affordable electricity to adequately heat their homes. The Government and industry should consider how they can ensure that everyone is able to participate in the move to a low emissions future. </w:t>
      </w:r>
    </w:p>
    <w:p w14:paraId="11A719D3" w14:textId="42924EE4" w:rsidR="00EB649D" w:rsidRPr="002520DA" w:rsidRDefault="00FC29AF">
      <w:pPr>
        <w:spacing w:before="0" w:after="160"/>
      </w:pPr>
      <w:r>
        <w:br w:type="page"/>
      </w:r>
    </w:p>
    <w:tbl>
      <w:tblPr>
        <w:tblStyle w:val="GridTable4-Accent5"/>
        <w:tblW w:w="0" w:type="auto"/>
        <w:tblCellMar>
          <w:bottom w:w="57" w:type="dxa"/>
        </w:tblCellMar>
        <w:tblLook w:val="04A0" w:firstRow="1" w:lastRow="0" w:firstColumn="1" w:lastColumn="0" w:noHBand="0" w:noVBand="1"/>
      </w:tblPr>
      <w:tblGrid>
        <w:gridCol w:w="9016"/>
      </w:tblGrid>
      <w:tr w:rsidR="00EB649D" w:rsidRPr="002520DA" w14:paraId="52B9E520" w14:textId="77777777" w:rsidTr="00760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29662C8" w14:textId="5CBA705D" w:rsidR="00EB649D" w:rsidRPr="00532B5A" w:rsidRDefault="00EB649D" w:rsidP="00532B5A">
            <w:pPr>
              <w:spacing w:before="0" w:after="0"/>
              <w:jc w:val="center"/>
              <w:rPr>
                <w:rFonts w:cstheme="minorHAnsi"/>
                <w:b w:val="0"/>
                <w:sz w:val="28"/>
                <w:szCs w:val="28"/>
              </w:rPr>
            </w:pPr>
            <w:bookmarkStart w:id="215" w:name="_Toc58857620"/>
            <w:bookmarkStart w:id="216" w:name="_Toc61448677"/>
            <w:bookmarkStart w:id="217" w:name="_Toc61951414"/>
            <w:bookmarkStart w:id="218" w:name="_Toc61951582"/>
            <w:r w:rsidRPr="00532B5A">
              <w:rPr>
                <w:rFonts w:cstheme="minorHAnsi"/>
                <w:sz w:val="28"/>
                <w:szCs w:val="28"/>
              </w:rPr>
              <w:lastRenderedPageBreak/>
              <w:t>Necessary action</w:t>
            </w:r>
            <w:bookmarkEnd w:id="215"/>
            <w:bookmarkEnd w:id="216"/>
            <w:bookmarkEnd w:id="217"/>
            <w:bookmarkEnd w:id="218"/>
            <w:r w:rsidR="003B15E6">
              <w:rPr>
                <w:rFonts w:cstheme="minorHAnsi"/>
                <w:sz w:val="28"/>
                <w:szCs w:val="28"/>
              </w:rPr>
              <w:t xml:space="preserve"> 9</w:t>
            </w:r>
          </w:p>
          <w:p w14:paraId="6E587629" w14:textId="678D70C4" w:rsidR="00EB649D" w:rsidRPr="00532B5A" w:rsidRDefault="00EB649D" w:rsidP="00532B5A">
            <w:pPr>
              <w:spacing w:before="0" w:after="0"/>
              <w:jc w:val="center"/>
              <w:rPr>
                <w:rFonts w:asciiTheme="majorHAnsi" w:eastAsiaTheme="majorEastAsia" w:hAnsiTheme="majorHAnsi" w:cstheme="majorBidi"/>
                <w:b w:val="0"/>
                <w:color w:val="1F3864" w:themeColor="accent1" w:themeShade="80"/>
                <w:sz w:val="24"/>
                <w:szCs w:val="24"/>
              </w:rPr>
            </w:pPr>
            <w:bookmarkStart w:id="219" w:name="_Toc58857621"/>
            <w:bookmarkStart w:id="220" w:name="_Toc61448678"/>
            <w:bookmarkStart w:id="221" w:name="_Toc61951415"/>
            <w:bookmarkStart w:id="222" w:name="_Toc61951583"/>
            <w:r w:rsidRPr="00532B5A">
              <w:rPr>
                <w:rFonts w:eastAsiaTheme="majorEastAsia" w:cstheme="minorHAnsi"/>
                <w:b w:val="0"/>
                <w:sz w:val="28"/>
                <w:szCs w:val="28"/>
              </w:rPr>
              <w:t>Increase energy efficiency in buildings</w:t>
            </w:r>
            <w:bookmarkEnd w:id="219"/>
            <w:bookmarkEnd w:id="220"/>
            <w:bookmarkEnd w:id="221"/>
            <w:bookmarkEnd w:id="222"/>
          </w:p>
        </w:tc>
      </w:tr>
      <w:tr w:rsidR="00EB649D" w:rsidRPr="002520DA" w14:paraId="68AD7BF1" w14:textId="77777777" w:rsidTr="00760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097DB8F" w14:textId="77777777" w:rsidR="00EB649D" w:rsidRPr="002520DA" w:rsidRDefault="00EB649D" w:rsidP="007602C9">
            <w:r w:rsidRPr="002520DA">
              <w:t>We recommend that, in the first budget period the Government introduce measures to transform, transition and reduce energy use in buildings. Measures should include:</w:t>
            </w:r>
          </w:p>
          <w:p w14:paraId="1CCEDC1C" w14:textId="77777777" w:rsidR="00EB649D" w:rsidRPr="002520DA" w:rsidRDefault="00EB649D" w:rsidP="00655722">
            <w:pPr>
              <w:numPr>
                <w:ilvl w:val="0"/>
                <w:numId w:val="61"/>
              </w:numPr>
            </w:pPr>
            <w:r w:rsidRPr="002520DA">
              <w:t xml:space="preserve">Continuing to improve energy efficiency standards for all buildings, new and existing stock, through measures like improving insulation requirements. Expand assistance which targets low-income households. </w:t>
            </w:r>
          </w:p>
          <w:p w14:paraId="46DEEBDF" w14:textId="77777777" w:rsidR="00EB649D" w:rsidRPr="002520DA" w:rsidRDefault="00EB649D" w:rsidP="00655722">
            <w:pPr>
              <w:numPr>
                <w:ilvl w:val="0"/>
                <w:numId w:val="61"/>
              </w:numPr>
            </w:pPr>
            <w:r w:rsidRPr="002520DA">
              <w:t>Introducing mandatory measures to improve the operational energy performance of commercial and public buildings.</w:t>
            </w:r>
          </w:p>
          <w:p w14:paraId="710BB1B6" w14:textId="4B685333" w:rsidR="00BD5A1E" w:rsidRPr="00487903" w:rsidRDefault="00EB649D" w:rsidP="00655722">
            <w:pPr>
              <w:numPr>
                <w:ilvl w:val="0"/>
                <w:numId w:val="61"/>
              </w:numPr>
            </w:pPr>
            <w:r w:rsidRPr="002520DA">
              <w:t xml:space="preserve">Setting a date </w:t>
            </w:r>
            <w:r w:rsidR="003E07C9">
              <w:t>by when</w:t>
            </w:r>
            <w:r w:rsidRPr="002520DA">
              <w:t xml:space="preserve"> no new natural gas connections</w:t>
            </w:r>
            <w:r w:rsidR="00281E41">
              <w:t xml:space="preserve"> are permitted,</w:t>
            </w:r>
            <w:r w:rsidRPr="002520DA">
              <w:t xml:space="preserve"> and</w:t>
            </w:r>
            <w:r w:rsidR="00164F8D">
              <w:t xml:space="preserve"> where feasible, all new or replacement heating systems installed are electric</w:t>
            </w:r>
            <w:r w:rsidR="003A0C5E">
              <w:t xml:space="preserve"> or</w:t>
            </w:r>
            <w:r w:rsidR="00164F8D">
              <w:t xml:space="preserve"> bioenergy. </w:t>
            </w:r>
            <w:r w:rsidR="00DB33CF">
              <w:t xml:space="preserve">This </w:t>
            </w:r>
            <w:r w:rsidR="009A1F0A">
              <w:t>should</w:t>
            </w:r>
            <w:r w:rsidR="00087820">
              <w:t xml:space="preserve"> be no late</w:t>
            </w:r>
            <w:r w:rsidR="007D36F4">
              <w:t>r</w:t>
            </w:r>
            <w:r w:rsidR="00087820">
              <w:t xml:space="preserve"> than </w:t>
            </w:r>
            <w:r w:rsidR="009A1F0A">
              <w:t>2025</w:t>
            </w:r>
            <w:r w:rsidR="00BD5A1E">
              <w:t xml:space="preserve"> and earlier if possible</w:t>
            </w:r>
            <w:r w:rsidR="009A1F0A">
              <w:t xml:space="preserve">. </w:t>
            </w:r>
          </w:p>
        </w:tc>
      </w:tr>
    </w:tbl>
    <w:p w14:paraId="6278AAE2" w14:textId="77777777" w:rsidR="00EB649D" w:rsidRPr="001E6675" w:rsidRDefault="00EB649D" w:rsidP="00EB649D">
      <w:pPr>
        <w:pStyle w:val="Heading4"/>
      </w:pPr>
      <w:r w:rsidRPr="002520DA">
        <w:t>Tr</w:t>
      </w:r>
      <w:r w:rsidRPr="001E6675">
        <w:t>ansport, buildings and urban form</w:t>
      </w:r>
    </w:p>
    <w:p w14:paraId="4A40943D" w14:textId="77777777" w:rsidR="00EB649D" w:rsidRPr="002520DA" w:rsidRDefault="00EB649D" w:rsidP="00EB649D">
      <w:r w:rsidRPr="002520DA">
        <w:t>Urban form influences emissions from waste, transport and energy. While there have been numerous studies on the impact urban form, density, mobility, land use and planning have on emissions, robust quantitative evidence and information remains limited. Further investigation is needed to develop an understanding of the connections between urban planning, design, infrastructure, and climate change mitigation and adaptation. This is important to inform the design of policy interventions to reduce emissions from cities and towns, transport networks and buildings.</w:t>
      </w:r>
    </w:p>
    <w:p w14:paraId="2A83D6D5" w14:textId="77777777" w:rsidR="00EB649D" w:rsidRPr="002520DA" w:rsidRDefault="00EB649D" w:rsidP="00EB649D">
      <w:r w:rsidRPr="002520DA">
        <w:t xml:space="preserve">Achieving emissions reductions through changes </w:t>
      </w:r>
      <w:r>
        <w:t xml:space="preserve">to </w:t>
      </w:r>
      <w:r w:rsidRPr="002520DA">
        <w:t xml:space="preserve">urban form takes a long time. Emissions from urban form are also influenced by many pieces of legislation, some of which are in the process of being amended – such as </w:t>
      </w:r>
      <w:r>
        <w:t xml:space="preserve">the </w:t>
      </w:r>
      <w:r w:rsidRPr="002520DA">
        <w:t xml:space="preserve">Resource Management </w:t>
      </w:r>
      <w:r w:rsidRPr="002520DA">
        <w:rPr>
          <w:caps/>
        </w:rPr>
        <w:t>A</w:t>
      </w:r>
      <w:r w:rsidRPr="002520DA">
        <w:t>ct. The Government should ensure that the review of resource management legislation enables low emissions transport and building systems.</w:t>
      </w:r>
    </w:p>
    <w:p w14:paraId="344FE257" w14:textId="61BC312D" w:rsidR="00FC29AF" w:rsidRPr="002520DA" w:rsidRDefault="00EB649D" w:rsidP="00EB649D">
      <w:r w:rsidRPr="002520DA">
        <w:t>The range of different emissions sources affected by urban form can make it difficult to ensure accountability and coordinat</w:t>
      </w:r>
      <w:r>
        <w:t>ed</w:t>
      </w:r>
      <w:r w:rsidRPr="002520DA">
        <w:t xml:space="preserve"> planning and investments, and to ensure decision</w:t>
      </w:r>
      <w:r>
        <w:t xml:space="preserve"> </w:t>
      </w:r>
      <w:r w:rsidRPr="002520DA">
        <w:t>making is focused on clear outcomes.</w:t>
      </w:r>
    </w:p>
    <w:tbl>
      <w:tblPr>
        <w:tblStyle w:val="GridTable4-Accent5"/>
        <w:tblW w:w="0" w:type="auto"/>
        <w:tblLook w:val="04A0" w:firstRow="1" w:lastRow="0" w:firstColumn="1" w:lastColumn="0" w:noHBand="0" w:noVBand="1"/>
      </w:tblPr>
      <w:tblGrid>
        <w:gridCol w:w="9016"/>
      </w:tblGrid>
      <w:tr w:rsidR="00EB649D" w:rsidRPr="002520DA" w14:paraId="76E0F6BC" w14:textId="77777777" w:rsidTr="00760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52F1DF9" w14:textId="4D2C223F" w:rsidR="00EB649D" w:rsidRDefault="00EB649D" w:rsidP="007602C9">
            <w:pPr>
              <w:spacing w:before="0" w:after="0"/>
              <w:jc w:val="center"/>
              <w:rPr>
                <w:b w:val="0"/>
                <w:bCs w:val="0"/>
                <w:sz w:val="28"/>
                <w:szCs w:val="28"/>
              </w:rPr>
            </w:pPr>
            <w:r w:rsidRPr="003873D4">
              <w:rPr>
                <w:sz w:val="28"/>
                <w:szCs w:val="28"/>
              </w:rPr>
              <w:t>Necessary action</w:t>
            </w:r>
            <w:r w:rsidR="003B15E6">
              <w:rPr>
                <w:sz w:val="28"/>
                <w:szCs w:val="28"/>
              </w:rPr>
              <w:t xml:space="preserve"> 10</w:t>
            </w:r>
          </w:p>
          <w:p w14:paraId="4B9D916E" w14:textId="77777777" w:rsidR="00EB649D" w:rsidRPr="004038BD" w:rsidRDefault="00EB649D" w:rsidP="007602C9">
            <w:pPr>
              <w:spacing w:before="0" w:after="0"/>
              <w:jc w:val="center"/>
              <w:rPr>
                <w:b w:val="0"/>
                <w:bCs w:val="0"/>
                <w:sz w:val="28"/>
                <w:szCs w:val="28"/>
              </w:rPr>
            </w:pPr>
            <w:r w:rsidRPr="004038BD">
              <w:rPr>
                <w:b w:val="0"/>
                <w:bCs w:val="0"/>
                <w:sz w:val="28"/>
                <w:szCs w:val="28"/>
              </w:rPr>
              <w:t>Reduce emissions from urban form</w:t>
            </w:r>
          </w:p>
        </w:tc>
      </w:tr>
      <w:tr w:rsidR="00EB649D" w:rsidRPr="002520DA" w14:paraId="71670A8A" w14:textId="77777777" w:rsidTr="00760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F6678F8" w14:textId="77777777" w:rsidR="00EB649D" w:rsidRPr="002520DA" w:rsidRDefault="00EB649D" w:rsidP="007602C9">
            <w:r w:rsidRPr="002520DA">
              <w:t>We recommend that, in the first budget period the Government promote the evolution of urban form to enable low emissions transport and buildings through ongoing legislative reform:</w:t>
            </w:r>
          </w:p>
          <w:p w14:paraId="093B8083" w14:textId="77777777" w:rsidR="00EB649D" w:rsidRPr="002520DA" w:rsidRDefault="00EB649D" w:rsidP="00655722">
            <w:pPr>
              <w:numPr>
                <w:ilvl w:val="0"/>
                <w:numId w:val="62"/>
              </w:numPr>
            </w:pPr>
            <w:r w:rsidRPr="002520DA">
              <w:t>Develop a consistent approach to estimate the long-term emissions impacts of urban development decisions and continually improve the way emissions consequences are integrated into decision making on land</w:t>
            </w:r>
            <w:r>
              <w:t xml:space="preserve"> </w:t>
            </w:r>
            <w:r w:rsidRPr="002520DA">
              <w:t xml:space="preserve">use, transport and infrastructure investments. </w:t>
            </w:r>
          </w:p>
          <w:p w14:paraId="4ABDE0D4" w14:textId="77777777" w:rsidR="00EB649D" w:rsidRPr="002520DA" w:rsidRDefault="00EB649D" w:rsidP="00655722">
            <w:pPr>
              <w:numPr>
                <w:ilvl w:val="0"/>
                <w:numId w:val="62"/>
              </w:numPr>
            </w:pPr>
            <w:r w:rsidRPr="002520DA">
              <w:t xml:space="preserve">Ensure a coordinated approach to decision making is used across Government agencies and local councils to embed a strong relationship between urban planning, design, and transport so that communities are well designed, supported by integrated, accessible transport options, including safe cycleways between home, work and education. </w:t>
            </w:r>
          </w:p>
        </w:tc>
      </w:tr>
    </w:tbl>
    <w:p w14:paraId="190C550F" w14:textId="77777777" w:rsidR="00EB649D" w:rsidRDefault="00EB649D" w:rsidP="00EB649D">
      <w:pPr>
        <w:pStyle w:val="Content"/>
      </w:pPr>
    </w:p>
    <w:tbl>
      <w:tblPr>
        <w:tblStyle w:val="GridTable4-Accent2"/>
        <w:tblW w:w="0" w:type="auto"/>
        <w:shd w:val="clear" w:color="auto" w:fill="C6B1D1"/>
        <w:tblCellMar>
          <w:top w:w="57" w:type="dxa"/>
          <w:bottom w:w="57" w:type="dxa"/>
        </w:tblCellMar>
        <w:tblLook w:val="04A0" w:firstRow="1" w:lastRow="0" w:firstColumn="1" w:lastColumn="0" w:noHBand="0" w:noVBand="1"/>
      </w:tblPr>
      <w:tblGrid>
        <w:gridCol w:w="9016"/>
      </w:tblGrid>
      <w:tr w:rsidR="00EB649D" w:rsidRPr="00EA4071" w14:paraId="5D648DD5" w14:textId="77777777" w:rsidTr="00760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9E76B3"/>
          </w:tcPr>
          <w:p w14:paraId="0927DCEC" w14:textId="77777777" w:rsidR="00EB649D" w:rsidRPr="00BA7CD8" w:rsidRDefault="00EB649D" w:rsidP="007602C9">
            <w:pPr>
              <w:pStyle w:val="Content"/>
              <w:spacing w:before="0" w:after="0"/>
              <w:jc w:val="center"/>
              <w:rPr>
                <w:bCs w:val="0"/>
                <w:color w:val="000000" w:themeColor="text1"/>
                <w:sz w:val="24"/>
                <w:szCs w:val="24"/>
                <w:lang w:val="en-US"/>
              </w:rPr>
            </w:pPr>
            <w:r>
              <w:rPr>
                <w:bCs w:val="0"/>
                <w:sz w:val="28"/>
                <w:szCs w:val="28"/>
              </w:rPr>
              <w:t>Consultation question 15</w:t>
            </w:r>
          </w:p>
          <w:p w14:paraId="5952ED40" w14:textId="77777777" w:rsidR="00EB649D" w:rsidRPr="00EA4071" w:rsidRDefault="00EB649D" w:rsidP="007602C9">
            <w:pPr>
              <w:pStyle w:val="Content"/>
              <w:spacing w:before="0" w:after="0"/>
              <w:jc w:val="center"/>
              <w:rPr>
                <w:b w:val="0"/>
                <w:sz w:val="28"/>
                <w:szCs w:val="28"/>
              </w:rPr>
            </w:pPr>
            <w:r>
              <w:rPr>
                <w:b w:val="0"/>
                <w:sz w:val="28"/>
                <w:szCs w:val="28"/>
                <w:lang w:val="en-US"/>
              </w:rPr>
              <w:t>Heat, industry and power sectors</w:t>
            </w:r>
          </w:p>
        </w:tc>
      </w:tr>
      <w:tr w:rsidR="00752C16" w:rsidRPr="00EA4071" w14:paraId="67A1A277" w14:textId="77777777" w:rsidTr="00760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C6B1D1"/>
          </w:tcPr>
          <w:p w14:paraId="75A21F8F" w14:textId="10627E0C" w:rsidR="00752C16" w:rsidRPr="00E5673C" w:rsidRDefault="00752C16" w:rsidP="00752C16">
            <w:r w:rsidRPr="00B9426C">
              <w:t>Do you support the package of recommendations and actions for the</w:t>
            </w:r>
            <w:r>
              <w:t xml:space="preserve"> heat, industry and power </w:t>
            </w:r>
            <w:r w:rsidRPr="00B9426C">
              <w:t>sector</w:t>
            </w:r>
            <w:r>
              <w:t>s</w:t>
            </w:r>
            <w:r>
              <w:rPr>
                <w:bCs w:val="0"/>
              </w:rPr>
              <w:t>? Is there anything we should change, and why</w:t>
            </w:r>
            <w:r w:rsidRPr="00E5673C">
              <w:rPr>
                <w:bCs w:val="0"/>
              </w:rPr>
              <w:t>?</w:t>
            </w:r>
          </w:p>
        </w:tc>
      </w:tr>
    </w:tbl>
    <w:p w14:paraId="006B3503" w14:textId="3431E363" w:rsidR="002520DA" w:rsidRPr="00F53EB3" w:rsidRDefault="00CB24D5" w:rsidP="00922732">
      <w:pPr>
        <w:pStyle w:val="Heading3"/>
      </w:pPr>
      <w:bookmarkStart w:id="223" w:name="_Toc62649366"/>
      <w:bookmarkStart w:id="224" w:name="_Toc62650307"/>
      <w:r>
        <w:t xml:space="preserve">6.1.3 </w:t>
      </w:r>
      <w:r w:rsidR="002520DA" w:rsidRPr="002520DA">
        <w:t>Agriculture</w:t>
      </w:r>
      <w:bookmarkEnd w:id="223"/>
      <w:bookmarkEnd w:id="224"/>
    </w:p>
    <w:p w14:paraId="4FAD052E" w14:textId="78ED2108" w:rsidR="007E45C5" w:rsidRPr="00F53EB3" w:rsidRDefault="005547AD" w:rsidP="00922732">
      <w:pPr>
        <w:pStyle w:val="Heading4"/>
      </w:pPr>
      <w:r w:rsidRPr="005547AD">
        <w:t>Reduce biogenic agricultural emissions through on-farm efficiency and technologies</w:t>
      </w:r>
      <w:r w:rsidR="007E45C5">
        <w:t xml:space="preserve"> </w:t>
      </w:r>
    </w:p>
    <w:p w14:paraId="68455290" w14:textId="5B44EA5F" w:rsidR="002520DA" w:rsidRPr="002520DA" w:rsidRDefault="002520DA" w:rsidP="00922732">
      <w:r w:rsidRPr="002520DA">
        <w:t>Changing on-farm management practices can reduce biological agricultural emissions, and will be enough to achieve the 2030 biogenic methane target. Changes include adjusting stocking rates, supplementary feed and nitrogen inputs for emissions efficiency, as well as breeding low emissions sheep into the national flock and using low nitrogen feeds. Many</w:t>
      </w:r>
      <w:r w:rsidR="007E45C5">
        <w:t xml:space="preserve"> of these changes will be driven by freshwater policy, so farmers may already be taking actions to reduce their emissions. P</w:t>
      </w:r>
      <w:r w:rsidRPr="002520DA">
        <w:t>olicies</w:t>
      </w:r>
      <w:r w:rsidRPr="002520DA" w:rsidDel="007E45C5">
        <w:t xml:space="preserve"> </w:t>
      </w:r>
      <w:r w:rsidR="007E45C5">
        <w:t>need to</w:t>
      </w:r>
      <w:r w:rsidR="007E45C5" w:rsidRPr="002520DA">
        <w:t xml:space="preserve"> </w:t>
      </w:r>
      <w:r w:rsidRPr="002520DA">
        <w:t>be cohesive across environmental issues</w:t>
      </w:r>
      <w:r w:rsidR="007E45C5">
        <w:t xml:space="preserve"> to ensure they achieve multiple outcomes</w:t>
      </w:r>
      <w:r w:rsidRPr="002520DA">
        <w:t>.</w:t>
      </w:r>
    </w:p>
    <w:p w14:paraId="467D442D" w14:textId="7DE01BDE" w:rsidR="002520DA" w:rsidRPr="002520DA" w:rsidRDefault="002520DA" w:rsidP="00922732">
      <w:r w:rsidRPr="002520DA">
        <w:t xml:space="preserve">Achieving emissions reductions of the scale required will rely on highly skilled farm management and high-quality data to support decision making. </w:t>
      </w:r>
      <w:r w:rsidR="007E45C5">
        <w:t xml:space="preserve">The Biological Emissions Reference Group found these emissions reductions could be achieved without reducing profitability. </w:t>
      </w:r>
      <w:r w:rsidRPr="002520DA">
        <w:t>Increasing technology use on farms will help to support efficiencies and reduce environmental impacts. Improved rural connectivity via broadband will make it easier to access the information and data farmers need to measure and monitor emissions and will support precision agriculture approaches.</w:t>
      </w:r>
    </w:p>
    <w:p w14:paraId="4EAD5D0C" w14:textId="24ADCF9F" w:rsidR="002520DA" w:rsidRPr="002520DA" w:rsidRDefault="002520DA" w:rsidP="00922732">
      <w:r w:rsidRPr="002520DA">
        <w:t xml:space="preserve">In addition to improving efficiency on farms now, the successful development of new technologies and practices would provide greater flexibility and allow Aotearoa to meet the more ambitious end of the 2050 biogenic methane target range without reducing agricultural production. Promising options currently being researched and developed include a methane inhibitor that would be compatible with </w:t>
      </w:r>
      <w:r w:rsidR="002D2319">
        <w:t xml:space="preserve">the </w:t>
      </w:r>
      <w:r w:rsidRPr="002520DA">
        <w:t>pastoral farming system and a methane vaccine. Government investment into research and development to reduce biological emission from agriculture is secured out to 2025, but there is no long-term plan beyond then.</w:t>
      </w:r>
    </w:p>
    <w:p w14:paraId="6BD76202" w14:textId="48D58E79" w:rsidR="002520DA" w:rsidRPr="002520DA" w:rsidRDefault="002D2319" w:rsidP="00922732">
      <w:r>
        <w:t>The country’s</w:t>
      </w:r>
      <w:r w:rsidR="002520DA" w:rsidRPr="002520DA">
        <w:t xml:space="preserve"> food safety system serves an important purpose and ensures products are safe and trusted internationally. However, it can take some time to get new mitigation technologies through the system, or even identify whether they need to go through the system. Streamlining the system would ensure that any effective new technologies and practices to reduce agricultural emissions can be implemented in a timely manner.</w:t>
      </w:r>
    </w:p>
    <w:p w14:paraId="40D7DFF6" w14:textId="47A39F0B" w:rsidR="002520DA" w:rsidRPr="002520DA" w:rsidRDefault="002520DA" w:rsidP="00922732">
      <w:r w:rsidRPr="002520DA">
        <w:t xml:space="preserve">As noted by the ICCC, pricing biological emissions from agriculture would help to incentivise on-farm efficiency improvements and technology uptake. Government is working with industry through the He Waka Eke Noa Partnership to develop a farm level pricing system. The partnership is also developing </w:t>
      </w:r>
      <w:r w:rsidR="008F1BBA">
        <w:t xml:space="preserve">the </w:t>
      </w:r>
      <w:r w:rsidRPr="002520DA">
        <w:t>information and support needed to manage farms in a low emissions way</w:t>
      </w:r>
      <w:r w:rsidR="00922732">
        <w:t>,</w:t>
      </w:r>
      <w:r w:rsidRPr="002520DA">
        <w:t xml:space="preserve"> including training, extension</w:t>
      </w:r>
      <w:r w:rsidR="004E1102">
        <w:t>,</w:t>
      </w:r>
      <w:r w:rsidRPr="002520DA">
        <w:t xml:space="preserve"> and farm</w:t>
      </w:r>
      <w:r w:rsidR="004E1102">
        <w:t xml:space="preserve"> and forestry</w:t>
      </w:r>
      <w:r w:rsidRPr="002520DA">
        <w:t xml:space="preserve"> advisor</w:t>
      </w:r>
      <w:r w:rsidR="004E1102">
        <w:t>y</w:t>
      </w:r>
      <w:r w:rsidRPr="002520DA">
        <w:t xml:space="preserve"> services. It will be important that these tools can deliver emissions reductions consistent with emission budgets and targets, and that they endure beyond 2025. The Commission will review He Waka Eke Noa’s progress in 2022.</w:t>
      </w:r>
    </w:p>
    <w:p w14:paraId="34B7B650" w14:textId="43C79EC2" w:rsidR="002520DA" w:rsidRDefault="002520DA" w:rsidP="00922732">
      <w:r w:rsidRPr="002520DA">
        <w:lastRenderedPageBreak/>
        <w:t xml:space="preserve">Many other potential ways of reducing emissions from </w:t>
      </w:r>
      <w:r w:rsidR="00B84D98">
        <w:t xml:space="preserve">the </w:t>
      </w:r>
      <w:r w:rsidRPr="002520DA">
        <w:t>food and fibre system have also been proposed. For example, there has been discussion about the use of genetic engineering, and practices to increase carbon sequestration and resilience (often under the banner of regenerative agriculture). Evidence of effectiveness within an Aotearoa context, and discussions about the acceptability of different approaches, is needed.</w:t>
      </w:r>
    </w:p>
    <w:p w14:paraId="51C3E3DC" w14:textId="77777777" w:rsidR="00922732" w:rsidRPr="002520DA" w:rsidRDefault="00922732" w:rsidP="00922732"/>
    <w:tbl>
      <w:tblPr>
        <w:tblStyle w:val="GridTable4-Accent2"/>
        <w:tblW w:w="0" w:type="auto"/>
        <w:tblCellMar>
          <w:bottom w:w="57" w:type="dxa"/>
        </w:tblCellMar>
        <w:tblLook w:val="04A0" w:firstRow="1" w:lastRow="0" w:firstColumn="1" w:lastColumn="0" w:noHBand="0" w:noVBand="1"/>
      </w:tblPr>
      <w:tblGrid>
        <w:gridCol w:w="9016"/>
      </w:tblGrid>
      <w:tr w:rsidR="002520DA" w:rsidRPr="002520DA" w14:paraId="6872ACEF"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16BFC18" w14:textId="6E14C42B" w:rsidR="002520DA" w:rsidRPr="002520DA" w:rsidRDefault="002520DA" w:rsidP="002520DA">
            <w:pPr>
              <w:spacing w:before="0" w:after="0"/>
              <w:jc w:val="center"/>
              <w:rPr>
                <w:color w:val="000000" w:themeColor="text1"/>
                <w:sz w:val="24"/>
                <w:szCs w:val="24"/>
                <w:lang w:val="en-US"/>
              </w:rPr>
            </w:pPr>
            <w:r w:rsidRPr="002520DA">
              <w:rPr>
                <w:sz w:val="28"/>
                <w:szCs w:val="28"/>
              </w:rPr>
              <w:t>Time</w:t>
            </w:r>
            <w:r w:rsidR="00DE4485" w:rsidRPr="00DE4485">
              <w:rPr>
                <w:sz w:val="28"/>
                <w:szCs w:val="28"/>
              </w:rPr>
              <w:t>-</w:t>
            </w:r>
            <w:r w:rsidRPr="002520DA">
              <w:rPr>
                <w:sz w:val="28"/>
                <w:szCs w:val="28"/>
              </w:rPr>
              <w:t xml:space="preserve">critical </w:t>
            </w:r>
            <w:r w:rsidR="00DE4485" w:rsidRPr="00DE4485">
              <w:rPr>
                <w:sz w:val="28"/>
                <w:szCs w:val="28"/>
              </w:rPr>
              <w:t>necessary action</w:t>
            </w:r>
            <w:r w:rsidRPr="002520DA">
              <w:rPr>
                <w:sz w:val="28"/>
                <w:szCs w:val="28"/>
              </w:rPr>
              <w:t xml:space="preserve"> </w:t>
            </w:r>
            <w:r w:rsidR="00831465">
              <w:rPr>
                <w:sz w:val="28"/>
                <w:szCs w:val="28"/>
              </w:rPr>
              <w:t>4</w:t>
            </w:r>
          </w:p>
          <w:p w14:paraId="16B2E7C8" w14:textId="77777777" w:rsidR="002520DA" w:rsidRPr="0020606D" w:rsidRDefault="002520DA" w:rsidP="002520DA">
            <w:pPr>
              <w:spacing w:before="0" w:after="0"/>
              <w:jc w:val="center"/>
              <w:rPr>
                <w:b w:val="0"/>
                <w:bCs w:val="0"/>
                <w:sz w:val="26"/>
                <w:szCs w:val="26"/>
              </w:rPr>
            </w:pPr>
            <w:r w:rsidRPr="0020606D">
              <w:rPr>
                <w:b w:val="0"/>
                <w:bCs w:val="0"/>
                <w:sz w:val="26"/>
                <w:szCs w:val="26"/>
              </w:rPr>
              <w:t>Reduce biogenic agricultural emissions through on-farm efficiency and technologies</w:t>
            </w:r>
            <w:r w:rsidRPr="0020606D">
              <w:rPr>
                <w:b w:val="0"/>
                <w:bCs w:val="0"/>
                <w:sz w:val="26"/>
                <w:szCs w:val="26"/>
                <w:u w:val="single"/>
              </w:rPr>
              <w:t xml:space="preserve"> </w:t>
            </w:r>
          </w:p>
        </w:tc>
      </w:tr>
      <w:tr w:rsidR="002520DA" w:rsidRPr="002520DA" w14:paraId="5DC8E541"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2613F65" w14:textId="77777777" w:rsidR="002520DA" w:rsidRPr="002520DA" w:rsidRDefault="002520DA" w:rsidP="002520DA">
            <w:r w:rsidRPr="002520DA">
              <w:t>Currently available changes to management practices have the potential to meet the 2030 biogenic methane target. New technologies would provide greater flexibility and the ability to meet the more ambitious end of the 2050 biogenic methane target range without reducing output. We recommend that in the first budget period that the Government:</w:t>
            </w:r>
          </w:p>
          <w:p w14:paraId="37C9AEC1" w14:textId="2CF33122" w:rsidR="002520DA" w:rsidRPr="00751509" w:rsidRDefault="002520DA" w:rsidP="00655722">
            <w:pPr>
              <w:numPr>
                <w:ilvl w:val="0"/>
                <w:numId w:val="63"/>
              </w:numPr>
            </w:pPr>
            <w:r w:rsidRPr="002520DA">
              <w:t xml:space="preserve">Ensure that effective mechanisms are in place so that the </w:t>
            </w:r>
            <w:r w:rsidR="00AD2D79">
              <w:t>plans</w:t>
            </w:r>
            <w:r w:rsidRPr="002520DA">
              <w:t xml:space="preserve">, advisory and guidance tools developed by He Waka Eke Noa will endure beyond 2025 </w:t>
            </w:r>
            <w:r w:rsidRPr="002520DA" w:rsidDel="0069310D">
              <w:t xml:space="preserve">and can </w:t>
            </w:r>
            <w:r w:rsidR="0069310D">
              <w:t>support achievement of the emissions budgets and targets.</w:t>
            </w:r>
          </w:p>
          <w:p w14:paraId="0AFF5FF9" w14:textId="33F7E160" w:rsidR="002330F5" w:rsidRPr="002330F5" w:rsidRDefault="002330F5" w:rsidP="00655722">
            <w:pPr>
              <w:numPr>
                <w:ilvl w:val="0"/>
                <w:numId w:val="63"/>
              </w:numPr>
            </w:pPr>
            <w:r w:rsidRPr="002330F5">
              <w:rPr>
                <w:lang w:val="en-US"/>
              </w:rPr>
              <w:t>Drawing on the work of He Waka Eke Noa, decide in 2022 on a pricing mechanism for agricultural emissions as is required by legislation that is suited to the characteristics of the sector and capable of supporting achievement of the emissions budgets and targets.​</w:t>
            </w:r>
          </w:p>
          <w:p w14:paraId="06908B77" w14:textId="3AD1E4C4" w:rsidR="00552973" w:rsidRPr="002520DA" w:rsidRDefault="00360C68" w:rsidP="00655722">
            <w:pPr>
              <w:numPr>
                <w:ilvl w:val="0"/>
                <w:numId w:val="63"/>
              </w:numPr>
            </w:pPr>
            <w:r w:rsidRPr="00FC5D4F">
              <w:rPr>
                <w:lang w:val="en-US"/>
              </w:rPr>
              <w:t>Ensure the Rural Broadband Initiative is resourced and </w:t>
            </w:r>
            <w:proofErr w:type="spellStart"/>
            <w:r w:rsidRPr="00FC5D4F">
              <w:rPr>
                <w:lang w:val="en-US"/>
              </w:rPr>
              <w:t>prioritised</w:t>
            </w:r>
            <w:proofErr w:type="spellEnd"/>
            <w:r w:rsidRPr="00FC5D4F">
              <w:rPr>
                <w:lang w:val="en-US"/>
              </w:rPr>
              <w:t> to achieve its 2023 target, so that farmers have access to data and information to support decision making and the ability to practice precision agriculture. </w:t>
            </w:r>
            <w:r w:rsidRPr="00751509">
              <w:rPr>
                <w:lang w:val="en-US"/>
              </w:rPr>
              <w:t>​</w:t>
            </w:r>
          </w:p>
          <w:p w14:paraId="4F41EA45" w14:textId="4FE2F73D" w:rsidR="002520DA" w:rsidRPr="002520DA" w:rsidRDefault="002520DA" w:rsidP="00655722">
            <w:pPr>
              <w:numPr>
                <w:ilvl w:val="0"/>
                <w:numId w:val="63"/>
              </w:numPr>
            </w:pPr>
            <w:r w:rsidRPr="002520DA">
              <w:t>Review current arrangements and develop a long-term plan for targeted research and development of technologies</w:t>
            </w:r>
            <w:r w:rsidR="00FC5D4F">
              <w:t xml:space="preserve"> (including evaluating the role of emerging technologies such as genetic engineering)</w:t>
            </w:r>
            <w:r w:rsidRPr="002520DA">
              <w:t xml:space="preserve"> and practices to reduce biogenic emissions from agriculture. </w:t>
            </w:r>
          </w:p>
          <w:p w14:paraId="2EC52FD6" w14:textId="77777777" w:rsidR="002520DA" w:rsidRPr="002520DA" w:rsidRDefault="002520DA" w:rsidP="00655722">
            <w:pPr>
              <w:numPr>
                <w:ilvl w:val="0"/>
                <w:numId w:val="63"/>
              </w:numPr>
            </w:pPr>
            <w:r w:rsidRPr="002520DA">
              <w:t>Review and update processes and regulatory regimes to ensure that new emissions reducing technologies and practices can be rapidly deployed as and when they are developed.</w:t>
            </w:r>
          </w:p>
        </w:tc>
      </w:tr>
    </w:tbl>
    <w:p w14:paraId="7F0FD782" w14:textId="77777777" w:rsidR="002520DA" w:rsidRPr="002520DA" w:rsidRDefault="002520DA" w:rsidP="002520DA">
      <w:pPr>
        <w:spacing w:before="120" w:after="120"/>
        <w:rPr>
          <w:bCs/>
        </w:rPr>
      </w:pPr>
    </w:p>
    <w:tbl>
      <w:tblPr>
        <w:tblStyle w:val="GridTable4-Accent2"/>
        <w:tblW w:w="0" w:type="auto"/>
        <w:tblCellMar>
          <w:bottom w:w="57" w:type="dxa"/>
        </w:tblCellMar>
        <w:tblLook w:val="04A0" w:firstRow="1" w:lastRow="0" w:firstColumn="1" w:lastColumn="0" w:noHBand="0" w:noVBand="1"/>
      </w:tblPr>
      <w:tblGrid>
        <w:gridCol w:w="9016"/>
      </w:tblGrid>
      <w:tr w:rsidR="002520DA" w:rsidRPr="002520DA" w14:paraId="280BB80D"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DCBA1D2" w14:textId="77777777" w:rsidR="002520DA" w:rsidRPr="002520DA" w:rsidRDefault="002520DA" w:rsidP="00FE5583">
            <w:pPr>
              <w:keepNext/>
              <w:spacing w:before="0" w:after="0"/>
              <w:jc w:val="center"/>
              <w:rPr>
                <w:color w:val="000000" w:themeColor="text1"/>
                <w:sz w:val="24"/>
                <w:szCs w:val="24"/>
                <w:lang w:val="en-US"/>
              </w:rPr>
            </w:pPr>
            <w:r w:rsidRPr="002520DA">
              <w:rPr>
                <w:sz w:val="28"/>
                <w:szCs w:val="28"/>
              </w:rPr>
              <w:t>Progress indicators</w:t>
            </w:r>
          </w:p>
        </w:tc>
      </w:tr>
      <w:tr w:rsidR="002520DA" w:rsidRPr="002520DA" w14:paraId="249C90CB"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4A09E7E" w14:textId="2030B6BE" w:rsidR="002520DA" w:rsidRPr="002520DA" w:rsidRDefault="002520DA" w:rsidP="00655722">
            <w:pPr>
              <w:numPr>
                <w:ilvl w:val="0"/>
                <w:numId w:val="34"/>
              </w:numPr>
            </w:pPr>
            <w:r w:rsidRPr="002520DA">
              <w:t xml:space="preserve">Government to have, by </w:t>
            </w:r>
            <w:r w:rsidR="000867C4">
              <w:t>31 December</w:t>
            </w:r>
            <w:r w:rsidRPr="002520DA">
              <w:t xml:space="preserve"> 2022, developed a long-term plan for funding research and development to support reductions in biological emissions from agriculture.</w:t>
            </w:r>
          </w:p>
          <w:p w14:paraId="00ED2477" w14:textId="3FD4FDC9" w:rsidR="002520DA" w:rsidRPr="002520DA" w:rsidRDefault="002520DA" w:rsidP="00655722">
            <w:pPr>
              <w:numPr>
                <w:ilvl w:val="0"/>
                <w:numId w:val="34"/>
              </w:numPr>
            </w:pPr>
            <w:r w:rsidRPr="002520DA">
              <w:t xml:space="preserve">Government to have, by </w:t>
            </w:r>
            <w:r w:rsidR="000867C4">
              <w:t>31 December</w:t>
            </w:r>
            <w:r w:rsidRPr="002520DA">
              <w:t xml:space="preserve"> 2022, reviewed and amended processes and regulatory regimes for new emissions reducing technologies and practices.</w:t>
            </w:r>
          </w:p>
        </w:tc>
      </w:tr>
    </w:tbl>
    <w:p w14:paraId="256B91FE" w14:textId="77777777" w:rsidR="002520DA" w:rsidRPr="002520DA" w:rsidRDefault="002520DA" w:rsidP="002520DA">
      <w:pPr>
        <w:spacing w:before="120" w:after="120"/>
        <w:rPr>
          <w:bCs/>
          <w:u w:val="single"/>
        </w:rPr>
      </w:pPr>
    </w:p>
    <w:p w14:paraId="50DDBEAE" w14:textId="77777777" w:rsidR="002520DA" w:rsidRPr="002520DA" w:rsidRDefault="002520DA" w:rsidP="002520DA">
      <w:pPr>
        <w:spacing w:before="120" w:after="120"/>
        <w:rPr>
          <w:bCs/>
          <w:u w:val="single"/>
        </w:rPr>
      </w:pPr>
    </w:p>
    <w:p w14:paraId="65E8FF09" w14:textId="4D64F3B0" w:rsidR="002520DA" w:rsidRPr="00D23ED0" w:rsidRDefault="002520DA" w:rsidP="00D23ED0">
      <w:pPr>
        <w:pStyle w:val="Heading4"/>
      </w:pPr>
      <w:r w:rsidRPr="002520DA">
        <w:lastRenderedPageBreak/>
        <w:t>Create</w:t>
      </w:r>
      <w:r w:rsidRPr="00D23ED0">
        <w:t xml:space="preserve"> options for alternative farming systems </w:t>
      </w:r>
      <w:r w:rsidR="00EE125B">
        <w:t>and practices</w:t>
      </w:r>
    </w:p>
    <w:p w14:paraId="368CF6B4" w14:textId="0A3B522A" w:rsidR="002520DA" w:rsidRPr="002520DA" w:rsidRDefault="002520DA" w:rsidP="00D23ED0">
      <w:pPr>
        <w:rPr>
          <w:rFonts w:ascii="Calibri" w:hAnsi="Calibri" w:cs="Calibri"/>
        </w:rPr>
      </w:pPr>
      <w:r w:rsidRPr="002520DA">
        <w:t xml:space="preserve">Diversifying land uses and switching some land </w:t>
      </w:r>
      <w:r w:rsidR="00D22F39">
        <w:t xml:space="preserve">that is </w:t>
      </w:r>
      <w:r w:rsidRPr="002520DA">
        <w:t xml:space="preserve">currently in livestock agriculture to uses like horticulture or arable cropping could reduce emissions. </w:t>
      </w:r>
      <w:r w:rsidR="00815175">
        <w:rPr>
          <w:rFonts w:ascii="Calibri" w:hAnsi="Calibri" w:cs="Calibri"/>
        </w:rPr>
        <w:t>Transforming</w:t>
      </w:r>
      <w:r w:rsidRPr="002520DA">
        <w:rPr>
          <w:rFonts w:ascii="Calibri" w:hAnsi="Calibri" w:cs="Calibri"/>
        </w:rPr>
        <w:t xml:space="preserve"> to alternative farming systems is unlikely to play a large role in the first few emissions budgets as the land area converted is likely to be a small percentage of that currently in pastoral farming. However, work done in the next few years can unlock future options that could play a key role in future emissions budgets.</w:t>
      </w:r>
    </w:p>
    <w:p w14:paraId="58E12996" w14:textId="49AE0E9B" w:rsidR="002520DA" w:rsidRPr="002520DA" w:rsidRDefault="002520DA" w:rsidP="00D23ED0">
      <w:r w:rsidRPr="002520DA">
        <w:t>There are currently some significant barriers to changing land use – such as market access, supply chains, and lack of experience, skills, support and infrastructure.</w:t>
      </w:r>
      <w:r w:rsidRPr="002520DA" w:rsidDel="00C14BF1">
        <w:t xml:space="preserve"> </w:t>
      </w:r>
      <w:r w:rsidRPr="002520DA">
        <w:t xml:space="preserve">Investment in new farming systems is higher risk if infrastructure like packhouses, transport and water storage do not already exist – and vice versa. </w:t>
      </w:r>
    </w:p>
    <w:p w14:paraId="5105434C" w14:textId="0F499E5B" w:rsidR="002520DA" w:rsidRPr="002520DA" w:rsidRDefault="002520DA" w:rsidP="00D23ED0">
      <w:r w:rsidRPr="002520DA">
        <w:t xml:space="preserve">Different land uses have opportunities, risks and implications that have not yet been fully explored and understood in the context of </w:t>
      </w:r>
      <w:r w:rsidR="00B84D98">
        <w:t>the</w:t>
      </w:r>
      <w:r w:rsidRPr="002520DA">
        <w:t xml:space="preserve"> low emissions transition. Land is an important resource with the potential to support many important outcomes across environmental, social, cultural and economic domains. Better data, information and tools would help decision makers at all levels </w:t>
      </w:r>
      <w:r w:rsidR="00D07E7D" w:rsidRPr="00D23ED0">
        <w:t>–</w:t>
      </w:r>
      <w:r w:rsidR="00FA1382" w:rsidRPr="00D23ED0">
        <w:t xml:space="preserve"> </w:t>
      </w:r>
      <w:r w:rsidRPr="00D23ED0">
        <w:t>including</w:t>
      </w:r>
      <w:r w:rsidR="00D07E7D" w:rsidRPr="00D23ED0">
        <w:t xml:space="preserve"> </w:t>
      </w:r>
      <w:r w:rsidR="00F9329A" w:rsidRPr="00D23ED0">
        <w:t>land</w:t>
      </w:r>
      <w:r w:rsidR="00F9329A">
        <w:t>owners</w:t>
      </w:r>
      <w:r w:rsidRPr="002520DA">
        <w:t>, local and central government</w:t>
      </w:r>
      <w:r w:rsidR="00D07E7D">
        <w:t xml:space="preserve"> </w:t>
      </w:r>
      <w:r w:rsidR="00D07E7D" w:rsidRPr="00D23ED0">
        <w:t>–</w:t>
      </w:r>
      <w:r w:rsidRPr="002520DA">
        <w:t xml:space="preserve"> to</w:t>
      </w:r>
      <w:r w:rsidRPr="002520DA" w:rsidDel="00D07E7D">
        <w:t xml:space="preserve"> </w:t>
      </w:r>
      <w:r w:rsidRPr="002520DA">
        <w:t xml:space="preserve">make decisions across a range of outcomes. </w:t>
      </w:r>
    </w:p>
    <w:p w14:paraId="51F3925A" w14:textId="77777777" w:rsidR="002520DA" w:rsidRPr="002520DA" w:rsidRDefault="002520DA" w:rsidP="00D23ED0">
      <w:r w:rsidRPr="002520DA">
        <w:t>Water storage implications of different farming systems need to be considered in the context of broader water quantity and quality issues within Aotearoa. Implications for adaptation to climate change, and the implications for iwi/M</w:t>
      </w:r>
      <w:r w:rsidRPr="002520DA">
        <w:rPr>
          <w:rFonts w:ascii="Calibri" w:hAnsi="Calibri" w:cs="Calibri"/>
        </w:rPr>
        <w:t>āori</w:t>
      </w:r>
      <w:r w:rsidRPr="002520DA">
        <w:t xml:space="preserve"> (relating to use, ownership, access and cultural impacts) and broader Māori rights and interests as a Treaty Partner are also critical. Reform of resource management legislation, for example via a Strategic Planning Act, provides an opportunity to take a more holistic approach. </w:t>
      </w:r>
    </w:p>
    <w:p w14:paraId="08425513" w14:textId="411950D6" w:rsidR="002520DA" w:rsidRDefault="002520DA" w:rsidP="00922732">
      <w:r w:rsidRPr="002520DA">
        <w:t xml:space="preserve">Verification of the emissions footprint and broader sustainability of products can help to support market access. </w:t>
      </w:r>
      <w:r w:rsidR="008854AD">
        <w:t>Focus</w:t>
      </w:r>
      <w:r w:rsidRPr="002520DA">
        <w:t xml:space="preserve">ing the Government’s international market access work on </w:t>
      </w:r>
      <w:r w:rsidR="00B84D98">
        <w:t>the country’s</w:t>
      </w:r>
      <w:r w:rsidR="00B84D98" w:rsidRPr="002520DA">
        <w:t xml:space="preserve"> </w:t>
      </w:r>
      <w:r w:rsidRPr="002520DA">
        <w:t xml:space="preserve">sustainable, low emissions food and fibre products could help overcome market access barriers and encourage landowners to move to lower emissions land uses. </w:t>
      </w:r>
    </w:p>
    <w:p w14:paraId="30771139" w14:textId="77777777" w:rsidR="00922732" w:rsidRPr="002520DA" w:rsidRDefault="00922732" w:rsidP="006B36F0"/>
    <w:tbl>
      <w:tblPr>
        <w:tblStyle w:val="GridTable4-Accent5"/>
        <w:tblW w:w="0" w:type="auto"/>
        <w:tblCellMar>
          <w:bottom w:w="57" w:type="dxa"/>
        </w:tblCellMar>
        <w:tblLook w:val="04A0" w:firstRow="1" w:lastRow="0" w:firstColumn="1" w:lastColumn="0" w:noHBand="0" w:noVBand="1"/>
      </w:tblPr>
      <w:tblGrid>
        <w:gridCol w:w="9016"/>
      </w:tblGrid>
      <w:tr w:rsidR="002520DA" w:rsidRPr="002520DA" w14:paraId="5F333740"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3C66D3A" w14:textId="7516A7DD" w:rsidR="002520DA" w:rsidRPr="002520DA" w:rsidRDefault="003873D4" w:rsidP="002520DA">
            <w:pPr>
              <w:spacing w:before="0" w:after="0"/>
              <w:jc w:val="center"/>
              <w:rPr>
                <w:sz w:val="28"/>
                <w:szCs w:val="28"/>
              </w:rPr>
            </w:pPr>
            <w:r w:rsidRPr="003873D4">
              <w:rPr>
                <w:sz w:val="28"/>
                <w:szCs w:val="28"/>
              </w:rPr>
              <w:t>Necessary</w:t>
            </w:r>
            <w:r w:rsidR="002520DA" w:rsidRPr="002520DA">
              <w:rPr>
                <w:sz w:val="28"/>
                <w:szCs w:val="28"/>
              </w:rPr>
              <w:t xml:space="preserve"> action </w:t>
            </w:r>
            <w:r w:rsidR="003B15E6">
              <w:rPr>
                <w:sz w:val="28"/>
                <w:szCs w:val="28"/>
              </w:rPr>
              <w:t>11</w:t>
            </w:r>
          </w:p>
          <w:p w14:paraId="1E59342C" w14:textId="07FCB445" w:rsidR="002520DA" w:rsidRPr="006B36F0" w:rsidRDefault="002520DA" w:rsidP="002520DA">
            <w:pPr>
              <w:spacing w:before="0" w:after="0"/>
              <w:jc w:val="center"/>
              <w:rPr>
                <w:b w:val="0"/>
                <w:bCs w:val="0"/>
                <w:sz w:val="28"/>
                <w:szCs w:val="28"/>
              </w:rPr>
            </w:pPr>
            <w:r w:rsidRPr="006B36F0">
              <w:rPr>
                <w:b w:val="0"/>
                <w:bCs w:val="0"/>
                <w:sz w:val="28"/>
                <w:szCs w:val="28"/>
              </w:rPr>
              <w:t>Create options for alternative farming systems</w:t>
            </w:r>
            <w:r w:rsidR="00EE125B">
              <w:rPr>
                <w:b w:val="0"/>
                <w:bCs w:val="0"/>
                <w:sz w:val="28"/>
                <w:szCs w:val="28"/>
              </w:rPr>
              <w:t xml:space="preserve"> and practices</w:t>
            </w:r>
          </w:p>
        </w:tc>
      </w:tr>
      <w:tr w:rsidR="002520DA" w:rsidRPr="002520DA" w14:paraId="3858BB84"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ADB8617" w14:textId="33744F79" w:rsidR="002520DA" w:rsidRPr="002520DA" w:rsidRDefault="002520DA" w:rsidP="002520DA">
            <w:r w:rsidRPr="002520DA">
              <w:t xml:space="preserve">We recommend that, in the first budget period the Government support alternative farming systems to reduce emissions by: </w:t>
            </w:r>
          </w:p>
          <w:p w14:paraId="62B3F326" w14:textId="77777777" w:rsidR="002520DA" w:rsidRPr="002520DA" w:rsidRDefault="002520DA" w:rsidP="00655722">
            <w:pPr>
              <w:numPr>
                <w:ilvl w:val="0"/>
                <w:numId w:val="64"/>
              </w:numPr>
            </w:pPr>
            <w:r w:rsidRPr="002520DA">
              <w:t>Accelerating investment in high resolution, consistent, publicly available nationwide land and climate information, and decision-making tools and processes, to better inform local and national land use decisions.</w:t>
            </w:r>
          </w:p>
          <w:p w14:paraId="2C83EDFE" w14:textId="77777777" w:rsidR="002520DA" w:rsidRPr="002520DA" w:rsidRDefault="002520DA" w:rsidP="00655722">
            <w:pPr>
              <w:numPr>
                <w:ilvl w:val="0"/>
                <w:numId w:val="64"/>
              </w:numPr>
            </w:pPr>
            <w:r w:rsidRPr="002520DA">
              <w:t>Supporting deployment of the systems and infrastructure needed for alternative farming systems and products.</w:t>
            </w:r>
          </w:p>
          <w:p w14:paraId="5C4E0668" w14:textId="77777777" w:rsidR="002520DA" w:rsidRPr="002520DA" w:rsidRDefault="002520DA" w:rsidP="00655722">
            <w:pPr>
              <w:numPr>
                <w:ilvl w:val="0"/>
                <w:numId w:val="64"/>
              </w:numPr>
            </w:pPr>
            <w:r w:rsidRPr="002520DA">
              <w:t>Prioritising initiatives to reduce barriers and enable international market access for proven low emissions food and fibre products.</w:t>
            </w:r>
          </w:p>
        </w:tc>
      </w:tr>
    </w:tbl>
    <w:p w14:paraId="3F1E9AD5" w14:textId="77777777" w:rsidR="002520DA" w:rsidRPr="002520DA" w:rsidRDefault="002520DA" w:rsidP="00400204">
      <w:pPr>
        <w:pStyle w:val="Content"/>
        <w:rPr>
          <w:bCs/>
        </w:rPr>
      </w:pPr>
    </w:p>
    <w:tbl>
      <w:tblPr>
        <w:tblStyle w:val="GridTable4-Accent2"/>
        <w:tblW w:w="0" w:type="auto"/>
        <w:shd w:val="clear" w:color="auto" w:fill="C6B1D1"/>
        <w:tblCellMar>
          <w:top w:w="57" w:type="dxa"/>
          <w:bottom w:w="57" w:type="dxa"/>
        </w:tblCellMar>
        <w:tblLook w:val="04A0" w:firstRow="1" w:lastRow="0" w:firstColumn="1" w:lastColumn="0" w:noHBand="0" w:noVBand="1"/>
      </w:tblPr>
      <w:tblGrid>
        <w:gridCol w:w="9016"/>
      </w:tblGrid>
      <w:tr w:rsidR="00FC3FB8" w:rsidRPr="00EA4071" w14:paraId="51B4E3C4" w14:textId="77777777" w:rsidTr="00373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9E76B3"/>
          </w:tcPr>
          <w:p w14:paraId="025A5972" w14:textId="77777777" w:rsidR="00FC3FB8" w:rsidRPr="00BA7CD8" w:rsidRDefault="00FC3FB8" w:rsidP="00373EB0">
            <w:pPr>
              <w:pStyle w:val="Content"/>
              <w:spacing w:before="0" w:after="0"/>
              <w:jc w:val="center"/>
              <w:rPr>
                <w:bCs w:val="0"/>
                <w:color w:val="000000" w:themeColor="text1"/>
                <w:sz w:val="24"/>
                <w:szCs w:val="24"/>
                <w:lang w:val="en-US"/>
              </w:rPr>
            </w:pPr>
            <w:r>
              <w:rPr>
                <w:bCs w:val="0"/>
                <w:sz w:val="28"/>
                <w:szCs w:val="28"/>
              </w:rPr>
              <w:lastRenderedPageBreak/>
              <w:t>Consultation question 16</w:t>
            </w:r>
          </w:p>
          <w:p w14:paraId="5F260C5B" w14:textId="77777777" w:rsidR="00FC3FB8" w:rsidRPr="00EA4071" w:rsidRDefault="00FC3FB8" w:rsidP="00373EB0">
            <w:pPr>
              <w:pStyle w:val="Content"/>
              <w:spacing w:before="0" w:after="0"/>
              <w:jc w:val="center"/>
              <w:rPr>
                <w:b w:val="0"/>
                <w:sz w:val="28"/>
                <w:szCs w:val="28"/>
              </w:rPr>
            </w:pPr>
            <w:r>
              <w:rPr>
                <w:b w:val="0"/>
                <w:sz w:val="28"/>
                <w:szCs w:val="28"/>
                <w:lang w:val="en-US"/>
              </w:rPr>
              <w:t>Agriculture</w:t>
            </w:r>
          </w:p>
        </w:tc>
      </w:tr>
      <w:tr w:rsidR="00FC3FB8" w:rsidRPr="00EA4071" w14:paraId="4BE319E7" w14:textId="77777777" w:rsidTr="00373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C6B1D1"/>
          </w:tcPr>
          <w:p w14:paraId="2392A57B" w14:textId="08538DF1" w:rsidR="00FC3FB8" w:rsidRPr="00E5673C" w:rsidRDefault="00B965BE" w:rsidP="00373EB0">
            <w:r w:rsidRPr="00B9426C">
              <w:t>Do you support the package of recommendations and actions for the</w:t>
            </w:r>
            <w:r>
              <w:t xml:space="preserve"> agriculture </w:t>
            </w:r>
            <w:r w:rsidRPr="00B9426C">
              <w:t>sector</w:t>
            </w:r>
            <w:r>
              <w:rPr>
                <w:bCs w:val="0"/>
              </w:rPr>
              <w:t>? Is there anything we should change, and why</w:t>
            </w:r>
            <w:r w:rsidRPr="00E5673C">
              <w:rPr>
                <w:bCs w:val="0"/>
              </w:rPr>
              <w:t>?</w:t>
            </w:r>
          </w:p>
        </w:tc>
      </w:tr>
    </w:tbl>
    <w:p w14:paraId="1426BC17" w14:textId="7CEC3DD6" w:rsidR="002520DA" w:rsidRPr="00587BB5" w:rsidRDefault="00CB24D5" w:rsidP="00587BB5">
      <w:pPr>
        <w:pStyle w:val="Heading3"/>
      </w:pPr>
      <w:bookmarkStart w:id="225" w:name="_Toc62649367"/>
      <w:bookmarkStart w:id="226" w:name="_Toc62650308"/>
      <w:r>
        <w:t xml:space="preserve">6.1.4 </w:t>
      </w:r>
      <w:r w:rsidR="002520DA" w:rsidRPr="002520DA">
        <w:t>Forestry</w:t>
      </w:r>
      <w:bookmarkEnd w:id="225"/>
      <w:bookmarkEnd w:id="226"/>
    </w:p>
    <w:p w14:paraId="2D0A889C" w14:textId="2027B017" w:rsidR="002520DA" w:rsidRPr="00587BB5" w:rsidRDefault="002520DA" w:rsidP="00587BB5">
      <w:pPr>
        <w:pStyle w:val="Heading4"/>
      </w:pPr>
      <w:r w:rsidRPr="002520DA">
        <w:t>Manage forests to provide a long-term carbon sink</w:t>
      </w:r>
    </w:p>
    <w:p w14:paraId="0827A2BD" w14:textId="10A70024" w:rsidR="002520DA" w:rsidRPr="002520DA" w:rsidRDefault="002520DA" w:rsidP="00FE72DE">
      <w:r w:rsidRPr="002520DA">
        <w:t xml:space="preserve">Forests will play an important role in meeting </w:t>
      </w:r>
      <w:r w:rsidR="00B51156">
        <w:t>the country’s</w:t>
      </w:r>
      <w:r w:rsidR="00B51156" w:rsidRPr="002520DA">
        <w:t xml:space="preserve"> </w:t>
      </w:r>
      <w:r w:rsidRPr="002520DA">
        <w:t>emissions budgets and targets. Our path for gross emissions requires at least 16,000</w:t>
      </w:r>
      <w:r w:rsidR="00EF3D2B">
        <w:t xml:space="preserve"> </w:t>
      </w:r>
      <w:r w:rsidRPr="002520DA">
        <w:t>h</w:t>
      </w:r>
      <w:r w:rsidR="00EF3D2B">
        <w:t>ectares</w:t>
      </w:r>
      <w:r w:rsidRPr="002520DA">
        <w:t xml:space="preserve"> of new native forests per year by 2025, and 25,000</w:t>
      </w:r>
      <w:r w:rsidR="00EF3D2B">
        <w:t xml:space="preserve"> </w:t>
      </w:r>
      <w:r w:rsidRPr="002520DA">
        <w:t>h</w:t>
      </w:r>
      <w:r w:rsidR="00EF3D2B">
        <w:t>ect</w:t>
      </w:r>
      <w:r w:rsidRPr="002520DA">
        <w:t>a</w:t>
      </w:r>
      <w:r w:rsidR="00EF3D2B">
        <w:t>res</w:t>
      </w:r>
      <w:r w:rsidRPr="002520DA">
        <w:t xml:space="preserve"> per year by 2030 until at least 2050.</w:t>
      </w:r>
      <w:r w:rsidR="00EC7C47">
        <w:t xml:space="preserve"> It also requires 25,000 hectares per year of exotic afforestation out to 2030, reducing </w:t>
      </w:r>
      <w:r w:rsidR="002B6623">
        <w:t xml:space="preserve">down to no new exotic afforestation </w:t>
      </w:r>
      <w:r w:rsidR="001934EF">
        <w:t>for carbon removals by 2050.</w:t>
      </w:r>
      <w:r w:rsidR="002B6623">
        <w:t xml:space="preserve"> </w:t>
      </w:r>
      <w:r w:rsidR="001934EF">
        <w:t>This exotic afforestation would provide sufficient biomass</w:t>
      </w:r>
      <w:r w:rsidR="00B578E7">
        <w:t xml:space="preserve"> feedstock for the bioeconomy.</w:t>
      </w:r>
    </w:p>
    <w:p w14:paraId="739AECDF" w14:textId="4C717555" w:rsidR="002520DA" w:rsidRPr="002520DA" w:rsidRDefault="00B10116" w:rsidP="00FE72DE">
      <w:r>
        <w:t>Further</w:t>
      </w:r>
      <w:r w:rsidR="009C2433">
        <w:t xml:space="preserve"> reliance</w:t>
      </w:r>
      <w:r w:rsidR="002520DA" w:rsidRPr="002520DA">
        <w:t xml:space="preserve"> on forestry as a carbon sink could divert action away from reducing gross emissions in other sectors</w:t>
      </w:r>
      <w:r w:rsidR="00B42B29">
        <w:t>, and make</w:t>
      </w:r>
      <w:r w:rsidR="002520DA" w:rsidRPr="002520DA" w:rsidDel="00C654EB">
        <w:t xml:space="preserve"> </w:t>
      </w:r>
      <w:r w:rsidR="002520DA" w:rsidRPr="002520DA">
        <w:t xml:space="preserve">maintaining net zero emissions after </w:t>
      </w:r>
      <w:r w:rsidR="00C654EB">
        <w:t>2050</w:t>
      </w:r>
      <w:r w:rsidR="002520DA" w:rsidRPr="002520DA">
        <w:t xml:space="preserve"> challenging. However, new permanent native forests could provide an enduring carbon sink to help offset residual </w:t>
      </w:r>
      <w:r w:rsidR="00294A29">
        <w:t>long-lived</w:t>
      </w:r>
      <w:r w:rsidR="00294A29" w:rsidRPr="002520DA">
        <w:t xml:space="preserve"> </w:t>
      </w:r>
      <w:r w:rsidR="002520DA" w:rsidRPr="002520DA">
        <w:t xml:space="preserve">emissions over the long term. </w:t>
      </w:r>
    </w:p>
    <w:p w14:paraId="197E1A67" w14:textId="2BFF4BB9" w:rsidR="002520DA" w:rsidRPr="002520DA" w:rsidRDefault="002520DA" w:rsidP="00306908">
      <w:r w:rsidRPr="002520DA">
        <w:t>Native forests remove carbon at slower rates than exotic planted forests, but permanent native forests continue to remove carbon for hundreds of years. Native forests also offer other benefits, such as long-term erosion control, improved biodiversity and recreational benefits. There is an estimated 1.15 to 1.4 million h</w:t>
      </w:r>
      <w:r w:rsidR="00EF3D2B">
        <w:t>ectares</w:t>
      </w:r>
      <w:r w:rsidRPr="002520DA">
        <w:t xml:space="preserve"> of erosion prone land, much of which would not be suitable for production forestry but could be suitable for converting to permanent forest.</w:t>
      </w:r>
      <w:r w:rsidR="00F6222F">
        <w:t xml:space="preserve"> </w:t>
      </w:r>
      <w:r w:rsidR="00A7746A" w:rsidRPr="00A7746A">
        <w:t>Manaaki Whenua estimate around 740,000 h</w:t>
      </w:r>
      <w:r w:rsidR="0046128C">
        <w:t>ectares</w:t>
      </w:r>
      <w:r w:rsidR="00A7746A" w:rsidRPr="00A7746A">
        <w:t xml:space="preserve"> of marginal land not suitable for commercial forests could naturally regenerate (i.e. without planting) if pests are managed</w:t>
      </w:r>
      <w:r w:rsidR="00A7746A">
        <w:t>.</w:t>
      </w:r>
      <w:r w:rsidR="00F6222F">
        <w:t xml:space="preserve"> Some of this land </w:t>
      </w:r>
      <w:r w:rsidR="00B45D9A">
        <w:t xml:space="preserve">is </w:t>
      </w:r>
      <w:r w:rsidR="00697E49">
        <w:t>g</w:t>
      </w:r>
      <w:r w:rsidR="00B45D9A">
        <w:t>overnment owned.</w:t>
      </w:r>
    </w:p>
    <w:p w14:paraId="15C7B0C5" w14:textId="736CFAD2" w:rsidR="002520DA" w:rsidRPr="002520DA" w:rsidRDefault="002520DA" w:rsidP="00306908">
      <w:r w:rsidRPr="002520DA">
        <w:t>However, there are currently limited incentives for landowners to change less-productive farmland to permanent native forests – either through planting or by letting it revert. Establishing permanent native forests comes at a cost for landowners, including building and maintaining fences, planting, weed and pest control, and some land would be lost to grazing. Ongoing pest control is required to maintain the integrity of forests and the carbon stored in them.</w:t>
      </w:r>
    </w:p>
    <w:p w14:paraId="28D536C1" w14:textId="514235A1" w:rsidR="002520DA" w:rsidRPr="002520DA" w:rsidRDefault="002520DA" w:rsidP="00306908">
      <w:r w:rsidRPr="002520DA">
        <w:t xml:space="preserve">Production forests could play multiple roles in the transition to low emissions. This includes as a carbon sink in the short to medium term, by providing low emissions wood products to replace higher emissions alternatives (for example, in construction), and by substituting bioenergy for fossil fuel use. However, production forests only contribute towards meeting </w:t>
      </w:r>
      <w:r w:rsidR="00B51156">
        <w:t>the country’s</w:t>
      </w:r>
      <w:r w:rsidR="00B51156" w:rsidRPr="002520DA">
        <w:t xml:space="preserve"> </w:t>
      </w:r>
      <w:r w:rsidRPr="002520DA">
        <w:t xml:space="preserve">emissions budgets and targets up until they reach their long-term average stock – which is around 20 years for Pinus radiata. Production forests planted over the next decade will continue to contribute towards emissions budgets until about 2050, while forests planted beyond 2030 will contribute to removals in the longer term. </w:t>
      </w:r>
    </w:p>
    <w:p w14:paraId="16A26501" w14:textId="6C8FAE84" w:rsidR="002520DA" w:rsidRPr="002520DA" w:rsidRDefault="002520DA" w:rsidP="00306908">
      <w:r w:rsidRPr="002520DA">
        <w:t xml:space="preserve">Current </w:t>
      </w:r>
      <w:r w:rsidR="00745B49">
        <w:t xml:space="preserve">NZ ETS </w:t>
      </w:r>
      <w:r w:rsidRPr="002520DA">
        <w:t xml:space="preserve">settings may incentivise more large-scale pine plantations than is desired to meet 2050 targets and could lead to forestry displacing gross emissions reductions. Any option to limit planting exotic forests for carbon removals, including amendments to the </w:t>
      </w:r>
      <w:r w:rsidR="00745B49">
        <w:t>NZ ETS</w:t>
      </w:r>
      <w:r w:rsidRPr="002520DA">
        <w:t xml:space="preserve">, would need to be carefully explored and analysed, including working with people who may be affected by the changes, to </w:t>
      </w:r>
      <w:r w:rsidRPr="002520DA">
        <w:lastRenderedPageBreak/>
        <w:t xml:space="preserve">understand the implications and avoid unintended consequences. Concerns over the impact of whole farm or large-scale conversions to forests would likely need to be addressed by approaches outside of the </w:t>
      </w:r>
      <w:r w:rsidR="00745B49">
        <w:t>NZ ETS</w:t>
      </w:r>
      <w:r w:rsidRPr="002520DA">
        <w:t>, such as through land use rules under planning legislation.</w:t>
      </w:r>
    </w:p>
    <w:p w14:paraId="220C2DE4" w14:textId="2EC44BE6" w:rsidR="00CB6EDC" w:rsidRDefault="002520DA">
      <w:r w:rsidRPr="002520DA">
        <w:t>The additional carbon removed by small areas of permanent vegetation on farms is not currently recognised</w:t>
      </w:r>
      <w:r w:rsidR="00B72E57">
        <w:t xml:space="preserve"> in</w:t>
      </w:r>
      <w:r w:rsidR="0078278A">
        <w:t xml:space="preserve"> </w:t>
      </w:r>
      <w:r w:rsidR="00F11FBC">
        <w:t xml:space="preserve">target </w:t>
      </w:r>
      <w:r w:rsidR="0078278A">
        <w:t>accounting</w:t>
      </w:r>
      <w:r w:rsidR="000D0174">
        <w:t>, although it is in the national greenhouse gas inventory</w:t>
      </w:r>
      <w:r w:rsidRPr="002520DA">
        <w:t xml:space="preserve">. </w:t>
      </w:r>
      <w:r w:rsidR="00D23E0A" w:rsidRPr="00D23E0A">
        <w:t>Ongoing technology developments, however, may make it more possible to robustly estimate emissions from these areas in future.</w:t>
      </w:r>
    </w:p>
    <w:p w14:paraId="47B118D6" w14:textId="77777777" w:rsidR="000D344E" w:rsidRDefault="000D344E" w:rsidP="000D344E">
      <w:r>
        <w:t xml:space="preserve">It is also important to enhance and maintain carbon stocks in existing forests, even though there are challenges with robustly estimating the impact on carbon stocks of forest management activities for this purpose. </w:t>
      </w:r>
    </w:p>
    <w:p w14:paraId="25B83248" w14:textId="2FCEDF86" w:rsidR="002520DA" w:rsidRDefault="002520DA" w:rsidP="00FE72DE">
      <w:pPr>
        <w:rPr>
          <w:rFonts w:ascii="Calibri" w:hAnsi="Calibri" w:cs="Calibri"/>
        </w:rPr>
      </w:pPr>
      <w:r w:rsidRPr="002520DA">
        <w:t xml:space="preserve">There are many other worthwhile reasons beyond climate change to plant forests. Decisions about incentives for forestry should be considered alongside other strategic outcomes for </w:t>
      </w:r>
      <w:r w:rsidR="00B51156">
        <w:t>the country’s</w:t>
      </w:r>
      <w:r w:rsidR="00B51156" w:rsidRPr="002520DA">
        <w:t xml:space="preserve"> </w:t>
      </w:r>
      <w:r w:rsidRPr="002520DA">
        <w:t>land including water, biodiversity, cultural, social and economic</w:t>
      </w:r>
      <w:r w:rsidR="003240DB">
        <w:t xml:space="preserve"> outcomes</w:t>
      </w:r>
      <w:r w:rsidRPr="002520DA">
        <w:t xml:space="preserve">. This could be done through proposed changes to </w:t>
      </w:r>
      <w:r w:rsidR="00B51156">
        <w:t xml:space="preserve">the country’s </w:t>
      </w:r>
      <w:r w:rsidRPr="002520DA">
        <w:t>resource management legislation. Some iwi/M</w:t>
      </w:r>
      <w:r w:rsidRPr="002520DA">
        <w:rPr>
          <w:rFonts w:ascii="Calibri" w:hAnsi="Calibri" w:cs="Calibri"/>
        </w:rPr>
        <w:t xml:space="preserve">āori-collectives own large areas of land, and face </w:t>
      </w:r>
      <w:r w:rsidRPr="002520DA">
        <w:t xml:space="preserve">challenges transitioning land use. </w:t>
      </w:r>
      <w:r w:rsidRPr="002520DA">
        <w:rPr>
          <w:rFonts w:ascii="Calibri" w:hAnsi="Calibri" w:cs="Calibri"/>
        </w:rPr>
        <w:t>The Crown needs to work in partnership with iwi/Māori-collectives to understand their aspirations for land use – particularly forestry.</w:t>
      </w:r>
    </w:p>
    <w:p w14:paraId="516B2F58" w14:textId="534C49B0" w:rsidR="001E0712" w:rsidRDefault="001E0712" w:rsidP="00A85215">
      <w:r w:rsidRPr="002520DA">
        <w:t xml:space="preserve">Unharvested pine forests or permanent exotic forests can sequester carbon rapidly but can create problems </w:t>
      </w:r>
      <w:r w:rsidR="00CA4E71">
        <w:t xml:space="preserve">through the spread of wilding pines or </w:t>
      </w:r>
      <w:r w:rsidRPr="002520DA">
        <w:t>when old trees die and fall over. Such forests may transition over the course of several centuries into permanent native forest</w:t>
      </w:r>
      <w:r w:rsidR="003800F4">
        <w:t xml:space="preserve"> if managed for that outcome</w:t>
      </w:r>
      <w:r w:rsidRPr="002520DA">
        <w:t xml:space="preserve">. </w:t>
      </w:r>
      <w:r w:rsidR="00757284">
        <w:t xml:space="preserve">Forest management plans can lay out how this transition will be managed. </w:t>
      </w:r>
      <w:r w:rsidR="00A97918">
        <w:t xml:space="preserve">Requiring </w:t>
      </w:r>
      <w:r w:rsidR="008E44D7">
        <w:t>forest managers to develop and implement such p</w:t>
      </w:r>
      <w:r w:rsidR="00A97918">
        <w:t>lan</w:t>
      </w:r>
      <w:r w:rsidR="008E44D7">
        <w:t>s</w:t>
      </w:r>
      <w:r w:rsidR="00A26262">
        <w:t xml:space="preserve"> </w:t>
      </w:r>
      <w:r w:rsidR="008E44D7">
        <w:t xml:space="preserve">would help ensure successful transitions. These would need to include activities such as </w:t>
      </w:r>
      <w:r w:rsidRPr="002520DA">
        <w:t xml:space="preserve">pest control, </w:t>
      </w:r>
      <w:r w:rsidR="00F52D15">
        <w:t xml:space="preserve">seed sources </w:t>
      </w:r>
      <w:r w:rsidRPr="002520DA">
        <w:t>and thinning.</w:t>
      </w:r>
      <w:r w:rsidR="00B238B7">
        <w:t xml:space="preserve"> </w:t>
      </w:r>
    </w:p>
    <w:p w14:paraId="2D24BD4C" w14:textId="628ED7CE" w:rsidR="00BF1AF4" w:rsidRPr="002520DA" w:rsidRDefault="00BF1AF4" w:rsidP="00A85215">
      <w:r>
        <w:t xml:space="preserve">More broadly, delivering </w:t>
      </w:r>
      <w:r w:rsidR="00DB1A36">
        <w:t xml:space="preserve">this level of native afforestation will require the supporting industries and infrastructure. This includes </w:t>
      </w:r>
      <w:r w:rsidR="000754AC">
        <w:t>native seedling nurseries, and the labour force for planting and pest control.</w:t>
      </w:r>
    </w:p>
    <w:p w14:paraId="2B600092" w14:textId="36087B26" w:rsidR="00FE72DE" w:rsidRPr="002520DA" w:rsidRDefault="007B4DBD">
      <w:pPr>
        <w:spacing w:before="0" w:after="160"/>
        <w:rPr>
          <w:rFonts w:ascii="Calibri" w:hAnsi="Calibri" w:cs="Calibri"/>
        </w:rPr>
      </w:pPr>
      <w:r>
        <w:rPr>
          <w:rFonts w:ascii="Calibri" w:hAnsi="Calibri" w:cs="Calibri"/>
        </w:rPr>
        <w:br w:type="page"/>
      </w:r>
    </w:p>
    <w:p w14:paraId="7E6939E4" w14:textId="77777777" w:rsidR="00FE72DE" w:rsidRPr="002520DA" w:rsidRDefault="00FE72DE" w:rsidP="00A85215">
      <w:pPr>
        <w:rPr>
          <w:rFonts w:ascii="Calibri" w:hAnsi="Calibri" w:cs="Calibri"/>
        </w:rPr>
      </w:pPr>
    </w:p>
    <w:tbl>
      <w:tblPr>
        <w:tblStyle w:val="GridTable4-Accent2"/>
        <w:tblW w:w="0" w:type="auto"/>
        <w:tblCellMar>
          <w:bottom w:w="57" w:type="dxa"/>
        </w:tblCellMar>
        <w:tblLook w:val="04A0" w:firstRow="1" w:lastRow="0" w:firstColumn="1" w:lastColumn="0" w:noHBand="0" w:noVBand="1"/>
      </w:tblPr>
      <w:tblGrid>
        <w:gridCol w:w="9016"/>
      </w:tblGrid>
      <w:tr w:rsidR="002520DA" w:rsidRPr="002520DA" w14:paraId="6F17DD70"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66DBBF0" w14:textId="535D7D77" w:rsidR="002520DA" w:rsidRPr="002520DA" w:rsidRDefault="002520DA" w:rsidP="00602262">
            <w:pPr>
              <w:keepNext/>
              <w:spacing w:before="0" w:after="0"/>
              <w:jc w:val="center"/>
              <w:rPr>
                <w:color w:val="000000" w:themeColor="text1"/>
                <w:sz w:val="24"/>
                <w:szCs w:val="24"/>
                <w:lang w:val="en-US"/>
              </w:rPr>
            </w:pPr>
            <w:r w:rsidRPr="002520DA">
              <w:rPr>
                <w:sz w:val="28"/>
                <w:szCs w:val="28"/>
              </w:rPr>
              <w:t>Time</w:t>
            </w:r>
            <w:r w:rsidR="00DE4485" w:rsidRPr="00DE4485">
              <w:rPr>
                <w:sz w:val="28"/>
                <w:szCs w:val="28"/>
              </w:rPr>
              <w:t>-</w:t>
            </w:r>
            <w:r w:rsidRPr="002520DA">
              <w:rPr>
                <w:sz w:val="28"/>
                <w:szCs w:val="28"/>
              </w:rPr>
              <w:t xml:space="preserve">critical </w:t>
            </w:r>
            <w:r w:rsidR="00DE4485" w:rsidRPr="00DE4485">
              <w:rPr>
                <w:sz w:val="28"/>
                <w:szCs w:val="28"/>
              </w:rPr>
              <w:t>necessary action</w:t>
            </w:r>
            <w:r w:rsidRPr="002520DA">
              <w:rPr>
                <w:sz w:val="28"/>
                <w:szCs w:val="28"/>
              </w:rPr>
              <w:t xml:space="preserve"> </w:t>
            </w:r>
            <w:r w:rsidR="00831465">
              <w:rPr>
                <w:sz w:val="28"/>
                <w:szCs w:val="28"/>
              </w:rPr>
              <w:t>5</w:t>
            </w:r>
          </w:p>
          <w:p w14:paraId="5ACFC07A" w14:textId="4D04469B" w:rsidR="002520DA" w:rsidRPr="00A85215" w:rsidRDefault="002520DA" w:rsidP="002520DA">
            <w:pPr>
              <w:spacing w:before="0" w:after="0"/>
              <w:jc w:val="center"/>
              <w:rPr>
                <w:b w:val="0"/>
                <w:bCs w:val="0"/>
                <w:sz w:val="26"/>
                <w:szCs w:val="26"/>
              </w:rPr>
            </w:pPr>
            <w:r w:rsidRPr="00A85215">
              <w:rPr>
                <w:b w:val="0"/>
                <w:bCs w:val="0"/>
                <w:sz w:val="26"/>
                <w:szCs w:val="26"/>
              </w:rPr>
              <w:t>Manage forests to provide a long</w:t>
            </w:r>
            <w:r w:rsidR="00A834B0">
              <w:rPr>
                <w:b w:val="0"/>
                <w:bCs w:val="0"/>
                <w:sz w:val="26"/>
                <w:szCs w:val="26"/>
              </w:rPr>
              <w:t>-</w:t>
            </w:r>
            <w:r w:rsidRPr="00A85215">
              <w:rPr>
                <w:b w:val="0"/>
                <w:bCs w:val="0"/>
                <w:sz w:val="26"/>
                <w:szCs w:val="26"/>
              </w:rPr>
              <w:t>term carbon sink</w:t>
            </w:r>
          </w:p>
        </w:tc>
      </w:tr>
      <w:tr w:rsidR="002520DA" w:rsidRPr="002520DA" w14:paraId="15478636"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527F48B" w14:textId="77777777" w:rsidR="008A675A" w:rsidRPr="008A675A" w:rsidRDefault="008A675A" w:rsidP="008A675A">
            <w:pPr>
              <w:spacing w:before="120"/>
            </w:pPr>
            <w:r w:rsidRPr="008A675A">
              <w:t>Production forests will play an important role in meeting the first three emissions budgets, and new permanent native forests will also balance emissions from hard-to-abate sectors in the long term. The Government should enable afforestation to provide a carbon sink over the long-term by:</w:t>
            </w:r>
          </w:p>
          <w:p w14:paraId="68DD2B4C" w14:textId="7E0B563C" w:rsidR="008A675A" w:rsidRPr="004E1102" w:rsidRDefault="008A675A" w:rsidP="00655722">
            <w:pPr>
              <w:numPr>
                <w:ilvl w:val="0"/>
                <w:numId w:val="65"/>
              </w:numPr>
            </w:pPr>
            <w:r w:rsidRPr="009064F4">
              <w:t>Implementing measures to incentivise establishing and maintaining at least 16,000</w:t>
            </w:r>
            <w:r w:rsidR="00F37CDA">
              <w:t xml:space="preserve"> hectar</w:t>
            </w:r>
            <w:r w:rsidR="00CE308E">
              <w:t>es</w:t>
            </w:r>
            <w:r w:rsidRPr="009064F4">
              <w:t xml:space="preserve"> of new permanent native fo</w:t>
            </w:r>
            <w:r w:rsidRPr="004E1102">
              <w:t>rests per year by 2025, increasing to at least 25,000</w:t>
            </w:r>
            <w:r w:rsidR="00CE308E">
              <w:t xml:space="preserve"> hectares</w:t>
            </w:r>
            <w:r w:rsidRPr="004E1102">
              <w:t xml:space="preserve"> per year by 2030 and continued until at least 2050.</w:t>
            </w:r>
          </w:p>
          <w:p w14:paraId="07D2E24C" w14:textId="77777777" w:rsidR="008A675A" w:rsidRPr="009064F4" w:rsidRDefault="008A675A" w:rsidP="00655722">
            <w:pPr>
              <w:numPr>
                <w:ilvl w:val="0"/>
                <w:numId w:val="65"/>
              </w:numPr>
            </w:pPr>
            <w:r w:rsidRPr="009064F4">
              <w:t xml:space="preserve">Requiring an appropriate forest management plan for all forests over 50 hectares defined as permanent to monitor the forest’s permanence and limit exposure to risks such as climate change impacts, governance failure, and community impacts. </w:t>
            </w:r>
          </w:p>
          <w:p w14:paraId="6D23E650" w14:textId="09B9C007" w:rsidR="008A675A" w:rsidRPr="002520DA" w:rsidRDefault="008A675A" w:rsidP="00655722">
            <w:pPr>
              <w:numPr>
                <w:ilvl w:val="0"/>
                <w:numId w:val="65"/>
              </w:numPr>
            </w:pPr>
            <w:r w:rsidRPr="009064F4">
              <w:t xml:space="preserve">Designing a package of policies that must include amendments to the NZ ETS and land use planning rules, to deliver the amount and type of afforestation needed over time to align with our advice on the proportion of emissions reductions and removals and </w:t>
            </w:r>
            <w:r w:rsidR="00C666F7">
              <w:t>addressing</w:t>
            </w:r>
            <w:r w:rsidRPr="009064F4">
              <w:t xml:space="preserve"> intergenerational equity. </w:t>
            </w:r>
          </w:p>
        </w:tc>
      </w:tr>
    </w:tbl>
    <w:p w14:paraId="73F47A24" w14:textId="77777777" w:rsidR="002520DA" w:rsidRPr="002520DA" w:rsidRDefault="002520DA" w:rsidP="002520DA">
      <w:pPr>
        <w:spacing w:before="120" w:after="120"/>
        <w:rPr>
          <w:rFonts w:ascii="Calibri" w:hAnsi="Calibri" w:cs="Calibri"/>
        </w:rPr>
      </w:pPr>
    </w:p>
    <w:tbl>
      <w:tblPr>
        <w:tblStyle w:val="GridTable4-Accent2"/>
        <w:tblW w:w="0" w:type="auto"/>
        <w:tblCellMar>
          <w:bottom w:w="57" w:type="dxa"/>
        </w:tblCellMar>
        <w:tblLook w:val="04A0" w:firstRow="1" w:lastRow="0" w:firstColumn="1" w:lastColumn="0" w:noHBand="0" w:noVBand="1"/>
      </w:tblPr>
      <w:tblGrid>
        <w:gridCol w:w="9016"/>
      </w:tblGrid>
      <w:tr w:rsidR="002520DA" w:rsidRPr="002520DA" w14:paraId="36F02330"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4FE9D95" w14:textId="77777777" w:rsidR="002520DA" w:rsidRPr="002520DA" w:rsidRDefault="002520DA" w:rsidP="00FE5583">
            <w:pPr>
              <w:spacing w:before="120" w:after="120"/>
              <w:jc w:val="center"/>
              <w:rPr>
                <w:rFonts w:ascii="Calibri" w:hAnsi="Calibri" w:cs="Calibri"/>
              </w:rPr>
            </w:pPr>
            <w:r w:rsidRPr="00A85215">
              <w:rPr>
                <w:rFonts w:ascii="Calibri" w:hAnsi="Calibri" w:cs="Calibri"/>
                <w:sz w:val="28"/>
                <w:szCs w:val="28"/>
              </w:rPr>
              <w:t>Progress indicators</w:t>
            </w:r>
          </w:p>
        </w:tc>
      </w:tr>
      <w:tr w:rsidR="002520DA" w:rsidRPr="002520DA" w14:paraId="1B8558EB"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582BBE9" w14:textId="1C559340" w:rsidR="002520DA" w:rsidRPr="002520DA" w:rsidRDefault="002520DA" w:rsidP="00655722">
            <w:pPr>
              <w:numPr>
                <w:ilvl w:val="0"/>
                <w:numId w:val="66"/>
              </w:numPr>
              <w:spacing w:before="120"/>
            </w:pPr>
            <w:r w:rsidRPr="002520DA">
              <w:t xml:space="preserve">Government to have put in place incentives, by </w:t>
            </w:r>
            <w:r w:rsidR="003C7446">
              <w:t>31 December</w:t>
            </w:r>
            <w:r w:rsidRPr="002520DA">
              <w:t xml:space="preserve"> 2022, to deliver the afforestation </w:t>
            </w:r>
            <w:r w:rsidR="00967461">
              <w:t>of</w:t>
            </w:r>
            <w:r w:rsidRPr="002520DA">
              <w:t xml:space="preserve"> new permanent native forests</w:t>
            </w:r>
            <w:r w:rsidR="00E84F5C">
              <w:t xml:space="preserve"> to help meet the emissions budgets</w:t>
            </w:r>
            <w:r w:rsidRPr="002520DA">
              <w:t>.</w:t>
            </w:r>
          </w:p>
          <w:p w14:paraId="736F9A74" w14:textId="7BFCF333" w:rsidR="002520DA" w:rsidRPr="002520DA" w:rsidRDefault="002520DA" w:rsidP="00655722">
            <w:pPr>
              <w:numPr>
                <w:ilvl w:val="0"/>
                <w:numId w:val="66"/>
              </w:numPr>
            </w:pPr>
            <w:r w:rsidRPr="002520DA">
              <w:t xml:space="preserve">Government to have published, by </w:t>
            </w:r>
            <w:r w:rsidR="003C7446">
              <w:t>31 December</w:t>
            </w:r>
            <w:r w:rsidRPr="002520DA">
              <w:t xml:space="preserve"> 2022, a plan for the broader package of forestry policies, and to have implemented the policies by </w:t>
            </w:r>
            <w:r w:rsidR="003C7446">
              <w:t>31 December</w:t>
            </w:r>
            <w:r w:rsidRPr="002520DA">
              <w:t xml:space="preserve"> 2024 at the latest. </w:t>
            </w:r>
          </w:p>
        </w:tc>
      </w:tr>
    </w:tbl>
    <w:p w14:paraId="65B0DDC0" w14:textId="77777777" w:rsidR="002520DA" w:rsidRPr="002520DA" w:rsidRDefault="002520DA" w:rsidP="002520DA">
      <w:pPr>
        <w:spacing w:before="120" w:after="120"/>
        <w:rPr>
          <w:rFonts w:ascii="Calibri" w:hAnsi="Calibri" w:cs="Calibri"/>
        </w:rPr>
      </w:pPr>
    </w:p>
    <w:tbl>
      <w:tblPr>
        <w:tblStyle w:val="GridTable4-Accent5"/>
        <w:tblW w:w="0" w:type="auto"/>
        <w:tblCellMar>
          <w:bottom w:w="57" w:type="dxa"/>
        </w:tblCellMar>
        <w:tblLook w:val="04A0" w:firstRow="1" w:lastRow="0" w:firstColumn="1" w:lastColumn="0" w:noHBand="0" w:noVBand="1"/>
      </w:tblPr>
      <w:tblGrid>
        <w:gridCol w:w="9016"/>
      </w:tblGrid>
      <w:tr w:rsidR="002520DA" w:rsidRPr="002520DA" w14:paraId="4870E40D"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D37F94C" w14:textId="38C5BAC6" w:rsidR="002520DA" w:rsidRPr="002520DA" w:rsidRDefault="003873D4" w:rsidP="002520DA">
            <w:pPr>
              <w:spacing w:before="0" w:after="0"/>
              <w:jc w:val="center"/>
              <w:rPr>
                <w:sz w:val="28"/>
                <w:szCs w:val="28"/>
              </w:rPr>
            </w:pPr>
            <w:r w:rsidRPr="003873D4">
              <w:rPr>
                <w:sz w:val="28"/>
                <w:szCs w:val="28"/>
              </w:rPr>
              <w:t>Necessary</w:t>
            </w:r>
            <w:r w:rsidR="002520DA" w:rsidRPr="002520DA">
              <w:rPr>
                <w:sz w:val="28"/>
                <w:szCs w:val="28"/>
              </w:rPr>
              <w:t xml:space="preserve"> action </w:t>
            </w:r>
            <w:r w:rsidR="003B15E6">
              <w:rPr>
                <w:sz w:val="28"/>
                <w:szCs w:val="28"/>
              </w:rPr>
              <w:t>12</w:t>
            </w:r>
          </w:p>
          <w:p w14:paraId="7763BDAF" w14:textId="77777777" w:rsidR="002520DA" w:rsidRPr="005A496E" w:rsidRDefault="002520DA" w:rsidP="002520DA">
            <w:pPr>
              <w:spacing w:before="0" w:after="0"/>
              <w:jc w:val="center"/>
              <w:rPr>
                <w:b w:val="0"/>
                <w:bCs w:val="0"/>
                <w:sz w:val="28"/>
                <w:szCs w:val="28"/>
              </w:rPr>
            </w:pPr>
            <w:r w:rsidRPr="005A496E">
              <w:rPr>
                <w:b w:val="0"/>
                <w:bCs w:val="0"/>
                <w:sz w:val="28"/>
                <w:szCs w:val="28"/>
              </w:rPr>
              <w:t>Manage forests to provide a long-term carbon sink</w:t>
            </w:r>
          </w:p>
        </w:tc>
      </w:tr>
      <w:tr w:rsidR="002520DA" w:rsidRPr="002520DA" w14:paraId="4D775C84"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DE99BC5" w14:textId="49BDA3DC" w:rsidR="002520DA" w:rsidRPr="002520DA" w:rsidRDefault="002520DA" w:rsidP="002520DA">
            <w:pPr>
              <w:spacing w:before="120"/>
            </w:pPr>
            <w:r w:rsidRPr="002520DA">
              <w:t xml:space="preserve">We recommend that, in the first budget period the Government make progress in </w:t>
            </w:r>
            <w:r w:rsidR="00B9070D">
              <w:t>maintaining and</w:t>
            </w:r>
            <w:r w:rsidRPr="002520DA">
              <w:t xml:space="preserve"> increasing the amount carbon stored in forests by:</w:t>
            </w:r>
          </w:p>
          <w:p w14:paraId="76098E42" w14:textId="79985A29" w:rsidR="002520DA" w:rsidRPr="002520DA" w:rsidRDefault="001C4666" w:rsidP="00655722">
            <w:pPr>
              <w:numPr>
                <w:ilvl w:val="0"/>
                <w:numId w:val="67"/>
              </w:numPr>
            </w:pPr>
            <w:r>
              <w:t>Improving and e</w:t>
            </w:r>
            <w:r w:rsidR="002520DA" w:rsidRPr="002520DA">
              <w:t>nforcing measures to reduce deforestation of pre-1990 native forests.</w:t>
            </w:r>
          </w:p>
          <w:p w14:paraId="67A374EF" w14:textId="77777777" w:rsidR="002520DA" w:rsidRPr="002520DA" w:rsidRDefault="002520DA" w:rsidP="00655722">
            <w:pPr>
              <w:numPr>
                <w:ilvl w:val="0"/>
                <w:numId w:val="67"/>
              </w:numPr>
            </w:pPr>
            <w:r w:rsidRPr="002520DA">
              <w:t>Encouraging storage of additional carbon and maintaining carbon stocks in pre-1990 forests through activities such as pest control, noting that these removals may be outside of current emissions accounting approaches.</w:t>
            </w:r>
          </w:p>
          <w:p w14:paraId="04C9D184" w14:textId="16B03470" w:rsidR="002520DA" w:rsidRPr="002520DA" w:rsidRDefault="00507C8A" w:rsidP="00655722">
            <w:pPr>
              <w:numPr>
                <w:ilvl w:val="0"/>
                <w:numId w:val="67"/>
              </w:numPr>
            </w:pPr>
            <w:r>
              <w:t>Evaluat</w:t>
            </w:r>
            <w:r w:rsidR="00D45FE5">
              <w:t>ing</w:t>
            </w:r>
            <w:r w:rsidR="002520DA" w:rsidRPr="002520DA">
              <w:t xml:space="preserve"> approaches for storage of new and additional carbon through small blocks of trees and vegetation, noting that these removals may be outside of current emissions accounting approaches. </w:t>
            </w:r>
          </w:p>
        </w:tc>
      </w:tr>
    </w:tbl>
    <w:p w14:paraId="466F49FD" w14:textId="77777777" w:rsidR="00F01C07" w:rsidRDefault="00F01C07" w:rsidP="00400204">
      <w:pPr>
        <w:pStyle w:val="Content"/>
      </w:pPr>
    </w:p>
    <w:tbl>
      <w:tblPr>
        <w:tblStyle w:val="GridTable4-Accent2"/>
        <w:tblW w:w="0" w:type="auto"/>
        <w:shd w:val="clear" w:color="auto" w:fill="C6B1D1"/>
        <w:tblCellMar>
          <w:top w:w="57" w:type="dxa"/>
          <w:bottom w:w="57" w:type="dxa"/>
        </w:tblCellMar>
        <w:tblLook w:val="04A0" w:firstRow="1" w:lastRow="0" w:firstColumn="1" w:lastColumn="0" w:noHBand="0" w:noVBand="1"/>
      </w:tblPr>
      <w:tblGrid>
        <w:gridCol w:w="9016"/>
      </w:tblGrid>
      <w:tr w:rsidR="00F01C07" w:rsidRPr="00EA4071" w14:paraId="770A4DF3" w14:textId="77777777" w:rsidTr="00CF6F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9E76B3"/>
          </w:tcPr>
          <w:p w14:paraId="12D25B4A" w14:textId="77777777" w:rsidR="00F01C07" w:rsidRPr="00BA7CD8" w:rsidRDefault="00F01C07" w:rsidP="00CF6FC8">
            <w:pPr>
              <w:pStyle w:val="Content"/>
              <w:spacing w:before="0" w:after="0"/>
              <w:jc w:val="center"/>
              <w:rPr>
                <w:bCs w:val="0"/>
                <w:color w:val="000000" w:themeColor="text1"/>
                <w:sz w:val="24"/>
                <w:szCs w:val="24"/>
                <w:lang w:val="en-US"/>
              </w:rPr>
            </w:pPr>
            <w:r>
              <w:rPr>
                <w:bCs w:val="0"/>
                <w:sz w:val="28"/>
                <w:szCs w:val="28"/>
              </w:rPr>
              <w:t>Consultation question 17</w:t>
            </w:r>
          </w:p>
          <w:p w14:paraId="2B04ED24" w14:textId="77777777" w:rsidR="00F01C07" w:rsidRPr="00EA4071" w:rsidRDefault="00F01C07" w:rsidP="00CF6FC8">
            <w:pPr>
              <w:pStyle w:val="Content"/>
              <w:spacing w:before="0" w:after="0"/>
              <w:jc w:val="center"/>
              <w:rPr>
                <w:b w:val="0"/>
                <w:sz w:val="28"/>
                <w:szCs w:val="28"/>
              </w:rPr>
            </w:pPr>
            <w:r>
              <w:rPr>
                <w:b w:val="0"/>
                <w:sz w:val="28"/>
                <w:szCs w:val="28"/>
              </w:rPr>
              <w:t>Forestry</w:t>
            </w:r>
          </w:p>
        </w:tc>
      </w:tr>
      <w:tr w:rsidR="00F01C07" w:rsidRPr="00D779C5" w14:paraId="549C1000" w14:textId="77777777" w:rsidTr="00CF6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C6B1D1"/>
          </w:tcPr>
          <w:p w14:paraId="615D553E" w14:textId="20984ABE" w:rsidR="00F01C07" w:rsidRPr="00D779C5" w:rsidRDefault="00D779C5" w:rsidP="00CF6FC8">
            <w:r w:rsidRPr="00D779C5">
              <w:t>Do you support the package of recommendations and actions for the forestry sector? Is there anything we should change, and why?</w:t>
            </w:r>
          </w:p>
        </w:tc>
      </w:tr>
    </w:tbl>
    <w:p w14:paraId="77250A31" w14:textId="3D128E0B" w:rsidR="002520DA" w:rsidRPr="002520DA" w:rsidRDefault="00CB24D5" w:rsidP="00B82FAD">
      <w:pPr>
        <w:pStyle w:val="Heading3"/>
        <w:rPr>
          <w:color w:val="2F5496" w:themeColor="accent1" w:themeShade="BF"/>
          <w:sz w:val="26"/>
          <w:szCs w:val="26"/>
        </w:rPr>
      </w:pPr>
      <w:bookmarkStart w:id="227" w:name="_Toc62649368"/>
      <w:bookmarkStart w:id="228" w:name="_Toc62650309"/>
      <w:r>
        <w:t xml:space="preserve">6.1.5 </w:t>
      </w:r>
      <w:r w:rsidR="002520DA" w:rsidRPr="002520DA">
        <w:t>Waste</w:t>
      </w:r>
      <w:bookmarkEnd w:id="227"/>
      <w:bookmarkEnd w:id="228"/>
    </w:p>
    <w:p w14:paraId="6304FCA0" w14:textId="77777777" w:rsidR="002520DA" w:rsidRPr="002520DA" w:rsidRDefault="002520DA" w:rsidP="00B82FAD">
      <w:pPr>
        <w:pStyle w:val="Heading4"/>
        <w:rPr>
          <w:color w:val="1F3864" w:themeColor="accent1" w:themeShade="80"/>
          <w:sz w:val="24"/>
          <w:szCs w:val="24"/>
        </w:rPr>
      </w:pPr>
      <w:r w:rsidRPr="002520DA">
        <w:t xml:space="preserve">Reduce emissions from waste </w:t>
      </w:r>
    </w:p>
    <w:p w14:paraId="515C65A8" w14:textId="403E693C" w:rsidR="002520DA" w:rsidRPr="002520DA" w:rsidRDefault="002520DA" w:rsidP="00B82FAD">
      <w:r w:rsidRPr="002520DA">
        <w:t>Preventing waste at source is the most effective way to reduce emissions, followed by recovering</w:t>
      </w:r>
      <w:r w:rsidR="00B82FAD">
        <w:t xml:space="preserve">, </w:t>
      </w:r>
      <w:r w:rsidRPr="002520DA">
        <w:t>reusing and recycling waste before it gets to landfills. Most emissions from waste come from the decay of organic material, and organic waste that cannot be avoided or recovered should be disposed of in landfills that capture the emissions, and potentially generate electricity. These approaches lead to a more ‘circular’ economy with lower emissions beyond just the waste sector.</w:t>
      </w:r>
    </w:p>
    <w:p w14:paraId="00342E8C" w14:textId="77777777" w:rsidR="00FD4E98" w:rsidRDefault="00FD4E98" w:rsidP="00FD4E98">
      <w:r w:rsidRPr="002520DA">
        <w:t xml:space="preserve">The New Zealand Waste Strategy 2010 is due to be replaced, </w:t>
      </w:r>
      <w:r>
        <w:t xml:space="preserve">providing </w:t>
      </w:r>
      <w:r w:rsidRPr="002520DA">
        <w:t>an opportunity to set ambitious waste reduction targets and supporting policy.</w:t>
      </w:r>
    </w:p>
    <w:p w14:paraId="60B4CE92" w14:textId="77777777" w:rsidR="002520DA" w:rsidRPr="002520DA" w:rsidRDefault="002520DA" w:rsidP="00B82FAD">
      <w:r w:rsidRPr="002520DA">
        <w:rPr>
          <w:caps/>
        </w:rPr>
        <w:t>A</w:t>
      </w:r>
      <w:r w:rsidRPr="002520DA">
        <w:t xml:space="preserve"> lack of collection and processing infrastructure means that opportunities to divert and recover waste are currently inconsistent and limited. The increase in the landfill levy in 2021 will help to reduce waste and lead to a substantial increase in the Waste Minimisation Fund, providing resources to support these activities. </w:t>
      </w:r>
    </w:p>
    <w:p w14:paraId="1365B080" w14:textId="6E75EDDA" w:rsidR="002520DA" w:rsidRPr="002520DA" w:rsidRDefault="002520DA" w:rsidP="00B82FAD">
      <w:r w:rsidRPr="002520DA">
        <w:t>Product stewardship schemes are a mechanism to make producers and importers responsible for the environmental footprint of their products, including end of life disposal. These schemes</w:t>
      </w:r>
      <w:r w:rsidR="001E7313">
        <w:t xml:space="preserve"> </w:t>
      </w:r>
      <w:r w:rsidR="001E7313" w:rsidRPr="00AE50E5">
        <w:t xml:space="preserve">ensure that </w:t>
      </w:r>
      <w:r w:rsidR="001E7313">
        <w:t xml:space="preserve">manufacturers, importers and retailers </w:t>
      </w:r>
      <w:r w:rsidR="001E7313" w:rsidRPr="00AE50E5">
        <w:t>provide options for consumer and communities to reuse, recycle or appropriately dispose of products when they are no longer needed</w:t>
      </w:r>
      <w:r w:rsidRPr="002520DA">
        <w:t xml:space="preserve">. Six ‘priority products’ are covered under </w:t>
      </w:r>
      <w:r w:rsidR="00B51156">
        <w:t xml:space="preserve">the </w:t>
      </w:r>
      <w:r w:rsidR="00B723F8">
        <w:t>New Zealand</w:t>
      </w:r>
      <w:r w:rsidRPr="002520DA">
        <w:t xml:space="preserve"> stewardship scheme, and this should be extended.</w:t>
      </w:r>
    </w:p>
    <w:p w14:paraId="3F30E2D6" w14:textId="5C50CE98" w:rsidR="002520DA" w:rsidRPr="002520DA" w:rsidRDefault="002520DA" w:rsidP="00B82FAD">
      <w:r w:rsidRPr="002520DA">
        <w:t xml:space="preserve">There is currently a lack of quality data across </w:t>
      </w:r>
      <w:r w:rsidR="00B51156">
        <w:t xml:space="preserve">the </w:t>
      </w:r>
      <w:r w:rsidRPr="002520DA">
        <w:t>waste sector</w:t>
      </w:r>
      <w:r w:rsidR="00B51156">
        <w:t xml:space="preserve"> in Aotearoa</w:t>
      </w:r>
      <w:r w:rsidRPr="002520DA">
        <w:t>. Better data collection will help identify mitigation opportunities and move Aotearoa to a more circular economy. Public education could also help reduce overall consumption, which would reduce both waste and manufacturing emissions.</w:t>
      </w:r>
    </w:p>
    <w:p w14:paraId="74E2F797" w14:textId="25DEDEE9" w:rsidR="00B82FAD" w:rsidRPr="002520DA" w:rsidRDefault="007B4DBD">
      <w:pPr>
        <w:spacing w:before="0" w:after="160"/>
      </w:pPr>
      <w:r>
        <w:br w:type="page"/>
      </w:r>
    </w:p>
    <w:tbl>
      <w:tblPr>
        <w:tblStyle w:val="GridTable4-Accent5"/>
        <w:tblW w:w="0" w:type="auto"/>
        <w:tblCellMar>
          <w:bottom w:w="57" w:type="dxa"/>
        </w:tblCellMar>
        <w:tblLook w:val="04A0" w:firstRow="1" w:lastRow="0" w:firstColumn="1" w:lastColumn="0" w:noHBand="0" w:noVBand="1"/>
      </w:tblPr>
      <w:tblGrid>
        <w:gridCol w:w="9016"/>
      </w:tblGrid>
      <w:tr w:rsidR="002520DA" w:rsidRPr="002520DA" w14:paraId="5B489BE6"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5980D8F" w14:textId="1B454FE0" w:rsidR="002520DA" w:rsidRPr="002520DA" w:rsidRDefault="003873D4" w:rsidP="002520DA">
            <w:pPr>
              <w:spacing w:before="0" w:after="0"/>
              <w:jc w:val="center"/>
              <w:rPr>
                <w:sz w:val="28"/>
                <w:szCs w:val="28"/>
              </w:rPr>
            </w:pPr>
            <w:r w:rsidRPr="003873D4">
              <w:rPr>
                <w:sz w:val="28"/>
                <w:szCs w:val="28"/>
              </w:rPr>
              <w:lastRenderedPageBreak/>
              <w:t>Necessary</w:t>
            </w:r>
            <w:r w:rsidR="002520DA" w:rsidRPr="002520DA">
              <w:rPr>
                <w:sz w:val="28"/>
                <w:szCs w:val="28"/>
              </w:rPr>
              <w:t xml:space="preserve"> action </w:t>
            </w:r>
            <w:r w:rsidR="003B15E6">
              <w:rPr>
                <w:sz w:val="28"/>
                <w:szCs w:val="28"/>
              </w:rPr>
              <w:t>13</w:t>
            </w:r>
          </w:p>
          <w:p w14:paraId="654D231A" w14:textId="77777777" w:rsidR="002520DA" w:rsidRPr="00A16C85" w:rsidRDefault="002520DA" w:rsidP="002520DA">
            <w:pPr>
              <w:spacing w:before="0" w:after="0"/>
              <w:jc w:val="center"/>
              <w:rPr>
                <w:b w:val="0"/>
                <w:bCs w:val="0"/>
                <w:sz w:val="28"/>
                <w:szCs w:val="28"/>
              </w:rPr>
            </w:pPr>
            <w:r w:rsidRPr="00A16C85">
              <w:rPr>
                <w:b w:val="0"/>
                <w:bCs w:val="0"/>
                <w:sz w:val="28"/>
                <w:szCs w:val="28"/>
              </w:rPr>
              <w:t>Reduce emissions from waste</w:t>
            </w:r>
          </w:p>
        </w:tc>
      </w:tr>
      <w:tr w:rsidR="002520DA" w:rsidRPr="002520DA" w14:paraId="40382046"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Mar>
              <w:top w:w="57" w:type="dxa"/>
              <w:bottom w:w="57" w:type="dxa"/>
            </w:tcMar>
          </w:tcPr>
          <w:p w14:paraId="0B919F46" w14:textId="231276AF" w:rsidR="002520DA" w:rsidRPr="002520DA" w:rsidRDefault="002520DA" w:rsidP="002520DA">
            <w:pPr>
              <w:spacing w:before="120"/>
            </w:pPr>
            <w:r w:rsidRPr="002520DA">
              <w:t>We recommend that, in the first budget period the Government take steps to support the reduction of waste at source, increase the circularity of resources</w:t>
            </w:r>
            <w:r w:rsidR="00B51156">
              <w:t xml:space="preserve"> in Aotearoa</w:t>
            </w:r>
            <w:r w:rsidRPr="002520DA">
              <w:t xml:space="preserve"> and reduce waste emissions by:</w:t>
            </w:r>
          </w:p>
          <w:p w14:paraId="6C97F64D" w14:textId="165FECC5" w:rsidR="002520DA" w:rsidRPr="002520DA" w:rsidRDefault="002520DA" w:rsidP="00655722">
            <w:pPr>
              <w:numPr>
                <w:ilvl w:val="0"/>
                <w:numId w:val="68"/>
              </w:numPr>
            </w:pPr>
            <w:r w:rsidRPr="002520DA">
              <w:t>Setting ambitious targets in the New Zealand Waste Strategy for waste reduction, resource recovery and landfill gas capture to reduce</w:t>
            </w:r>
            <w:r w:rsidRPr="002520DA" w:rsidDel="00B51156">
              <w:t xml:space="preserve"> </w:t>
            </w:r>
            <w:r w:rsidRPr="002520DA">
              <w:t xml:space="preserve">waste emissions </w:t>
            </w:r>
            <w:r w:rsidR="00B51156">
              <w:t xml:space="preserve">in Aotearoa </w:t>
            </w:r>
            <w:r w:rsidRPr="002520DA">
              <w:t>by at least 15% by 203</w:t>
            </w:r>
            <w:r w:rsidR="00D631C2">
              <w:t>5</w:t>
            </w:r>
            <w:r w:rsidRPr="002520DA">
              <w:t>.</w:t>
            </w:r>
          </w:p>
          <w:p w14:paraId="1CD0D8D1" w14:textId="77777777" w:rsidR="002520DA" w:rsidRPr="002520DA" w:rsidRDefault="002520DA" w:rsidP="00655722">
            <w:pPr>
              <w:numPr>
                <w:ilvl w:val="0"/>
                <w:numId w:val="68"/>
              </w:numPr>
            </w:pPr>
            <w:r w:rsidRPr="002520DA">
              <w:t>Investing the waste levy revenue in reducing waste emissions through resource recovery, promotion of reuse and recycling, and research and development on waste reduction.</w:t>
            </w:r>
          </w:p>
          <w:p w14:paraId="131A92AF" w14:textId="790B0932" w:rsidR="002520DA" w:rsidRPr="002520DA" w:rsidRDefault="002520DA" w:rsidP="00655722">
            <w:pPr>
              <w:numPr>
                <w:ilvl w:val="0"/>
                <w:numId w:val="68"/>
              </w:numPr>
            </w:pPr>
            <w:r w:rsidRPr="002520DA">
              <w:t xml:space="preserve">Measuring and increasing the circularity of </w:t>
            </w:r>
            <w:r w:rsidR="00B51156">
              <w:t>the</w:t>
            </w:r>
            <w:r w:rsidR="00B51156" w:rsidRPr="002520DA">
              <w:t xml:space="preserve"> </w:t>
            </w:r>
            <w:r w:rsidRPr="002520DA">
              <w:t>economy by 2025.</w:t>
            </w:r>
          </w:p>
          <w:p w14:paraId="7D7A055C" w14:textId="77777777" w:rsidR="002520DA" w:rsidRPr="002520DA" w:rsidRDefault="002520DA" w:rsidP="00655722">
            <w:pPr>
              <w:numPr>
                <w:ilvl w:val="0"/>
                <w:numId w:val="68"/>
              </w:numPr>
            </w:pPr>
            <w:r w:rsidRPr="002520DA">
              <w:t>Extending product stewardship schemes to a wider range of products, prioritising products with high emissions potential.</w:t>
            </w:r>
          </w:p>
          <w:p w14:paraId="4D2C86B1" w14:textId="1D0F16BD" w:rsidR="002520DA" w:rsidRPr="002520DA" w:rsidRDefault="002520DA" w:rsidP="00655722">
            <w:pPr>
              <w:numPr>
                <w:ilvl w:val="0"/>
                <w:numId w:val="68"/>
              </w:numPr>
            </w:pPr>
            <w:r w:rsidRPr="002520DA">
              <w:t xml:space="preserve">Legislating for and funding coordinated data collection across the waste industry before </w:t>
            </w:r>
            <w:r w:rsidR="003C7446">
              <w:t>31 December</w:t>
            </w:r>
            <w:r w:rsidRPr="002520DA">
              <w:t xml:space="preserve"> 2022.</w:t>
            </w:r>
          </w:p>
        </w:tc>
      </w:tr>
    </w:tbl>
    <w:p w14:paraId="443AED74" w14:textId="77777777" w:rsidR="002520DA" w:rsidRPr="002520DA" w:rsidRDefault="002520DA" w:rsidP="002520DA">
      <w:pPr>
        <w:spacing w:before="120" w:after="120"/>
        <w:rPr>
          <w:bCs/>
        </w:rPr>
      </w:pPr>
    </w:p>
    <w:p w14:paraId="23B454AF" w14:textId="417A26CD" w:rsidR="002520DA" w:rsidRPr="007C7CAE" w:rsidRDefault="002520DA" w:rsidP="00776605">
      <w:pPr>
        <w:pStyle w:val="Heading4"/>
      </w:pPr>
      <w:r w:rsidRPr="002520DA">
        <w:t xml:space="preserve">Manage the </w:t>
      </w:r>
      <w:r w:rsidRPr="007C7CAE">
        <w:t>transition from hydrofluorocarbons</w:t>
      </w:r>
    </w:p>
    <w:p w14:paraId="5821735F" w14:textId="77777777" w:rsidR="002520DA" w:rsidRPr="002520DA" w:rsidRDefault="002520DA" w:rsidP="00776605">
      <w:r w:rsidRPr="002520DA">
        <w:t xml:space="preserve">Refrigerants are essential chemicals that enable perishable food to be transported and stored, and the heating and cooling of interior spaces. Hydrofluorocarbons (HFCs) are the most common type of refrigerant used in Aotearoa. </w:t>
      </w:r>
    </w:p>
    <w:p w14:paraId="1653ED63" w14:textId="77777777" w:rsidR="002520DA" w:rsidRPr="002520DA" w:rsidRDefault="002520DA" w:rsidP="00776605">
      <w:r w:rsidRPr="002520DA">
        <w:t>HFCs are potent synthetic greenhouse gases, which present in low atmospheric concentrations. HFCs are regulated under the Kigali Amendment to the Montreal Protocol with all the signatories (including Aotearoa) agreeing to reduce the use of HFCs by more than 80% over the next 30 years.</w:t>
      </w:r>
    </w:p>
    <w:p w14:paraId="2CC6BBB1" w14:textId="77777777" w:rsidR="002520DA" w:rsidRPr="002520DA" w:rsidRDefault="002520DA" w:rsidP="00776605">
      <w:r w:rsidRPr="002520DA">
        <w:t xml:space="preserve">In 2020, the Government declared refrigerants one of six priority products under the Waste Minimisation Act, which means a product stewardship scheme is required for imports of HFCs. The Government is reducing HFC imports in line with the Montreal Protocol, but there is currently no limit on the import of finished products that contain HFCs, such as air conditioning in vehicles. </w:t>
      </w:r>
    </w:p>
    <w:p w14:paraId="5F1B4F23" w14:textId="2384BE4D" w:rsidR="002520DA" w:rsidRDefault="002520DA" w:rsidP="00B82FAD">
      <w:r w:rsidRPr="002520DA">
        <w:t>A lot of existing equipment in Aotearoa contains HFCs, so there will be a lag between taking action to phase down HFCs and achieving emissions reductions. Low</w:t>
      </w:r>
      <w:r w:rsidR="00E813BA">
        <w:t xml:space="preserve"> </w:t>
      </w:r>
      <w:r w:rsidRPr="002520DA">
        <w:t>emission</w:t>
      </w:r>
      <w:r w:rsidR="00B12A7C">
        <w:t>s</w:t>
      </w:r>
      <w:r w:rsidRPr="002520DA">
        <w:t xml:space="preserve"> refrigerant alternatives exist, but a lot of existing equipment is not compatible with them. Many HFC emissions are due to leakage as a result of poor maintenance and improper disposal of equipment.</w:t>
      </w:r>
    </w:p>
    <w:p w14:paraId="13ECFE8C" w14:textId="751026CB" w:rsidR="00776605" w:rsidRPr="002520DA" w:rsidRDefault="007B4DBD">
      <w:pPr>
        <w:spacing w:before="0" w:after="160"/>
      </w:pPr>
      <w:r>
        <w:br w:type="page"/>
      </w:r>
    </w:p>
    <w:tbl>
      <w:tblPr>
        <w:tblStyle w:val="GridTable4-Accent5"/>
        <w:tblW w:w="0" w:type="auto"/>
        <w:tblCellMar>
          <w:bottom w:w="57" w:type="dxa"/>
        </w:tblCellMar>
        <w:tblLook w:val="04A0" w:firstRow="1" w:lastRow="0" w:firstColumn="1" w:lastColumn="0" w:noHBand="0" w:noVBand="1"/>
      </w:tblPr>
      <w:tblGrid>
        <w:gridCol w:w="9016"/>
      </w:tblGrid>
      <w:tr w:rsidR="002520DA" w:rsidRPr="002520DA" w14:paraId="7235E74D"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5B7E9C0" w14:textId="5249A7AD" w:rsidR="002520DA" w:rsidRPr="002520DA" w:rsidRDefault="003873D4" w:rsidP="002520DA">
            <w:pPr>
              <w:spacing w:before="0" w:after="0"/>
              <w:jc w:val="center"/>
              <w:rPr>
                <w:sz w:val="28"/>
                <w:szCs w:val="28"/>
              </w:rPr>
            </w:pPr>
            <w:r w:rsidRPr="003873D4">
              <w:rPr>
                <w:sz w:val="28"/>
                <w:szCs w:val="28"/>
              </w:rPr>
              <w:lastRenderedPageBreak/>
              <w:t>Necessary</w:t>
            </w:r>
            <w:r w:rsidR="002520DA" w:rsidRPr="002520DA">
              <w:rPr>
                <w:sz w:val="28"/>
                <w:szCs w:val="28"/>
              </w:rPr>
              <w:t xml:space="preserve"> action </w:t>
            </w:r>
            <w:r w:rsidR="003B15E6">
              <w:rPr>
                <w:sz w:val="28"/>
                <w:szCs w:val="28"/>
              </w:rPr>
              <w:t>14</w:t>
            </w:r>
          </w:p>
          <w:p w14:paraId="6B8F4423" w14:textId="77777777" w:rsidR="002520DA" w:rsidRPr="007C7CAE" w:rsidRDefault="002520DA" w:rsidP="002520DA">
            <w:pPr>
              <w:spacing w:before="0" w:after="0"/>
              <w:jc w:val="center"/>
              <w:rPr>
                <w:b w:val="0"/>
                <w:bCs w:val="0"/>
                <w:sz w:val="28"/>
                <w:szCs w:val="28"/>
              </w:rPr>
            </w:pPr>
            <w:r w:rsidRPr="007C7CAE">
              <w:rPr>
                <w:b w:val="0"/>
                <w:bCs w:val="0"/>
                <w:sz w:val="28"/>
                <w:szCs w:val="28"/>
              </w:rPr>
              <w:t>Manage the transition from hydrofluorocarbons</w:t>
            </w:r>
          </w:p>
        </w:tc>
      </w:tr>
      <w:tr w:rsidR="002520DA" w:rsidRPr="002520DA" w14:paraId="58E03140"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8F76717" w14:textId="77777777" w:rsidR="002520DA" w:rsidRPr="002520DA" w:rsidRDefault="002520DA" w:rsidP="002520DA">
            <w:pPr>
              <w:spacing w:before="120"/>
            </w:pPr>
            <w:r w:rsidRPr="002520DA">
              <w:t>Consistent with the Kigali Amendment to the Montreal protocol, we recommend that, in the first budget period the Government supports reducing emissions of hydrofluorocarbons (HFCs) used as refrigerants by:</w:t>
            </w:r>
          </w:p>
          <w:p w14:paraId="663AA968" w14:textId="77777777" w:rsidR="002520DA" w:rsidRPr="002520DA" w:rsidRDefault="002520DA" w:rsidP="00655722">
            <w:pPr>
              <w:numPr>
                <w:ilvl w:val="0"/>
                <w:numId w:val="69"/>
              </w:numPr>
            </w:pPr>
            <w:r w:rsidRPr="002520DA">
              <w:t>Extending HFC import restrictions, where feasible, to include finished products and recycled bulk HFCs by 2025.</w:t>
            </w:r>
          </w:p>
          <w:p w14:paraId="7381E2A1" w14:textId="77777777" w:rsidR="002520DA" w:rsidRPr="002520DA" w:rsidRDefault="002520DA" w:rsidP="00655722">
            <w:pPr>
              <w:numPr>
                <w:ilvl w:val="0"/>
                <w:numId w:val="69"/>
              </w:numPr>
            </w:pPr>
            <w:r w:rsidRPr="002520DA">
              <w:t>Reducing leakage and improper disposal of HFCs through mandating good practice from business and technicians.</w:t>
            </w:r>
          </w:p>
        </w:tc>
      </w:tr>
    </w:tbl>
    <w:p w14:paraId="21A1107F" w14:textId="3618C33B" w:rsidR="002520DA" w:rsidRPr="007B4DBD" w:rsidRDefault="002520DA" w:rsidP="002520DA">
      <w:pPr>
        <w:spacing w:before="0" w:after="160"/>
        <w:rPr>
          <w:sz w:val="12"/>
          <w:szCs w:val="12"/>
        </w:rPr>
      </w:pPr>
      <w:bookmarkStart w:id="229" w:name="_Toc57218489"/>
    </w:p>
    <w:tbl>
      <w:tblPr>
        <w:tblStyle w:val="GridTable4-Accent2"/>
        <w:tblW w:w="0" w:type="auto"/>
        <w:shd w:val="clear" w:color="auto" w:fill="C6B1D1"/>
        <w:tblCellMar>
          <w:top w:w="57" w:type="dxa"/>
          <w:bottom w:w="57" w:type="dxa"/>
        </w:tblCellMar>
        <w:tblLook w:val="04A0" w:firstRow="1" w:lastRow="0" w:firstColumn="1" w:lastColumn="0" w:noHBand="0" w:noVBand="1"/>
      </w:tblPr>
      <w:tblGrid>
        <w:gridCol w:w="9016"/>
      </w:tblGrid>
      <w:tr w:rsidR="00313549" w:rsidRPr="00EA4071" w14:paraId="5A94BC15" w14:textId="77777777" w:rsidTr="00313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9E76B3"/>
          </w:tcPr>
          <w:p w14:paraId="3B1F8C69" w14:textId="77777777" w:rsidR="00313549" w:rsidRPr="00BA7CD8" w:rsidRDefault="00313549" w:rsidP="00313549">
            <w:pPr>
              <w:pStyle w:val="Content"/>
              <w:spacing w:before="0" w:after="0"/>
              <w:jc w:val="center"/>
              <w:rPr>
                <w:bCs w:val="0"/>
                <w:color w:val="000000" w:themeColor="text1"/>
                <w:sz w:val="24"/>
                <w:szCs w:val="24"/>
                <w:lang w:val="en-US"/>
              </w:rPr>
            </w:pPr>
            <w:r>
              <w:rPr>
                <w:bCs w:val="0"/>
                <w:sz w:val="28"/>
                <w:szCs w:val="28"/>
              </w:rPr>
              <w:t>Consultation question 18</w:t>
            </w:r>
          </w:p>
          <w:p w14:paraId="445A62FF" w14:textId="77777777" w:rsidR="00313549" w:rsidRPr="00EA4071" w:rsidRDefault="00313549" w:rsidP="00313549">
            <w:pPr>
              <w:pStyle w:val="Content"/>
              <w:spacing w:before="0" w:after="0"/>
              <w:jc w:val="center"/>
              <w:rPr>
                <w:b w:val="0"/>
                <w:sz w:val="28"/>
                <w:szCs w:val="28"/>
              </w:rPr>
            </w:pPr>
            <w:r>
              <w:rPr>
                <w:b w:val="0"/>
                <w:sz w:val="28"/>
                <w:szCs w:val="28"/>
                <w:lang w:val="en-US"/>
              </w:rPr>
              <w:t>Waste</w:t>
            </w:r>
          </w:p>
        </w:tc>
      </w:tr>
      <w:tr w:rsidR="00313549" w:rsidRPr="00EA4071" w14:paraId="0413ACF9" w14:textId="77777777" w:rsidTr="0031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C6B1D1"/>
          </w:tcPr>
          <w:p w14:paraId="17005D9A" w14:textId="1EA36364" w:rsidR="00313549" w:rsidRPr="00E5673C" w:rsidRDefault="008C22B1" w:rsidP="00313549">
            <w:r w:rsidRPr="00B9426C">
              <w:t>Do you support the package of recommendations and actions for the</w:t>
            </w:r>
            <w:r>
              <w:t xml:space="preserve"> waste </w:t>
            </w:r>
            <w:r w:rsidRPr="00B9426C">
              <w:t>sector</w:t>
            </w:r>
            <w:r>
              <w:rPr>
                <w:bCs w:val="0"/>
              </w:rPr>
              <w:t>? Is there anything we should change, and why</w:t>
            </w:r>
            <w:r w:rsidRPr="00E5673C">
              <w:rPr>
                <w:bCs w:val="0"/>
              </w:rPr>
              <w:t>?</w:t>
            </w:r>
          </w:p>
        </w:tc>
      </w:tr>
    </w:tbl>
    <w:p w14:paraId="3B029966" w14:textId="11A8378C" w:rsidR="002520DA" w:rsidRPr="007C7CAE" w:rsidRDefault="00CB24D5" w:rsidP="00776605">
      <w:pPr>
        <w:pStyle w:val="Heading2"/>
      </w:pPr>
      <w:bookmarkStart w:id="230" w:name="_Toc62650310"/>
      <w:r>
        <w:t xml:space="preserve">6.2 </w:t>
      </w:r>
      <w:r w:rsidR="002520DA" w:rsidRPr="002520DA">
        <w:t>Multisector strategy</w:t>
      </w:r>
      <w:bookmarkEnd w:id="229"/>
      <w:bookmarkEnd w:id="230"/>
    </w:p>
    <w:p w14:paraId="6DC3BFE9" w14:textId="65360D11" w:rsidR="002520DA" w:rsidRPr="002520DA" w:rsidRDefault="00CB24D5" w:rsidP="00776605">
      <w:pPr>
        <w:pStyle w:val="Heading3"/>
      </w:pPr>
      <w:bookmarkStart w:id="231" w:name="_Toc62649370"/>
      <w:bookmarkStart w:id="232" w:name="_Toc62650311"/>
      <w:r>
        <w:t xml:space="preserve">6.2.1 </w:t>
      </w:r>
      <w:r w:rsidR="002520DA" w:rsidRPr="002520DA">
        <w:t xml:space="preserve">Integrate </w:t>
      </w:r>
      <w:r w:rsidR="00CD3624">
        <w:t>g</w:t>
      </w:r>
      <w:r w:rsidR="002520DA" w:rsidRPr="002520DA">
        <w:t>overnment policy making across climate change and other domains</w:t>
      </w:r>
      <w:bookmarkEnd w:id="231"/>
      <w:bookmarkEnd w:id="232"/>
      <w:r w:rsidR="002520DA" w:rsidRPr="002520DA">
        <w:t xml:space="preserve"> </w:t>
      </w:r>
    </w:p>
    <w:p w14:paraId="09A63007" w14:textId="77777777" w:rsidR="002520DA" w:rsidRPr="002520DA" w:rsidRDefault="002520DA" w:rsidP="00776605">
      <w:r w:rsidRPr="002520DA">
        <w:t xml:space="preserve">Coherent policy is important to ensure that government sends clear and consistent signals to households, business and communities about the transition to low emissions, and the nature and speed of change required. </w:t>
      </w:r>
    </w:p>
    <w:p w14:paraId="478D430D" w14:textId="67AF8239" w:rsidR="002520DA" w:rsidRPr="002520DA" w:rsidRDefault="002520DA" w:rsidP="00776605">
      <w:r w:rsidRPr="002520DA">
        <w:t xml:space="preserve">The current siloed nature of Aotearoa government machinery presents a challenge. While </w:t>
      </w:r>
      <w:r w:rsidR="00776605">
        <w:t>the Ministry for the Environment</w:t>
      </w:r>
      <w:r w:rsidRPr="002520DA">
        <w:t xml:space="preserve"> holds the lead in terms of the overall architecture of climate policy, the policy levers for the different sectors sit with a range of other agencies. For these other agencies, climate change is not their core business and climate considerations are often crowded out by other priorities.</w:t>
      </w:r>
    </w:p>
    <w:p w14:paraId="115220A5" w14:textId="77777777" w:rsidR="002520DA" w:rsidRPr="002520DA" w:rsidRDefault="002520DA" w:rsidP="00776605">
      <w:r w:rsidRPr="002520DA">
        <w:t>Another challenge is the lack of ‘mainstreaming’ of climate change considerations across government policies and procedures. Measures such as tax levers and structures, procurement procedures, and cost benefit and regulatory impact analysis are all instruments that can be used to support climate outcomes, but this is not done systematically, which can undermine climate change goals. Consistent signalling across investments, policy statements, direction to officials and internal policies and directives is important to ensure that all regulatory and policy frameworks are aligned with low emissions objectives.</w:t>
      </w:r>
    </w:p>
    <w:p w14:paraId="16BB0208" w14:textId="77777777" w:rsidR="002520DA" w:rsidRPr="002520DA" w:rsidRDefault="002520DA" w:rsidP="00776605">
      <w:r w:rsidRPr="002520DA">
        <w:t>Different agencies also give different weighting to various concerns in their decision making. To ensure that climate change goals are not undermined, it is important that climate change is considered in the development of all new policies, regulations and fiscal proposals.</w:t>
      </w:r>
    </w:p>
    <w:p w14:paraId="1F49A734" w14:textId="670BBF2D" w:rsidR="002520DA" w:rsidRDefault="002520DA" w:rsidP="00776605">
      <w:r w:rsidRPr="002520DA">
        <w:t xml:space="preserve">Some activities that take place across sectors, such as tourism, have a </w:t>
      </w:r>
      <w:r w:rsidR="00D340C0">
        <w:t>large</w:t>
      </w:r>
      <w:r w:rsidRPr="002520DA">
        <w:t xml:space="preserve"> impact on emissions, but opportunities for reducing emissions are often not well understood due to their cross-cutting nature. The responsible government agencies do not have climate change as part of their core business, and do not focus on low emissions objectives.</w:t>
      </w:r>
    </w:p>
    <w:p w14:paraId="2B37525A" w14:textId="77777777" w:rsidR="00776605" w:rsidRPr="002520DA" w:rsidRDefault="00776605" w:rsidP="00776605"/>
    <w:tbl>
      <w:tblPr>
        <w:tblStyle w:val="GridTable4-Accent5"/>
        <w:tblW w:w="0" w:type="auto"/>
        <w:tblCellMar>
          <w:bottom w:w="57" w:type="dxa"/>
        </w:tblCellMar>
        <w:tblLook w:val="04A0" w:firstRow="1" w:lastRow="0" w:firstColumn="1" w:lastColumn="0" w:noHBand="0" w:noVBand="1"/>
      </w:tblPr>
      <w:tblGrid>
        <w:gridCol w:w="9016"/>
      </w:tblGrid>
      <w:tr w:rsidR="002520DA" w:rsidRPr="002520DA" w14:paraId="6CD06FF7"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Mar>
              <w:top w:w="57" w:type="dxa"/>
              <w:bottom w:w="57" w:type="dxa"/>
            </w:tcMar>
          </w:tcPr>
          <w:p w14:paraId="67A03581" w14:textId="795DA51D" w:rsidR="002520DA" w:rsidRPr="002520DA" w:rsidRDefault="003873D4" w:rsidP="002520DA">
            <w:pPr>
              <w:spacing w:before="0" w:after="0"/>
              <w:jc w:val="center"/>
              <w:rPr>
                <w:sz w:val="28"/>
                <w:szCs w:val="28"/>
              </w:rPr>
            </w:pPr>
            <w:r w:rsidRPr="003873D4">
              <w:rPr>
                <w:sz w:val="28"/>
                <w:szCs w:val="28"/>
              </w:rPr>
              <w:t>Necessary</w:t>
            </w:r>
            <w:r w:rsidR="002520DA" w:rsidRPr="002520DA">
              <w:rPr>
                <w:sz w:val="28"/>
                <w:szCs w:val="28"/>
              </w:rPr>
              <w:t xml:space="preserve"> action </w:t>
            </w:r>
            <w:r w:rsidR="003B15E6">
              <w:rPr>
                <w:sz w:val="28"/>
                <w:szCs w:val="28"/>
              </w:rPr>
              <w:t>15</w:t>
            </w:r>
          </w:p>
          <w:p w14:paraId="083177E0" w14:textId="77777777" w:rsidR="002520DA" w:rsidRPr="007C7CAE" w:rsidRDefault="002520DA" w:rsidP="002520DA">
            <w:pPr>
              <w:spacing w:before="0" w:after="0"/>
              <w:jc w:val="center"/>
              <w:rPr>
                <w:b w:val="0"/>
                <w:bCs w:val="0"/>
                <w:sz w:val="26"/>
                <w:szCs w:val="26"/>
              </w:rPr>
            </w:pPr>
            <w:r w:rsidRPr="007C7CAE">
              <w:rPr>
                <w:b w:val="0"/>
                <w:bCs w:val="0"/>
                <w:sz w:val="26"/>
                <w:szCs w:val="26"/>
              </w:rPr>
              <w:t>Integrate Government policy making across climate change and other domains</w:t>
            </w:r>
          </w:p>
        </w:tc>
      </w:tr>
      <w:tr w:rsidR="002520DA" w:rsidRPr="002520DA" w14:paraId="5D504267"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Mar>
              <w:top w:w="57" w:type="dxa"/>
              <w:bottom w:w="57" w:type="dxa"/>
            </w:tcMar>
          </w:tcPr>
          <w:p w14:paraId="13643B4A" w14:textId="5E5DE14D" w:rsidR="002520DA" w:rsidRPr="002520DA" w:rsidRDefault="002520DA" w:rsidP="002520DA">
            <w:pPr>
              <w:spacing w:before="120"/>
            </w:pPr>
            <w:r w:rsidRPr="002520DA">
              <w:t>We recommend that, in the first budget period the Government make progress on integrating policy making across climate change and other domains by:</w:t>
            </w:r>
          </w:p>
          <w:p w14:paraId="0743305F" w14:textId="77777777" w:rsidR="002520DA" w:rsidRPr="002520DA" w:rsidRDefault="002520DA" w:rsidP="00655722">
            <w:pPr>
              <w:numPr>
                <w:ilvl w:val="0"/>
                <w:numId w:val="70"/>
              </w:numPr>
            </w:pPr>
            <w:r w:rsidRPr="002520DA">
              <w:rPr>
                <w:lang w:val="en-US"/>
              </w:rPr>
              <w:t>Providing consistent signaling across investments, policy statements, direction to officials, internal policies and directives</w:t>
            </w:r>
            <w:r w:rsidRPr="002520DA">
              <w:t xml:space="preserve"> to </w:t>
            </w:r>
            <w:r w:rsidRPr="002520DA">
              <w:rPr>
                <w:lang w:val="en-US"/>
              </w:rPr>
              <w:t>ensure that all regulatory and policy frameworks are aligned with low emissions and climate resilience objectives</w:t>
            </w:r>
            <w:r w:rsidRPr="002520DA">
              <w:t>.</w:t>
            </w:r>
          </w:p>
          <w:p w14:paraId="37A35F9D" w14:textId="77777777" w:rsidR="002520DA" w:rsidRPr="002520DA" w:rsidRDefault="002520DA" w:rsidP="00655722">
            <w:pPr>
              <w:numPr>
                <w:ilvl w:val="0"/>
                <w:numId w:val="70"/>
              </w:numPr>
            </w:pPr>
            <w:r w:rsidRPr="002520DA">
              <w:t>Investigating emissions reduction potentials and interdependencies amongst multi-sector activities, such as food production and distribution, tourism, construction and international education.</w:t>
            </w:r>
          </w:p>
          <w:p w14:paraId="1197DF3B" w14:textId="77777777" w:rsidR="002520DA" w:rsidRPr="002520DA" w:rsidRDefault="002520DA" w:rsidP="00655722">
            <w:pPr>
              <w:numPr>
                <w:ilvl w:val="0"/>
                <w:numId w:val="70"/>
              </w:numPr>
            </w:pPr>
            <w:r w:rsidRPr="002520DA">
              <w:t>Ensuring that central and local government considers climate change alongside other environmental, social, economic and cultural aspects by including requirements in new resource management legislation, such as the proposed Natural and Built Environments Act, the Strategic Planning Act and the Managed Retreat and Adaptation Act.</w:t>
            </w:r>
          </w:p>
          <w:p w14:paraId="0A5BA212" w14:textId="77777777" w:rsidR="002520DA" w:rsidRPr="002520DA" w:rsidRDefault="002520DA" w:rsidP="00655722">
            <w:pPr>
              <w:numPr>
                <w:ilvl w:val="0"/>
                <w:numId w:val="70"/>
              </w:numPr>
            </w:pPr>
            <w:r w:rsidRPr="002520DA">
              <w:t>Requiring</w:t>
            </w:r>
            <w:r w:rsidRPr="002520DA">
              <w:rPr>
                <w:lang w:val="en-US"/>
              </w:rPr>
              <w:t xml:space="preserve"> government procurement policies</w:t>
            </w:r>
            <w:r w:rsidRPr="002520DA">
              <w:t xml:space="preserve"> to</w:t>
            </w:r>
            <w:r w:rsidRPr="002520DA">
              <w:rPr>
                <w:lang w:val="en-US"/>
              </w:rPr>
              <w:t xml:space="preserve"> include climate change considerations</w:t>
            </w:r>
            <w:r w:rsidRPr="002520DA">
              <w:t xml:space="preserve">, in order to </w:t>
            </w:r>
            <w:r w:rsidRPr="002520DA">
              <w:rPr>
                <w:lang w:val="en-US"/>
              </w:rPr>
              <w:t>leverage purchasing power to support low emissions products and practices, particularly with regard to third party funding and financing transactions</w:t>
            </w:r>
            <w:r w:rsidRPr="002520DA">
              <w:t>.</w:t>
            </w:r>
          </w:p>
          <w:p w14:paraId="78653286" w14:textId="77777777" w:rsidR="002520DA" w:rsidRPr="002520DA" w:rsidRDefault="002520DA" w:rsidP="00655722">
            <w:pPr>
              <w:numPr>
                <w:ilvl w:val="0"/>
                <w:numId w:val="70"/>
              </w:numPr>
            </w:pPr>
            <w:r w:rsidRPr="002520DA">
              <w:t>Facilitating opportunities for iwi/Māori to participate in ownership of infrastructure or involvement in projects that align with iwi/Māori aspirations and climate positive outcomes. </w:t>
            </w:r>
          </w:p>
        </w:tc>
      </w:tr>
    </w:tbl>
    <w:p w14:paraId="6B104FD8" w14:textId="61D50ECC" w:rsidR="002520DA" w:rsidRPr="002520DA" w:rsidRDefault="00CB24D5" w:rsidP="00776605">
      <w:pPr>
        <w:pStyle w:val="Heading3"/>
      </w:pPr>
      <w:bookmarkStart w:id="233" w:name="_Toc62649371"/>
      <w:bookmarkStart w:id="234" w:name="_Toc62650312"/>
      <w:r>
        <w:t xml:space="preserve">6.2.2 </w:t>
      </w:r>
      <w:r w:rsidR="002520DA" w:rsidRPr="002520DA">
        <w:t>Support behaviour change</w:t>
      </w:r>
      <w:bookmarkEnd w:id="233"/>
      <w:bookmarkEnd w:id="234"/>
    </w:p>
    <w:p w14:paraId="6BD3F6EB" w14:textId="6BF61B8D" w:rsidR="002520DA" w:rsidRPr="002520DA" w:rsidRDefault="002520DA" w:rsidP="00776605">
      <w:r w:rsidRPr="002520DA">
        <w:t xml:space="preserve">Transitioning to a low emissions economy will require </w:t>
      </w:r>
      <w:r w:rsidR="007E45C5">
        <w:t>New Zealanders to change some aspects of their lives.</w:t>
      </w:r>
      <w:r w:rsidR="007E45C5" w:rsidRPr="002520DA">
        <w:t xml:space="preserve"> </w:t>
      </w:r>
      <w:r w:rsidR="007E45C5">
        <w:t xml:space="preserve">People </w:t>
      </w:r>
      <w:r w:rsidRPr="002520DA" w:rsidDel="007E45C5">
        <w:t xml:space="preserve">will need to change </w:t>
      </w:r>
      <w:r w:rsidRPr="002520DA">
        <w:t>the type of car</w:t>
      </w:r>
      <w:r w:rsidRPr="002520DA" w:rsidDel="007E45C5">
        <w:t xml:space="preserve"> </w:t>
      </w:r>
      <w:r w:rsidR="007E45C5">
        <w:t>they</w:t>
      </w:r>
      <w:r w:rsidR="007E45C5" w:rsidRPr="002520DA">
        <w:t xml:space="preserve"> </w:t>
      </w:r>
      <w:r w:rsidR="007E45C5">
        <w:t xml:space="preserve">choose to </w:t>
      </w:r>
      <w:r w:rsidRPr="002520DA">
        <w:t xml:space="preserve">drive, the way they choose to travel, and the way they heat their homes. </w:t>
      </w:r>
      <w:r w:rsidR="003C74BF">
        <w:t>Many</w:t>
      </w:r>
      <w:r w:rsidR="007E45C5" w:rsidRPr="002520DA">
        <w:t xml:space="preserve"> business</w:t>
      </w:r>
      <w:r w:rsidR="003C74BF">
        <w:t>es</w:t>
      </w:r>
      <w:r w:rsidR="007E45C5" w:rsidRPr="002520DA">
        <w:t xml:space="preserve"> will need to switch to new processes and ways of doing things. </w:t>
      </w:r>
      <w:r w:rsidRPr="002520DA" w:rsidDel="007E45C5">
        <w:t xml:space="preserve">Many farmers will need to change how they manage their land. </w:t>
      </w:r>
    </w:p>
    <w:p w14:paraId="3DB4937A" w14:textId="09513518" w:rsidR="002520DA" w:rsidRPr="002520DA" w:rsidRDefault="003C74BF" w:rsidP="00776605">
      <w:r>
        <w:t xml:space="preserve">Technology is only part of the climate solution; the other part is creating the enabling environment for New Zealanders to make choices that support low emissions outcomes. </w:t>
      </w:r>
      <w:r w:rsidR="002520DA" w:rsidRPr="002520DA">
        <w:t>Understanding how to encourage long-term and sustainable behaviour change will require an evaluation of current and past programmes in Aotearoa and internationally</w:t>
      </w:r>
      <w:r>
        <w:t xml:space="preserve"> to determine </w:t>
      </w:r>
      <w:r w:rsidR="002520DA" w:rsidRPr="002520DA">
        <w:t xml:space="preserve">what tools to use and why. </w:t>
      </w:r>
    </w:p>
    <w:p w14:paraId="538A7DC5" w14:textId="2277329B" w:rsidR="002520DA" w:rsidRDefault="002520DA" w:rsidP="00776605">
      <w:r w:rsidRPr="002520DA">
        <w:t xml:space="preserve">Although there have been some effective behaviour change initiatives involving multiple agencies in other areas, such as for road safety, there has been no systematic effort in Aotearoa that </w:t>
      </w:r>
      <w:r w:rsidR="008854AD">
        <w:t>focus</w:t>
      </w:r>
      <w:r w:rsidRPr="002520DA">
        <w:t>es on changing behaviour for climate change outcomes. A specific focus on how behaviour change can support climate action, with the input from different communities and stakeholders, would ensure that policies are targeted</w:t>
      </w:r>
      <w:r w:rsidRPr="002520DA" w:rsidDel="00EA173E">
        <w:t xml:space="preserve"> </w:t>
      </w:r>
      <w:r w:rsidRPr="002520DA">
        <w:t xml:space="preserve">and fit for purpose. </w:t>
      </w:r>
    </w:p>
    <w:p w14:paraId="52D75A6F" w14:textId="75A6A906" w:rsidR="00776605" w:rsidRPr="002520DA" w:rsidRDefault="007B4DBD">
      <w:pPr>
        <w:spacing w:before="0" w:after="160"/>
      </w:pPr>
      <w:r>
        <w:br w:type="page"/>
      </w:r>
    </w:p>
    <w:tbl>
      <w:tblPr>
        <w:tblStyle w:val="GridTable4-Accent5"/>
        <w:tblW w:w="0" w:type="auto"/>
        <w:tblCellMar>
          <w:bottom w:w="57" w:type="dxa"/>
        </w:tblCellMar>
        <w:tblLook w:val="04A0" w:firstRow="1" w:lastRow="0" w:firstColumn="1" w:lastColumn="0" w:noHBand="0" w:noVBand="1"/>
      </w:tblPr>
      <w:tblGrid>
        <w:gridCol w:w="9016"/>
      </w:tblGrid>
      <w:tr w:rsidR="002520DA" w:rsidRPr="002520DA" w14:paraId="36855295"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307CF3A" w14:textId="579DBDF2" w:rsidR="002520DA" w:rsidRPr="002520DA" w:rsidRDefault="003873D4" w:rsidP="002520DA">
            <w:pPr>
              <w:spacing w:before="0" w:after="0"/>
              <w:jc w:val="center"/>
              <w:rPr>
                <w:sz w:val="28"/>
                <w:szCs w:val="28"/>
              </w:rPr>
            </w:pPr>
            <w:r w:rsidRPr="003873D4">
              <w:rPr>
                <w:sz w:val="28"/>
                <w:szCs w:val="28"/>
              </w:rPr>
              <w:lastRenderedPageBreak/>
              <w:t>Necessary</w:t>
            </w:r>
            <w:r w:rsidR="002520DA" w:rsidRPr="002520DA">
              <w:rPr>
                <w:sz w:val="28"/>
                <w:szCs w:val="28"/>
              </w:rPr>
              <w:t xml:space="preserve"> action </w:t>
            </w:r>
            <w:r w:rsidR="003B15E6">
              <w:rPr>
                <w:sz w:val="28"/>
                <w:szCs w:val="28"/>
              </w:rPr>
              <w:t>16</w:t>
            </w:r>
          </w:p>
          <w:p w14:paraId="5DA5A3AF" w14:textId="2AA18F0C" w:rsidR="002520DA" w:rsidRPr="007C7CAE" w:rsidRDefault="003C74BF" w:rsidP="002520DA">
            <w:pPr>
              <w:spacing w:before="0" w:after="0"/>
              <w:jc w:val="center"/>
              <w:rPr>
                <w:b w:val="0"/>
                <w:bCs w:val="0"/>
                <w:sz w:val="26"/>
                <w:szCs w:val="26"/>
              </w:rPr>
            </w:pPr>
            <w:r>
              <w:rPr>
                <w:b w:val="0"/>
                <w:bCs w:val="0"/>
                <w:sz w:val="26"/>
                <w:szCs w:val="26"/>
              </w:rPr>
              <w:t xml:space="preserve">Support </w:t>
            </w:r>
            <w:r w:rsidR="002520DA" w:rsidRPr="007C7CAE">
              <w:rPr>
                <w:b w:val="0"/>
                <w:bCs w:val="0"/>
                <w:sz w:val="26"/>
                <w:szCs w:val="26"/>
              </w:rPr>
              <w:t>behaviour change</w:t>
            </w:r>
          </w:p>
        </w:tc>
      </w:tr>
      <w:tr w:rsidR="002520DA" w:rsidRPr="002520DA" w14:paraId="1AEFCA7B"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3BDFF16" w14:textId="3934D8C9" w:rsidR="002520DA" w:rsidRPr="00400204" w:rsidRDefault="002520DA" w:rsidP="002520DA">
            <w:pPr>
              <w:spacing w:before="120"/>
              <w:rPr>
                <w:b w:val="0"/>
              </w:rPr>
            </w:pPr>
            <w:r w:rsidRPr="002520DA">
              <w:t xml:space="preserve">We recommend that, in the first budget period the Government </w:t>
            </w:r>
            <w:r w:rsidR="003C74BF">
              <w:t xml:space="preserve">embed behaviour change as a desired outcome in its climate change policies and programmes in order to enable New Zealanders to </w:t>
            </w:r>
            <w:r w:rsidR="003C74BF" w:rsidRPr="003C74BF">
              <w:t>make choices that support low emissions outcomes</w:t>
            </w:r>
            <w:r w:rsidR="003C74BF">
              <w:t>.</w:t>
            </w:r>
          </w:p>
        </w:tc>
      </w:tr>
    </w:tbl>
    <w:p w14:paraId="7C37A234" w14:textId="467B3D1C" w:rsidR="002520DA" w:rsidRPr="002520DA" w:rsidRDefault="00CB24D5" w:rsidP="00776605">
      <w:pPr>
        <w:pStyle w:val="Heading3"/>
      </w:pPr>
      <w:bookmarkStart w:id="235" w:name="_Toc62649372"/>
      <w:bookmarkStart w:id="236" w:name="_Toc62650313"/>
      <w:r>
        <w:t xml:space="preserve">6.2.3 </w:t>
      </w:r>
      <w:r w:rsidR="002520DA" w:rsidRPr="002520DA">
        <w:t>Require entities with large investments to disclose climate related risks</w:t>
      </w:r>
      <w:bookmarkEnd w:id="235"/>
      <w:bookmarkEnd w:id="236"/>
    </w:p>
    <w:p w14:paraId="7D5696B4" w14:textId="77777777" w:rsidR="002520DA" w:rsidRPr="002520DA" w:rsidRDefault="002520DA" w:rsidP="00776605">
      <w:r w:rsidRPr="002520DA">
        <w:t xml:space="preserve">Climate change exposes the financial system to risk and instability. Without clear and transparent information about exposure to climate risk, firms, lenders, investors, insurers and other stakeholders may be left with unforeseen liabilities, or risky investments. </w:t>
      </w:r>
    </w:p>
    <w:p w14:paraId="7DE0744B" w14:textId="1EFDDA6D" w:rsidR="002520DA" w:rsidRPr="002520DA" w:rsidRDefault="002520DA" w:rsidP="00776605">
      <w:r w:rsidRPr="002520DA">
        <w:t xml:space="preserve">Internationally, firms are increasingly being required to provide information on the extent of their climate risk exposure and to identify how those risks are being managed – known as climate related risk disclosure. Such disclosures generally include information about a firm’s exposure to transition risks </w:t>
      </w:r>
      <w:r w:rsidR="00776605">
        <w:t>such as</w:t>
      </w:r>
      <w:r w:rsidRPr="002520DA">
        <w:t xml:space="preserve"> ownership of emissions intensive assets, physical risks from climate impacts, as well as information about how the risks will be managed. </w:t>
      </w:r>
    </w:p>
    <w:p w14:paraId="26DA59A8" w14:textId="3B6D6AB7" w:rsidR="002520DA" w:rsidRDefault="002520DA" w:rsidP="00776605">
      <w:r w:rsidRPr="002520DA">
        <w:t xml:space="preserve">The mandatory financial disclosures regime proposed by the </w:t>
      </w:r>
      <w:r w:rsidR="00CD3624">
        <w:t>G</w:t>
      </w:r>
      <w:r w:rsidRPr="002520DA">
        <w:t>overnment is an important step in helping to ensure investors, insurers, consumers and others have the necessary information to make informed choices and avoid exposure to climate risks. The ongoing review of this regime will be important to ensure that it remains fit for purpose in the future, and as knowledge about the nature of climate risks evolves.</w:t>
      </w:r>
    </w:p>
    <w:p w14:paraId="59A852E4" w14:textId="77777777" w:rsidR="00776605" w:rsidRPr="002520DA" w:rsidRDefault="00776605" w:rsidP="00776605"/>
    <w:tbl>
      <w:tblPr>
        <w:tblStyle w:val="GridTable4-Accent5"/>
        <w:tblW w:w="0" w:type="auto"/>
        <w:tblCellMar>
          <w:bottom w:w="57" w:type="dxa"/>
        </w:tblCellMar>
        <w:tblLook w:val="04A0" w:firstRow="1" w:lastRow="0" w:firstColumn="1" w:lastColumn="0" w:noHBand="0" w:noVBand="1"/>
      </w:tblPr>
      <w:tblGrid>
        <w:gridCol w:w="9016"/>
      </w:tblGrid>
      <w:tr w:rsidR="002520DA" w:rsidRPr="002520DA" w14:paraId="01A1CFA7"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1AE57FA" w14:textId="09416553" w:rsidR="002520DA" w:rsidRPr="002520DA" w:rsidRDefault="003873D4" w:rsidP="002520DA">
            <w:pPr>
              <w:spacing w:before="0" w:after="0"/>
              <w:jc w:val="center"/>
              <w:rPr>
                <w:sz w:val="28"/>
                <w:szCs w:val="28"/>
              </w:rPr>
            </w:pPr>
            <w:r w:rsidRPr="003873D4">
              <w:rPr>
                <w:sz w:val="28"/>
                <w:szCs w:val="28"/>
              </w:rPr>
              <w:t>Necessary</w:t>
            </w:r>
            <w:r w:rsidR="002520DA" w:rsidRPr="002520DA">
              <w:rPr>
                <w:sz w:val="28"/>
                <w:szCs w:val="28"/>
              </w:rPr>
              <w:t xml:space="preserve"> action </w:t>
            </w:r>
            <w:r w:rsidR="003B15E6">
              <w:rPr>
                <w:sz w:val="28"/>
                <w:szCs w:val="28"/>
              </w:rPr>
              <w:t>17</w:t>
            </w:r>
          </w:p>
          <w:p w14:paraId="3871D269" w14:textId="77777777" w:rsidR="002520DA" w:rsidRPr="007C7CAE" w:rsidRDefault="002520DA" w:rsidP="002520DA">
            <w:pPr>
              <w:spacing w:before="0"/>
              <w:jc w:val="center"/>
              <w:rPr>
                <w:b w:val="0"/>
                <w:bCs w:val="0"/>
                <w:sz w:val="28"/>
                <w:szCs w:val="28"/>
              </w:rPr>
            </w:pPr>
            <w:r w:rsidRPr="007C7CAE">
              <w:rPr>
                <w:b w:val="0"/>
                <w:bCs w:val="0"/>
                <w:sz w:val="28"/>
                <w:szCs w:val="28"/>
              </w:rPr>
              <w:t>Require entities with large investments to disclose climate related risks</w:t>
            </w:r>
          </w:p>
        </w:tc>
      </w:tr>
      <w:tr w:rsidR="002520DA" w:rsidRPr="002520DA" w14:paraId="10DAF535"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Mar>
              <w:top w:w="57" w:type="dxa"/>
              <w:bottom w:w="57" w:type="dxa"/>
            </w:tcMar>
          </w:tcPr>
          <w:p w14:paraId="37A7F46A" w14:textId="2609FDC2" w:rsidR="002520DA" w:rsidRPr="002520DA" w:rsidRDefault="002520DA" w:rsidP="002520DA">
            <w:pPr>
              <w:spacing w:before="120"/>
            </w:pPr>
            <w:r w:rsidRPr="002520DA">
              <w:t>We recommend that, in the first budget period the Government:</w:t>
            </w:r>
          </w:p>
          <w:p w14:paraId="41584992" w14:textId="77777777" w:rsidR="002520DA" w:rsidRPr="002520DA" w:rsidRDefault="002520DA" w:rsidP="00655722">
            <w:pPr>
              <w:numPr>
                <w:ilvl w:val="0"/>
                <w:numId w:val="71"/>
              </w:numPr>
              <w:rPr>
                <w:lang w:val="en-US"/>
              </w:rPr>
            </w:pPr>
            <w:r w:rsidRPr="002520DA">
              <w:rPr>
                <w:lang w:val="en-US"/>
              </w:rPr>
              <w:t>Implement the proposed mandatory financial disclosures regime and explore the creation of a similar regime that covers public entities at the national and local level.</w:t>
            </w:r>
          </w:p>
          <w:p w14:paraId="730B3AC8" w14:textId="77777777" w:rsidR="002520DA" w:rsidRPr="002520DA" w:rsidRDefault="002520DA" w:rsidP="00655722">
            <w:pPr>
              <w:numPr>
                <w:ilvl w:val="0"/>
                <w:numId w:val="71"/>
              </w:numPr>
              <w:rPr>
                <w:lang w:val="en-US"/>
              </w:rPr>
            </w:pPr>
            <w:r w:rsidRPr="002520DA">
              <w:rPr>
                <w:lang w:val="en-US"/>
              </w:rPr>
              <w:t>Evaluate the potential benefits of mandatory disclosure by financial institutions of the emissions enabled by loans over a specified threshold.</w:t>
            </w:r>
          </w:p>
        </w:tc>
      </w:tr>
    </w:tbl>
    <w:p w14:paraId="3AFDB11F" w14:textId="098F2670" w:rsidR="002520DA" w:rsidRPr="002520DA" w:rsidRDefault="00CB24D5" w:rsidP="00776605">
      <w:pPr>
        <w:pStyle w:val="Heading3"/>
      </w:pPr>
      <w:bookmarkStart w:id="237" w:name="_Toc62649373"/>
      <w:bookmarkStart w:id="238" w:name="_Toc62650314"/>
      <w:r>
        <w:t xml:space="preserve">6.2.4 </w:t>
      </w:r>
      <w:r w:rsidR="002520DA" w:rsidRPr="002520DA">
        <w:t>Factor target-consistent long-term abatement cost values into policy and investment analysis</w:t>
      </w:r>
      <w:bookmarkEnd w:id="237"/>
      <w:bookmarkEnd w:id="238"/>
      <w:r w:rsidR="002520DA" w:rsidRPr="002520DA">
        <w:t xml:space="preserve"> </w:t>
      </w:r>
    </w:p>
    <w:p w14:paraId="3180B4F3" w14:textId="72715C95" w:rsidR="002520DA" w:rsidRPr="002520DA" w:rsidRDefault="002520DA" w:rsidP="00776605">
      <w:r w:rsidRPr="002520DA">
        <w:t xml:space="preserve">The Government’s policy decisions and investments must not lock Aotearoa into a high emissions development pathway or increase exposure to the impacts of climate change. At the moment, there are </w:t>
      </w:r>
      <w:r w:rsidR="00FB4709">
        <w:t>in</w:t>
      </w:r>
      <w:r w:rsidRPr="002520DA">
        <w:t xml:space="preserve">sufficient safeguards in place to </w:t>
      </w:r>
      <w:r w:rsidRPr="002520DA" w:rsidDel="00C56B6C">
        <w:t xml:space="preserve">prevent </w:t>
      </w:r>
      <w:r w:rsidRPr="002520DA">
        <w:t>this.</w:t>
      </w:r>
    </w:p>
    <w:p w14:paraId="31AA9B14" w14:textId="77777777" w:rsidR="002520DA" w:rsidRPr="002520DA" w:rsidRDefault="002520DA" w:rsidP="00776605">
      <w:r w:rsidRPr="002520DA">
        <w:t xml:space="preserve">Incorporating long-term abatement cost values consistent with climate change goals into the Government’s cost-benefit or cost-effectiveness analysis would have a powerful effect in helping to make sure policy and investment decisions are net zero compatible. This is sometimes termed a “shadow price” on emissions and is common practice internationally. The use of long-term abatement </w:t>
      </w:r>
      <w:r w:rsidRPr="002520DA">
        <w:lastRenderedPageBreak/>
        <w:t>cost values by local government and the private sector would also help to make sure other infrastructure and investments are future proof.</w:t>
      </w:r>
    </w:p>
    <w:p w14:paraId="790C2F12" w14:textId="5833A3C1" w:rsidR="002520DA" w:rsidRDefault="002520DA" w:rsidP="00776605">
      <w:r w:rsidRPr="002520DA">
        <w:t>Work has progressed on developing a consistent approach to incorporating long</w:t>
      </w:r>
      <w:r w:rsidR="0088294A">
        <w:t>-</w:t>
      </w:r>
      <w:r w:rsidRPr="002520DA">
        <w:t xml:space="preserve">term abatement cost values consistent with climate change goals into government decision making, but it is still not widely embedded within government processes. </w:t>
      </w:r>
    </w:p>
    <w:p w14:paraId="142FF72E" w14:textId="0F957E94" w:rsidR="00776605" w:rsidRPr="002520DA" w:rsidRDefault="00084F71" w:rsidP="00776605">
      <w:r>
        <w:rPr>
          <w:bCs/>
        </w:rPr>
        <w:t xml:space="preserve">The Commission’s modelling has enabled a better understanding of the marginal abatement costs likely to be required in Aotearoa to meet the emissions budgets and 2050 target. Our analysis suggests that marginal abatement costs of around $140 </w:t>
      </w:r>
      <w:r w:rsidR="00193712">
        <w:rPr>
          <w:bCs/>
        </w:rPr>
        <w:t>per tonne o</w:t>
      </w:r>
      <w:r w:rsidR="005B4577">
        <w:rPr>
          <w:bCs/>
        </w:rPr>
        <w:t>f</w:t>
      </w:r>
      <w:r w:rsidR="00193712">
        <w:rPr>
          <w:bCs/>
        </w:rPr>
        <w:t xml:space="preserve"> </w:t>
      </w:r>
      <w:r w:rsidR="00652476" w:rsidRPr="00507989">
        <w:t>CO</w:t>
      </w:r>
      <w:r w:rsidR="00652476" w:rsidRPr="00444841">
        <w:rPr>
          <w:vertAlign w:val="subscript"/>
        </w:rPr>
        <w:t>2</w:t>
      </w:r>
      <w:r w:rsidR="00652476" w:rsidRPr="00507989">
        <w:t>e</w:t>
      </w:r>
      <w:r w:rsidR="005B4577">
        <w:rPr>
          <w:bCs/>
        </w:rPr>
        <w:t xml:space="preserve"> abated </w:t>
      </w:r>
      <w:r>
        <w:rPr>
          <w:bCs/>
        </w:rPr>
        <w:t>in 2030 and $250 in 2050 in real prices are likely to be needed</w:t>
      </w:r>
      <w:r w:rsidRPr="00084F71">
        <w:rPr>
          <w:bCs/>
        </w:rPr>
        <w:t>, as outlined in chapter 3.</w:t>
      </w:r>
      <w:r>
        <w:rPr>
          <w:bCs/>
        </w:rPr>
        <w:t xml:space="preserve"> This information should inform the values used for policy and investment appraisal in Aotearoa. </w:t>
      </w:r>
    </w:p>
    <w:p w14:paraId="17C2505F" w14:textId="77777777" w:rsidR="007B4DBD" w:rsidRPr="002520DA" w:rsidRDefault="007B4DBD" w:rsidP="00776605"/>
    <w:tbl>
      <w:tblPr>
        <w:tblStyle w:val="GridTable4-Accent2"/>
        <w:tblW w:w="0" w:type="auto"/>
        <w:tblCellMar>
          <w:bottom w:w="57" w:type="dxa"/>
        </w:tblCellMar>
        <w:tblLook w:val="04A0" w:firstRow="1" w:lastRow="0" w:firstColumn="1" w:lastColumn="0" w:noHBand="0" w:noVBand="1"/>
      </w:tblPr>
      <w:tblGrid>
        <w:gridCol w:w="9016"/>
      </w:tblGrid>
      <w:tr w:rsidR="002520DA" w:rsidRPr="002520DA" w14:paraId="37BC1EDB"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376B974" w14:textId="3FFEDACA" w:rsidR="002520DA" w:rsidRPr="002520DA" w:rsidRDefault="002520DA" w:rsidP="002520DA">
            <w:pPr>
              <w:spacing w:before="0" w:after="0"/>
              <w:jc w:val="center"/>
              <w:rPr>
                <w:color w:val="000000" w:themeColor="text1"/>
                <w:sz w:val="24"/>
                <w:szCs w:val="24"/>
                <w:lang w:val="en-US"/>
              </w:rPr>
            </w:pPr>
            <w:r w:rsidRPr="002520DA">
              <w:rPr>
                <w:sz w:val="28"/>
                <w:szCs w:val="28"/>
              </w:rPr>
              <w:t>Time</w:t>
            </w:r>
            <w:r w:rsidR="00DE4485" w:rsidRPr="00DE4485">
              <w:rPr>
                <w:sz w:val="28"/>
                <w:szCs w:val="28"/>
              </w:rPr>
              <w:t>-</w:t>
            </w:r>
            <w:r w:rsidRPr="002520DA">
              <w:rPr>
                <w:sz w:val="28"/>
                <w:szCs w:val="28"/>
              </w:rPr>
              <w:t xml:space="preserve">critical </w:t>
            </w:r>
            <w:r w:rsidR="00DE4485" w:rsidRPr="00DE4485">
              <w:rPr>
                <w:sz w:val="28"/>
                <w:szCs w:val="28"/>
              </w:rPr>
              <w:t>necessary action</w:t>
            </w:r>
            <w:r w:rsidRPr="002520DA">
              <w:rPr>
                <w:sz w:val="28"/>
                <w:szCs w:val="28"/>
              </w:rPr>
              <w:t xml:space="preserve"> </w:t>
            </w:r>
            <w:r w:rsidR="00831465">
              <w:rPr>
                <w:sz w:val="28"/>
                <w:szCs w:val="28"/>
              </w:rPr>
              <w:t>6</w:t>
            </w:r>
          </w:p>
          <w:p w14:paraId="5CB570FA" w14:textId="77777777" w:rsidR="002520DA" w:rsidRPr="007C7CAE" w:rsidRDefault="002520DA" w:rsidP="002520DA">
            <w:pPr>
              <w:spacing w:before="0" w:after="0"/>
              <w:jc w:val="center"/>
              <w:rPr>
                <w:b w:val="0"/>
                <w:bCs w:val="0"/>
                <w:sz w:val="28"/>
                <w:szCs w:val="28"/>
              </w:rPr>
            </w:pPr>
            <w:r w:rsidRPr="007C7CAE">
              <w:rPr>
                <w:b w:val="0"/>
                <w:bCs w:val="0"/>
                <w:sz w:val="28"/>
                <w:szCs w:val="28"/>
              </w:rPr>
              <w:t>Align investments for climate outcomes</w:t>
            </w:r>
          </w:p>
        </w:tc>
      </w:tr>
      <w:tr w:rsidR="002520DA" w:rsidRPr="002520DA" w14:paraId="1CB39188"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6F890F3" w14:textId="4592A7F2" w:rsidR="002520DA" w:rsidRPr="002520DA" w:rsidRDefault="002520DA" w:rsidP="002520DA">
            <w:r w:rsidRPr="002520DA">
              <w:t>To meet emissions budgets and achieve the 2050 target, it is important that policy decisions and investments made now do not lock Aotearoa into a high emissions development pathway. Safeguards and signals will be needed to prevent this, including a specific focus on ensuring long-lived assets such as infrastructure are net-zero compatible. To achieve this, we recommend in the first budget period the Government:</w:t>
            </w:r>
          </w:p>
          <w:p w14:paraId="48DD8881" w14:textId="7F702EB1" w:rsidR="002520DA" w:rsidRPr="002520DA" w:rsidRDefault="0083521A" w:rsidP="00655722">
            <w:pPr>
              <w:numPr>
                <w:ilvl w:val="0"/>
                <w:numId w:val="72"/>
              </w:numPr>
              <w:rPr>
                <w:lang w:val="en-US"/>
              </w:rPr>
            </w:pPr>
            <w:r>
              <w:rPr>
                <w:lang w:val="en-US"/>
              </w:rPr>
              <w:t>I</w:t>
            </w:r>
            <w:r w:rsidR="002520DA" w:rsidRPr="002520DA">
              <w:rPr>
                <w:lang w:val="en-US"/>
              </w:rPr>
              <w:t xml:space="preserve">mmediately start to factor target-consistent long-term abatement cost values into policy and investment analysis in central government. These values should be informed by the Commission’s analysis which suggests values of at least </w:t>
            </w:r>
            <w:r w:rsidR="002520DA" w:rsidRPr="00400204">
              <w:rPr>
                <w:lang w:val="en-US"/>
              </w:rPr>
              <w:t>$</w:t>
            </w:r>
            <w:r w:rsidR="000B5B7C" w:rsidRPr="00400204">
              <w:rPr>
                <w:lang w:val="en-US"/>
              </w:rPr>
              <w:t>140</w:t>
            </w:r>
            <w:r w:rsidR="002520DA" w:rsidRPr="00400204">
              <w:rPr>
                <w:lang w:val="en-US"/>
              </w:rPr>
              <w:t xml:space="preserve"> </w:t>
            </w:r>
            <w:r w:rsidR="00193712" w:rsidRPr="00400204">
              <w:rPr>
                <w:lang w:val="en-US"/>
              </w:rPr>
              <w:t xml:space="preserve">per </w:t>
            </w:r>
            <w:proofErr w:type="spellStart"/>
            <w:r w:rsidR="00193712" w:rsidRPr="00400204">
              <w:rPr>
                <w:lang w:val="en-US"/>
              </w:rPr>
              <w:t>tonne</w:t>
            </w:r>
            <w:proofErr w:type="spellEnd"/>
            <w:r w:rsidR="00193712" w:rsidRPr="00400204">
              <w:rPr>
                <w:lang w:val="en-US"/>
              </w:rPr>
              <w:t xml:space="preserve"> </w:t>
            </w:r>
            <w:r w:rsidR="002520DA" w:rsidRPr="00400204">
              <w:rPr>
                <w:lang w:val="en-US"/>
              </w:rPr>
              <w:t>by 2030 and $</w:t>
            </w:r>
            <w:r w:rsidR="000B5B7C" w:rsidRPr="00400204">
              <w:rPr>
                <w:lang w:val="en-US"/>
              </w:rPr>
              <w:t>250</w:t>
            </w:r>
            <w:r w:rsidR="002520DA" w:rsidRPr="00400204">
              <w:rPr>
                <w:lang w:val="en-US"/>
              </w:rPr>
              <w:t xml:space="preserve"> by 2050 </w:t>
            </w:r>
            <w:r w:rsidR="002520DA" w:rsidRPr="002520DA">
              <w:rPr>
                <w:lang w:val="en-US"/>
              </w:rPr>
              <w:t>in real prices. </w:t>
            </w:r>
          </w:p>
          <w:p w14:paraId="75CA889D" w14:textId="1B7E46CE" w:rsidR="002520DA" w:rsidRPr="002520DA" w:rsidRDefault="002520DA" w:rsidP="00655722">
            <w:pPr>
              <w:numPr>
                <w:ilvl w:val="0"/>
                <w:numId w:val="72"/>
              </w:numPr>
              <w:rPr>
                <w:lang w:val="en-US"/>
              </w:rPr>
            </w:pPr>
            <w:r w:rsidRPr="002520DA">
              <w:rPr>
                <w:lang w:val="en-US"/>
              </w:rPr>
              <w:t>Encourage local government and the private sector to also use these values in policy and investment analysis.</w:t>
            </w:r>
          </w:p>
          <w:p w14:paraId="75E7E15F" w14:textId="77777777" w:rsidR="002520DA" w:rsidRPr="002520DA" w:rsidRDefault="002520DA" w:rsidP="00655722">
            <w:pPr>
              <w:numPr>
                <w:ilvl w:val="0"/>
                <w:numId w:val="72"/>
              </w:numPr>
              <w:rPr>
                <w:lang w:val="en-US"/>
              </w:rPr>
            </w:pPr>
            <w:r w:rsidRPr="002520DA">
              <w:rPr>
                <w:lang w:val="en-US"/>
              </w:rPr>
              <w:t>Ensure that economic stimulus to support post-COVID-19 recovery helps to bring forward the transformational investment that needs to happen anyway to reach our joint climate and economic goals. </w:t>
            </w:r>
          </w:p>
          <w:p w14:paraId="5BBE00E8" w14:textId="085D6B4D" w:rsidR="002520DA" w:rsidRPr="002520DA" w:rsidRDefault="002520DA" w:rsidP="00655722">
            <w:pPr>
              <w:numPr>
                <w:ilvl w:val="0"/>
                <w:numId w:val="72"/>
              </w:numPr>
              <w:rPr>
                <w:lang w:val="en-US"/>
              </w:rPr>
            </w:pPr>
            <w:r w:rsidRPr="002520DA">
              <w:rPr>
                <w:lang w:val="en-US"/>
              </w:rPr>
              <w:t xml:space="preserve">Investigate </w:t>
            </w:r>
            <w:r w:rsidR="00566683">
              <w:rPr>
                <w:lang w:val="en-US"/>
              </w:rPr>
              <w:t xml:space="preserve">and develop a plan for </w:t>
            </w:r>
            <w:r w:rsidRPr="002520DA">
              <w:rPr>
                <w:lang w:val="en-US"/>
              </w:rPr>
              <w:t>potential incentives for businesses to retire emissions intensive assets early.</w:t>
            </w:r>
          </w:p>
          <w:p w14:paraId="2335A6D0" w14:textId="6DC083AE" w:rsidR="002520DA" w:rsidRPr="002520DA" w:rsidRDefault="002520DA" w:rsidP="00655722">
            <w:pPr>
              <w:numPr>
                <w:ilvl w:val="0"/>
                <w:numId w:val="72"/>
              </w:numPr>
              <w:rPr>
                <w:lang w:val="en-US"/>
              </w:rPr>
            </w:pPr>
            <w:r w:rsidRPr="002520DA">
              <w:rPr>
                <w:lang w:val="en-US"/>
              </w:rPr>
              <w:t>Require the Infrastructure Commission to include climate change as part of its decision</w:t>
            </w:r>
            <w:r w:rsidR="00BE7458">
              <w:rPr>
                <w:lang w:val="en-US"/>
              </w:rPr>
              <w:t>-</w:t>
            </w:r>
            <w:r w:rsidRPr="002520DA">
              <w:rPr>
                <w:lang w:val="en-US"/>
              </w:rPr>
              <w:t xml:space="preserve"> and investment</w:t>
            </w:r>
            <w:r w:rsidR="00BE7458">
              <w:rPr>
                <w:lang w:val="en-US"/>
              </w:rPr>
              <w:t>-</w:t>
            </w:r>
            <w:r w:rsidRPr="002520DA">
              <w:rPr>
                <w:lang w:val="en-US"/>
              </w:rPr>
              <w:t xml:space="preserve">making framework, including embedded emissions and climate resilience </w:t>
            </w:r>
          </w:p>
          <w:p w14:paraId="5C4D4DEE" w14:textId="3ADB78D9" w:rsidR="002520DA" w:rsidRPr="002520DA" w:rsidRDefault="002520DA" w:rsidP="00655722">
            <w:pPr>
              <w:numPr>
                <w:ilvl w:val="0"/>
                <w:numId w:val="72"/>
              </w:numPr>
              <w:rPr>
                <w:lang w:val="en-US"/>
              </w:rPr>
            </w:pPr>
            <w:r w:rsidRPr="002520DA">
              <w:rPr>
                <w:lang w:val="en-US"/>
              </w:rPr>
              <w:t xml:space="preserve">Investigate and develop plans to </w:t>
            </w:r>
            <w:proofErr w:type="spellStart"/>
            <w:r w:rsidRPr="002520DA">
              <w:rPr>
                <w:lang w:val="en-US"/>
              </w:rPr>
              <w:t>mobilise</w:t>
            </w:r>
            <w:proofErr w:type="spellEnd"/>
            <w:r w:rsidRPr="002520DA">
              <w:rPr>
                <w:lang w:val="en-US"/>
              </w:rPr>
              <w:t xml:space="preserve"> private sector finance for low emissions and climate</w:t>
            </w:r>
            <w:r w:rsidR="00BE7458">
              <w:rPr>
                <w:lang w:val="en-US"/>
              </w:rPr>
              <w:t>-</w:t>
            </w:r>
            <w:r w:rsidRPr="002520DA">
              <w:rPr>
                <w:lang w:val="en-US"/>
              </w:rPr>
              <w:t>resilient investments.</w:t>
            </w:r>
          </w:p>
        </w:tc>
      </w:tr>
    </w:tbl>
    <w:p w14:paraId="2FE2E1BA" w14:textId="7F6EFFA7" w:rsidR="002520DA" w:rsidRPr="002520DA" w:rsidRDefault="002520DA" w:rsidP="002520DA">
      <w:pPr>
        <w:spacing w:before="120" w:after="120"/>
        <w:rPr>
          <w:bCs/>
        </w:rPr>
      </w:pPr>
    </w:p>
    <w:p w14:paraId="6052A60C" w14:textId="77777777" w:rsidR="007B4DBD" w:rsidRDefault="007B4DBD">
      <w:pPr>
        <w:spacing w:before="0" w:after="160"/>
        <w:rPr>
          <w:bCs/>
        </w:rPr>
      </w:pPr>
      <w:r>
        <w:rPr>
          <w:bCs/>
        </w:rPr>
        <w:br w:type="page"/>
      </w:r>
    </w:p>
    <w:p w14:paraId="43C5342A" w14:textId="77777777" w:rsidR="002520DA" w:rsidRPr="002520DA" w:rsidRDefault="002520DA" w:rsidP="002520DA">
      <w:pPr>
        <w:spacing w:before="120" w:after="120"/>
        <w:rPr>
          <w:bCs/>
        </w:rPr>
      </w:pPr>
    </w:p>
    <w:tbl>
      <w:tblPr>
        <w:tblStyle w:val="GridTable4-Accent2"/>
        <w:tblW w:w="0" w:type="auto"/>
        <w:tblCellMar>
          <w:bottom w:w="57" w:type="dxa"/>
        </w:tblCellMar>
        <w:tblLook w:val="04A0" w:firstRow="1" w:lastRow="0" w:firstColumn="1" w:lastColumn="0" w:noHBand="0" w:noVBand="1"/>
      </w:tblPr>
      <w:tblGrid>
        <w:gridCol w:w="9016"/>
      </w:tblGrid>
      <w:tr w:rsidR="002520DA" w:rsidRPr="002520DA" w14:paraId="7C866CD9"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DFA75D0" w14:textId="77777777" w:rsidR="002520DA" w:rsidRPr="002520DA" w:rsidRDefault="002520DA" w:rsidP="002520DA">
            <w:pPr>
              <w:spacing w:before="120" w:after="120"/>
              <w:jc w:val="center"/>
            </w:pPr>
            <w:r w:rsidRPr="002520DA">
              <w:rPr>
                <w:sz w:val="28"/>
                <w:szCs w:val="28"/>
              </w:rPr>
              <w:t>Progress indicators</w:t>
            </w:r>
          </w:p>
        </w:tc>
      </w:tr>
      <w:tr w:rsidR="002520DA" w:rsidRPr="002520DA" w14:paraId="140F5E58"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C0ABB31" w14:textId="77777777" w:rsidR="002520DA" w:rsidRPr="007C7CAE" w:rsidRDefault="002520DA" w:rsidP="00655722">
            <w:pPr>
              <w:numPr>
                <w:ilvl w:val="0"/>
                <w:numId w:val="73"/>
              </w:numPr>
            </w:pPr>
            <w:r w:rsidRPr="007C7CAE">
              <w:t>Government to start, as soon as possible and by no later than 31 March 2022, factoring target-consistent long-term abatement cost values into policy and investment analysis.</w:t>
            </w:r>
          </w:p>
          <w:p w14:paraId="52BC121A" w14:textId="77777777" w:rsidR="002520DA" w:rsidRPr="002520DA" w:rsidRDefault="002520DA" w:rsidP="00655722">
            <w:pPr>
              <w:numPr>
                <w:ilvl w:val="0"/>
                <w:numId w:val="73"/>
              </w:numPr>
            </w:pPr>
            <w:r w:rsidRPr="007C7CAE">
              <w:t>Government to publish, as soon as possible and by no later than 31 March 2022, how the COVID-19 economic stimulus is helping to accelerate the climate transition.</w:t>
            </w:r>
          </w:p>
        </w:tc>
      </w:tr>
    </w:tbl>
    <w:p w14:paraId="2CA302DA" w14:textId="3F3B9897" w:rsidR="002520DA" w:rsidRPr="002520DA" w:rsidRDefault="00CB24D5" w:rsidP="00B32286">
      <w:pPr>
        <w:pStyle w:val="Heading3"/>
      </w:pPr>
      <w:bookmarkStart w:id="239" w:name="_Toc62649374"/>
      <w:bookmarkStart w:id="240" w:name="_Toc62650315"/>
      <w:r>
        <w:t xml:space="preserve">6.2.5 </w:t>
      </w:r>
      <w:r w:rsidR="002520DA" w:rsidRPr="002520DA">
        <w:t>Building a Māori emissions profile</w:t>
      </w:r>
      <w:bookmarkEnd w:id="239"/>
      <w:bookmarkEnd w:id="240"/>
    </w:p>
    <w:p w14:paraId="04B13778" w14:textId="3ED98BD4" w:rsidR="002520DA" w:rsidRPr="002520DA" w:rsidRDefault="002520DA" w:rsidP="00B32286">
      <w:r w:rsidRPr="002520DA">
        <w:t>Our advice has relied heavily on the economic, social, cultural and environmental evidence and data available. Some sectors have a wealth of evidence and data, for example transport. In others the evidence and data available is old and inconsistent, for example land</w:t>
      </w:r>
      <w:r w:rsidR="00E55B73">
        <w:t>-</w:t>
      </w:r>
      <w:r w:rsidRPr="002520DA">
        <w:t xml:space="preserve">use classification data. </w:t>
      </w:r>
    </w:p>
    <w:p w14:paraId="1DA9BB01" w14:textId="77777777" w:rsidR="002520DA" w:rsidRPr="002520DA" w:rsidRDefault="002520DA" w:rsidP="00B32286">
      <w:r w:rsidRPr="002520DA">
        <w:t xml:space="preserve">Our advice is the first of its kind for Aotearoa, and we have discovered some gaps in the evidence and data needed to properly analyse the impacts and co-benefits of climate change policy that need to be addressed. </w:t>
      </w:r>
      <w:r w:rsidRPr="002520DA">
        <w:rPr>
          <w:rFonts w:ascii="Calibri" w:eastAsia="Calibri" w:hAnsi="Calibri" w:cs="Calibri"/>
          <w:color w:val="000000" w:themeColor="text1"/>
        </w:rPr>
        <w:t>A key gap relates to the Māori economy, which is an important aspect of Māori development and intergenerational sustainability and prosperity</w:t>
      </w:r>
      <w:r w:rsidRPr="002520DA">
        <w:t xml:space="preserve">. </w:t>
      </w:r>
    </w:p>
    <w:p w14:paraId="1377E8FC" w14:textId="28A61755" w:rsidR="002520DA" w:rsidRPr="002520DA" w:rsidRDefault="002520DA" w:rsidP="00B32286">
      <w:pPr>
        <w:rPr>
          <w:rFonts w:ascii="Calibri" w:eastAsia="Calibri" w:hAnsi="Calibri" w:cs="Calibri"/>
          <w:color w:val="000000" w:themeColor="text1"/>
        </w:rPr>
      </w:pPr>
      <w:r w:rsidRPr="002520DA">
        <w:t xml:space="preserve">The Māori asset base is estimated at $50 billion. </w:t>
      </w:r>
      <w:r w:rsidRPr="002520DA">
        <w:rPr>
          <w:rFonts w:ascii="Calibri" w:eastAsia="Calibri" w:hAnsi="Calibri" w:cs="Calibri"/>
          <w:color w:val="000000" w:themeColor="text1"/>
        </w:rPr>
        <w:t xml:space="preserve">Without a clear understanding of the current state of emissions from Māori-collectives or a Māori emissions profile, it will be hard to make sure that emissions budgets and efforts to reduce emissions are equitable. A Māori emissions profile would enable Māori-collectives to have oversight of and manage emissions collaboratively across their </w:t>
      </w:r>
      <w:proofErr w:type="spellStart"/>
      <w:r w:rsidRPr="002520DA">
        <w:rPr>
          <w:rFonts w:ascii="Calibri" w:eastAsia="Calibri" w:hAnsi="Calibri" w:cs="Calibri"/>
          <w:color w:val="000000" w:themeColor="text1"/>
        </w:rPr>
        <w:t>takiwā</w:t>
      </w:r>
      <w:proofErr w:type="spellEnd"/>
      <w:r w:rsidRPr="002520DA">
        <w:rPr>
          <w:rFonts w:ascii="Calibri" w:eastAsia="Calibri" w:hAnsi="Calibri" w:cs="Calibri"/>
          <w:color w:val="000000" w:themeColor="text1"/>
        </w:rPr>
        <w:t xml:space="preserve">, which would better enable the balancing of traditional concepts and practices of rangatiratanga/mana </w:t>
      </w:r>
      <w:proofErr w:type="spellStart"/>
      <w:r w:rsidRPr="002520DA">
        <w:rPr>
          <w:rFonts w:ascii="Calibri" w:eastAsia="Calibri" w:hAnsi="Calibri" w:cs="Calibri"/>
          <w:color w:val="000000" w:themeColor="text1"/>
        </w:rPr>
        <w:t>motuhake</w:t>
      </w:r>
      <w:proofErr w:type="spellEnd"/>
      <w:r w:rsidRPr="002520DA">
        <w:rPr>
          <w:rFonts w:ascii="Calibri" w:eastAsia="Calibri" w:hAnsi="Calibri" w:cs="Calibri"/>
          <w:color w:val="000000" w:themeColor="text1"/>
        </w:rPr>
        <w:t xml:space="preserve">, alongside contemporary cultural, social, and economic aspirations for iwi, </w:t>
      </w:r>
      <w:proofErr w:type="spellStart"/>
      <w:r w:rsidRPr="002520DA">
        <w:rPr>
          <w:rFonts w:ascii="Calibri" w:eastAsia="Calibri" w:hAnsi="Calibri" w:cs="Calibri"/>
          <w:color w:val="000000" w:themeColor="text1"/>
        </w:rPr>
        <w:t>hapū</w:t>
      </w:r>
      <w:proofErr w:type="spellEnd"/>
      <w:r w:rsidRPr="002520DA">
        <w:rPr>
          <w:rFonts w:ascii="Calibri" w:eastAsia="Calibri" w:hAnsi="Calibri" w:cs="Calibri"/>
          <w:color w:val="000000" w:themeColor="text1"/>
        </w:rPr>
        <w:t xml:space="preserve"> and </w:t>
      </w:r>
      <w:proofErr w:type="spellStart"/>
      <w:r w:rsidRPr="002520DA">
        <w:rPr>
          <w:rFonts w:ascii="Calibri" w:eastAsia="Calibri" w:hAnsi="Calibri" w:cs="Calibri"/>
          <w:color w:val="000000" w:themeColor="text1"/>
        </w:rPr>
        <w:t>whānau</w:t>
      </w:r>
      <w:proofErr w:type="spellEnd"/>
      <w:r w:rsidRPr="002520DA">
        <w:rPr>
          <w:rFonts w:ascii="Calibri" w:eastAsia="Calibri" w:hAnsi="Calibri" w:cs="Calibri"/>
          <w:color w:val="000000" w:themeColor="text1"/>
        </w:rPr>
        <w:t>.</w:t>
      </w:r>
    </w:p>
    <w:p w14:paraId="7A31DA4B" w14:textId="26184492" w:rsidR="002520DA" w:rsidRPr="002520DA" w:rsidRDefault="002520DA" w:rsidP="00B32286">
      <w:r w:rsidRPr="002520DA">
        <w:t>A</w:t>
      </w:r>
      <w:r w:rsidR="00F11B2F">
        <w:t>n</w:t>
      </w:r>
      <w:r w:rsidRPr="002520DA">
        <w:t xml:space="preserve"> attempt at estimating a Māori emissions profile by iwi </w:t>
      </w:r>
      <w:proofErr w:type="spellStart"/>
      <w:r w:rsidRPr="002520DA">
        <w:t>takiwā</w:t>
      </w:r>
      <w:proofErr w:type="spellEnd"/>
      <w:r w:rsidRPr="002520DA">
        <w:t xml:space="preserve"> could be achieved by Crown agencies working collaboratively to build on existing data, such as </w:t>
      </w:r>
      <w:proofErr w:type="spellStart"/>
      <w:r w:rsidRPr="002520DA">
        <w:t>Te</w:t>
      </w:r>
      <w:proofErr w:type="spellEnd"/>
      <w:r w:rsidRPr="002520DA">
        <w:t xml:space="preserve"> </w:t>
      </w:r>
      <w:proofErr w:type="spellStart"/>
      <w:r w:rsidRPr="002520DA">
        <w:t>Puni</w:t>
      </w:r>
      <w:proofErr w:type="spellEnd"/>
      <w:r w:rsidRPr="002520DA">
        <w:t xml:space="preserve"> </w:t>
      </w:r>
      <w:proofErr w:type="spellStart"/>
      <w:r w:rsidRPr="002520DA">
        <w:t>Kōkiri’s</w:t>
      </w:r>
      <w:proofErr w:type="spellEnd"/>
      <w:r w:rsidRPr="002520DA">
        <w:t xml:space="preserve"> </w:t>
      </w:r>
      <w:proofErr w:type="spellStart"/>
      <w:r w:rsidRPr="002520DA">
        <w:t>Toku</w:t>
      </w:r>
      <w:proofErr w:type="spellEnd"/>
      <w:r w:rsidRPr="002520DA">
        <w:t xml:space="preserve"> Whenua platform, to include additional data such as forestry site coverage, stocking rates and iwi/</w:t>
      </w:r>
      <w:proofErr w:type="spellStart"/>
      <w:r w:rsidRPr="002520DA">
        <w:t>tikaw</w:t>
      </w:r>
      <w:r w:rsidRPr="002520DA">
        <w:rPr>
          <w:rFonts w:ascii="Calibri" w:hAnsi="Calibri" w:cs="Calibri"/>
        </w:rPr>
        <w:t>ā</w:t>
      </w:r>
      <w:proofErr w:type="spellEnd"/>
      <w:r w:rsidRPr="002520DA">
        <w:rPr>
          <w:rFonts w:ascii="Calibri" w:hAnsi="Calibri" w:cs="Calibri"/>
        </w:rPr>
        <w:t xml:space="preserve"> boundaries</w:t>
      </w:r>
      <w:r w:rsidRPr="002520DA">
        <w:t xml:space="preserve">. </w:t>
      </w:r>
    </w:p>
    <w:p w14:paraId="65906BC6" w14:textId="77777777" w:rsidR="002520DA" w:rsidRDefault="002520DA" w:rsidP="00B32286">
      <w:r w:rsidRPr="002520DA">
        <w:t xml:space="preserve">The Government could then support iwi/Māori to stand up their own platform to effectively measure and monitor emissions within their </w:t>
      </w:r>
      <w:proofErr w:type="spellStart"/>
      <w:r w:rsidRPr="002520DA">
        <w:t>takiwā</w:t>
      </w:r>
      <w:proofErr w:type="spellEnd"/>
      <w:r w:rsidRPr="002520DA">
        <w:t xml:space="preserve">, and incorporate this information into planning and decision making. This would support </w:t>
      </w:r>
      <w:r w:rsidRPr="002520DA">
        <w:rPr>
          <w:rFonts w:eastAsia="Times New Roman"/>
        </w:rPr>
        <w:t>iwi/Māori-collectives to control their own emissions, and to demonstrate leadership and impact in achieving climate positive goals.</w:t>
      </w:r>
      <w:r w:rsidRPr="002520DA">
        <w:t xml:space="preserve"> Any platform would need to ensure iwi/Māori-collectives maintain mana </w:t>
      </w:r>
      <w:proofErr w:type="spellStart"/>
      <w:r w:rsidRPr="002520DA">
        <w:t>motuhake</w:t>
      </w:r>
      <w:proofErr w:type="spellEnd"/>
      <w:r w:rsidRPr="002520DA">
        <w:t xml:space="preserve"> (control and autonomy) over their data and information.</w:t>
      </w:r>
    </w:p>
    <w:tbl>
      <w:tblPr>
        <w:tblStyle w:val="GridTable4-Accent5"/>
        <w:tblW w:w="0" w:type="auto"/>
        <w:tblCellMar>
          <w:bottom w:w="57" w:type="dxa"/>
        </w:tblCellMar>
        <w:tblLook w:val="04A0" w:firstRow="1" w:lastRow="0" w:firstColumn="1" w:lastColumn="0" w:noHBand="0" w:noVBand="1"/>
      </w:tblPr>
      <w:tblGrid>
        <w:gridCol w:w="9016"/>
      </w:tblGrid>
      <w:tr w:rsidR="002520DA" w:rsidRPr="002520DA" w14:paraId="23CBBAD8"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08386EF" w14:textId="499714BC" w:rsidR="002520DA" w:rsidRPr="002520DA" w:rsidRDefault="003873D4" w:rsidP="002520DA">
            <w:pPr>
              <w:spacing w:before="0" w:after="0"/>
              <w:jc w:val="center"/>
              <w:rPr>
                <w:sz w:val="28"/>
                <w:szCs w:val="28"/>
              </w:rPr>
            </w:pPr>
            <w:r w:rsidRPr="003873D4">
              <w:rPr>
                <w:sz w:val="28"/>
                <w:szCs w:val="28"/>
              </w:rPr>
              <w:t>Necessary</w:t>
            </w:r>
            <w:r w:rsidR="002520DA" w:rsidRPr="002520DA">
              <w:rPr>
                <w:sz w:val="28"/>
                <w:szCs w:val="28"/>
              </w:rPr>
              <w:t xml:space="preserve"> action </w:t>
            </w:r>
            <w:r w:rsidR="003B15E6">
              <w:rPr>
                <w:sz w:val="28"/>
                <w:szCs w:val="28"/>
              </w:rPr>
              <w:t>18</w:t>
            </w:r>
          </w:p>
          <w:p w14:paraId="00DC7045" w14:textId="77777777" w:rsidR="002520DA" w:rsidRPr="007C7CAE" w:rsidRDefault="002520DA" w:rsidP="002520DA">
            <w:pPr>
              <w:spacing w:before="0" w:after="0"/>
              <w:jc w:val="center"/>
              <w:rPr>
                <w:b w:val="0"/>
                <w:bCs w:val="0"/>
                <w:sz w:val="26"/>
                <w:szCs w:val="26"/>
              </w:rPr>
            </w:pPr>
            <w:r w:rsidRPr="007C7CAE">
              <w:rPr>
                <w:b w:val="0"/>
                <w:bCs w:val="0"/>
                <w:sz w:val="26"/>
                <w:szCs w:val="26"/>
              </w:rPr>
              <w:t>Building a M</w:t>
            </w:r>
            <w:r w:rsidRPr="007C7CAE">
              <w:rPr>
                <w:rFonts w:ascii="Calibri" w:hAnsi="Calibri" w:cs="Calibri"/>
                <w:b w:val="0"/>
                <w:sz w:val="26"/>
                <w:szCs w:val="26"/>
              </w:rPr>
              <w:t>āori emissions profile</w:t>
            </w:r>
          </w:p>
        </w:tc>
      </w:tr>
      <w:tr w:rsidR="002520DA" w:rsidRPr="002520DA" w14:paraId="77515612"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Mar>
              <w:top w:w="57" w:type="dxa"/>
              <w:bottom w:w="57" w:type="dxa"/>
            </w:tcMar>
          </w:tcPr>
          <w:p w14:paraId="59CBB7A7" w14:textId="00DB2ABC" w:rsidR="002520DA" w:rsidRPr="004038BD" w:rsidRDefault="002520DA" w:rsidP="002520DA">
            <w:pPr>
              <w:spacing w:before="120"/>
            </w:pPr>
            <w:r w:rsidRPr="004038BD">
              <w:t xml:space="preserve">We recommend that, in the first budget period the Government facilitate a programme and direct funding to support Māori-collectives (particularly at an iwi level) to capture and record their own emissions profile within their respective </w:t>
            </w:r>
            <w:proofErr w:type="spellStart"/>
            <w:r w:rsidRPr="004038BD">
              <w:t>takiwā</w:t>
            </w:r>
            <w:proofErr w:type="spellEnd"/>
            <w:r w:rsidRPr="004038BD">
              <w:t>. This will give effect to rangatiratanga by enabling iwi/Māori-collectives to effectively manage and monitor their emissions and enhance intergenerational planning.</w:t>
            </w:r>
          </w:p>
        </w:tc>
      </w:tr>
    </w:tbl>
    <w:p w14:paraId="065FF551" w14:textId="551E67F1" w:rsidR="002520DA" w:rsidRPr="002520DA" w:rsidRDefault="00CB24D5" w:rsidP="00B32286">
      <w:pPr>
        <w:pStyle w:val="Heading3"/>
      </w:pPr>
      <w:bookmarkStart w:id="241" w:name="_Toc62649375"/>
      <w:bookmarkStart w:id="242" w:name="_Toc62650316"/>
      <w:r>
        <w:lastRenderedPageBreak/>
        <w:t xml:space="preserve">6.2.6 </w:t>
      </w:r>
      <w:r w:rsidR="002520DA" w:rsidRPr="002520DA">
        <w:t>Strengthen market incentives to drive low emissions choices</w:t>
      </w:r>
      <w:bookmarkEnd w:id="241"/>
      <w:bookmarkEnd w:id="242"/>
    </w:p>
    <w:p w14:paraId="2A52D2CF" w14:textId="77777777" w:rsidR="002520DA" w:rsidRPr="002520DA" w:rsidRDefault="002520DA" w:rsidP="00B32286">
      <w:r w:rsidRPr="002520DA">
        <w:t xml:space="preserve">Emissions pricing is a powerful tool, and an essential component of an effective policy package for reducing emissions. In Aotearoa, the main emissions pricing instrument is the New Zealand Emissions Trading Scheme (NZ ETS). </w:t>
      </w:r>
    </w:p>
    <w:p w14:paraId="466E1362" w14:textId="77777777" w:rsidR="002520DA" w:rsidRPr="002520DA" w:rsidRDefault="002520DA" w:rsidP="00B32286">
      <w:r w:rsidRPr="002520DA">
        <w:t xml:space="preserve">The NZ ETS will need adjusting on an ongoing basis to keep it fit for purpose. Since 2016, a series of reforms have been undertaken. The NZ ETS now has much of the architecture it needs to be effective, but further improvements are needed, detailed below. </w:t>
      </w:r>
    </w:p>
    <w:p w14:paraId="07EA7BAF" w14:textId="77777777" w:rsidR="002520DA" w:rsidRPr="002520DA" w:rsidRDefault="002520DA" w:rsidP="00B32286">
      <w:pPr>
        <w:pStyle w:val="Heading4"/>
      </w:pPr>
      <w:r w:rsidRPr="002520DA">
        <w:t>Adjust ETS unit volumes and price control settings to align with budgets</w:t>
      </w:r>
    </w:p>
    <w:p w14:paraId="5978CADA" w14:textId="6F18942C" w:rsidR="003C74BF" w:rsidRPr="00B47F5B" w:rsidRDefault="003C74BF" w:rsidP="003C74BF">
      <w:pPr>
        <w:rPr>
          <w:bCs/>
        </w:rPr>
      </w:pPr>
      <w:r w:rsidRPr="00B47F5B">
        <w:rPr>
          <w:bCs/>
        </w:rPr>
        <w:t xml:space="preserve">The Commission’s recommended emissions budgets differ from the provisional emissions budget that was used to inform NZ ETS unit supply and price control settings for 2021-2025. In 2021, these settings must be updated to cover the 2022-2026 period. They include the volume of units to be auctioned in the NZ ETS as well as the auction reserve and cost containment reserve </w:t>
      </w:r>
      <w:r>
        <w:rPr>
          <w:bCs/>
        </w:rPr>
        <w:t xml:space="preserve">trigger </w:t>
      </w:r>
      <w:r w:rsidRPr="00B47F5B">
        <w:rPr>
          <w:bCs/>
        </w:rPr>
        <w:t>price</w:t>
      </w:r>
      <w:r>
        <w:rPr>
          <w:bCs/>
        </w:rPr>
        <w:t>s</w:t>
      </w:r>
      <w:r w:rsidRPr="00B47F5B">
        <w:rPr>
          <w:bCs/>
        </w:rPr>
        <w:t>, which start at $20 and $50 respectively in 2021.</w:t>
      </w:r>
    </w:p>
    <w:p w14:paraId="0A0AFFD7" w14:textId="35446F3D" w:rsidR="003C74BF" w:rsidRDefault="003C74BF" w:rsidP="003C74BF">
      <w:pPr>
        <w:rPr>
          <w:bCs/>
        </w:rPr>
      </w:pPr>
      <w:r w:rsidRPr="00B47F5B">
        <w:rPr>
          <w:bCs/>
        </w:rPr>
        <w:t xml:space="preserve">The Commission’s modelling </w:t>
      </w:r>
      <w:r>
        <w:rPr>
          <w:bCs/>
        </w:rPr>
        <w:t xml:space="preserve">indicates </w:t>
      </w:r>
      <w:r w:rsidRPr="00B47F5B">
        <w:rPr>
          <w:bCs/>
        </w:rPr>
        <w:t xml:space="preserve">that meeting the 2050 target will involve marginal abatement costs higher </w:t>
      </w:r>
      <w:r>
        <w:rPr>
          <w:bCs/>
        </w:rPr>
        <w:t xml:space="preserve">than </w:t>
      </w:r>
      <w:r w:rsidRPr="00B47F5B">
        <w:rPr>
          <w:bCs/>
        </w:rPr>
        <w:t>the</w:t>
      </w:r>
      <w:r>
        <w:rPr>
          <w:bCs/>
        </w:rPr>
        <w:t>se</w:t>
      </w:r>
      <w:r w:rsidRPr="00B47F5B">
        <w:rPr>
          <w:bCs/>
        </w:rPr>
        <w:t xml:space="preserve"> NZ ETS</w:t>
      </w:r>
      <w:r>
        <w:rPr>
          <w:bCs/>
        </w:rPr>
        <w:t xml:space="preserve"> auction</w:t>
      </w:r>
      <w:r w:rsidRPr="00B47F5B">
        <w:rPr>
          <w:bCs/>
        </w:rPr>
        <w:t xml:space="preserve"> price control settings</w:t>
      </w:r>
      <w:r>
        <w:rPr>
          <w:bCs/>
        </w:rPr>
        <w:t>, at around $140 in 2030</w:t>
      </w:r>
      <w:r w:rsidRPr="00B47F5B">
        <w:rPr>
          <w:bCs/>
        </w:rPr>
        <w:t>.</w:t>
      </w:r>
      <w:r>
        <w:rPr>
          <w:bCs/>
        </w:rPr>
        <w:t xml:space="preserve"> In addition to this indicative upper value, our evidence suggests that in process heat, a sector where an emissions price can be expected to play an important role in driving decarbonisation, significant opportunities exist at costs from around $50 upwards. </w:t>
      </w:r>
    </w:p>
    <w:p w14:paraId="376777CD" w14:textId="6EAD5DFD" w:rsidR="002D1713" w:rsidRDefault="002D1713" w:rsidP="002D1713">
      <w:pPr>
        <w:rPr>
          <w:bCs/>
        </w:rPr>
      </w:pPr>
      <w:r>
        <w:rPr>
          <w:bCs/>
        </w:rPr>
        <w:t>These costs should not be interpreted as a forecast of the NZ ETS market prices. The prices observed in the NZ ETS will depend on the mix of policies implemented to meet emissions budgets.</w:t>
      </w:r>
      <w:r w:rsidRPr="00B47F5B">
        <w:rPr>
          <w:bCs/>
        </w:rPr>
        <w:t xml:space="preserve"> The more that </w:t>
      </w:r>
      <w:r>
        <w:rPr>
          <w:bCs/>
        </w:rPr>
        <w:t xml:space="preserve">the Government chooses to complement the </w:t>
      </w:r>
      <w:r w:rsidRPr="00B47F5B">
        <w:rPr>
          <w:bCs/>
        </w:rPr>
        <w:t xml:space="preserve">NZ ETS </w:t>
      </w:r>
      <w:r>
        <w:rPr>
          <w:bCs/>
        </w:rPr>
        <w:t xml:space="preserve">with other </w:t>
      </w:r>
      <w:r w:rsidRPr="00B47F5B">
        <w:rPr>
          <w:bCs/>
        </w:rPr>
        <w:t xml:space="preserve">policies, the more likely it is that the NZU price in the NZ ETS can be lower while still achieving the same overall emissions reductions. </w:t>
      </w:r>
    </w:p>
    <w:p w14:paraId="2025AD90" w14:textId="68EC3B50" w:rsidR="003C74BF" w:rsidRDefault="003C74BF" w:rsidP="003C74BF">
      <w:pPr>
        <w:rPr>
          <w:bCs/>
        </w:rPr>
      </w:pPr>
      <w:r>
        <w:rPr>
          <w:bCs/>
        </w:rPr>
        <w:t>R</w:t>
      </w:r>
      <w:r w:rsidRPr="00B47F5B">
        <w:rPr>
          <w:bCs/>
        </w:rPr>
        <w:t xml:space="preserve">egardless of the policy combination </w:t>
      </w:r>
      <w:r>
        <w:rPr>
          <w:bCs/>
        </w:rPr>
        <w:t>chosen</w:t>
      </w:r>
      <w:r w:rsidRPr="00B47F5B">
        <w:rPr>
          <w:bCs/>
        </w:rPr>
        <w:t xml:space="preserve">, the </w:t>
      </w:r>
      <w:r>
        <w:rPr>
          <w:bCs/>
        </w:rPr>
        <w:t xml:space="preserve">auction reserve and cost containment reserve </w:t>
      </w:r>
      <w:r w:rsidRPr="00B47F5B">
        <w:rPr>
          <w:bCs/>
        </w:rPr>
        <w:t xml:space="preserve">price </w:t>
      </w:r>
      <w:r>
        <w:rPr>
          <w:bCs/>
        </w:rPr>
        <w:t xml:space="preserve">triggers </w:t>
      </w:r>
      <w:r w:rsidRPr="00B47F5B">
        <w:rPr>
          <w:bCs/>
        </w:rPr>
        <w:t>in the NZ ETS need to be higher</w:t>
      </w:r>
      <w:r>
        <w:rPr>
          <w:bCs/>
        </w:rPr>
        <w:t xml:space="preserve">. The price corridor they signal should be sufficiently wide to allow price discovery by the market to occur and factor in inflation to prevent the price levels from eroding in real terms. </w:t>
      </w:r>
    </w:p>
    <w:p w14:paraId="608036AA" w14:textId="17DDB4E8" w:rsidR="003C74BF" w:rsidRDefault="003C74BF" w:rsidP="003C74BF">
      <w:pPr>
        <w:rPr>
          <w:bCs/>
        </w:rPr>
      </w:pPr>
      <w:r>
        <w:rPr>
          <w:bCs/>
        </w:rPr>
        <w:t xml:space="preserve">The NZ ETS cost containment reserve trigger price should be set well above expected market prices. An initial step up in value, to mitigate risks that it will be triggered and add to the NZU stockpile, should be followed by annual increases to give a trajectory that allows for prices </w:t>
      </w:r>
      <w:r w:rsidR="00EC0218">
        <w:rPr>
          <w:bCs/>
        </w:rPr>
        <w:t xml:space="preserve">of </w:t>
      </w:r>
      <w:r>
        <w:rPr>
          <w:bCs/>
        </w:rPr>
        <w:t>at least $140 in 2030</w:t>
      </w:r>
      <w:r w:rsidRPr="00B47F5B">
        <w:rPr>
          <w:bCs/>
        </w:rPr>
        <w:t>.</w:t>
      </w:r>
      <w:r>
        <w:rPr>
          <w:bCs/>
        </w:rPr>
        <w:t xml:space="preserve"> </w:t>
      </w:r>
    </w:p>
    <w:p w14:paraId="31BE114B" w14:textId="4D28AFB7" w:rsidR="003C74BF" w:rsidRDefault="003C74BF" w:rsidP="003C74BF">
      <w:pPr>
        <w:rPr>
          <w:bCs/>
        </w:rPr>
      </w:pPr>
      <w:r>
        <w:rPr>
          <w:bCs/>
        </w:rPr>
        <w:t xml:space="preserve">The auction reserve price trigger should also step up, to a higher value closer to recent market prices, to ensure price continuity and to safeguard existing investments (we note the afforestation levels in our modelling are based on an assumed emissions price of $35). The annual increases after this can be more moderate than those to the cost containment reserve trigger price, to manage risks of creating unintended speculative opportunities. </w:t>
      </w:r>
    </w:p>
    <w:p w14:paraId="63AA358C" w14:textId="2CE9D44D" w:rsidR="003C74BF" w:rsidRPr="00B47F5B" w:rsidRDefault="003C74BF" w:rsidP="003C74BF">
      <w:pPr>
        <w:rPr>
          <w:bCs/>
        </w:rPr>
      </w:pPr>
      <w:r w:rsidRPr="00B47F5B">
        <w:rPr>
          <w:bCs/>
        </w:rPr>
        <w:t>The unit volumes making up the NZ ETS cap, including the amount of units to be auctioned, will also need to be updated to reflect the first and second emissions budgets.</w:t>
      </w:r>
      <w:r>
        <w:rPr>
          <w:bCs/>
        </w:rPr>
        <w:t xml:space="preserve"> Both unit volume and price control settings should continue to factor in the need to reduce the NZU stockpile. </w:t>
      </w:r>
    </w:p>
    <w:p w14:paraId="22BAA22F" w14:textId="77777777" w:rsidR="002520DA" w:rsidRPr="002520DA" w:rsidRDefault="002520DA" w:rsidP="00B32286">
      <w:r w:rsidRPr="00AC1D3C">
        <w:rPr>
          <w:bCs/>
        </w:rPr>
        <w:lastRenderedPageBreak/>
        <w:t xml:space="preserve">The current framework for incentivising forests through the NZ ETS also does not align with our recommended focus on driving gross emissions reductions and a change in the balance of exotic versus native afforestation. </w:t>
      </w:r>
    </w:p>
    <w:p w14:paraId="2AD5C34D" w14:textId="77777777" w:rsidR="002520DA" w:rsidRPr="002520DA" w:rsidRDefault="002520DA" w:rsidP="00B32286">
      <w:pPr>
        <w:pStyle w:val="Heading4"/>
      </w:pPr>
      <w:r w:rsidRPr="002520DA">
        <w:t>Improve ETS market governance</w:t>
      </w:r>
    </w:p>
    <w:p w14:paraId="65B23D95" w14:textId="79A1890C" w:rsidR="002520DA" w:rsidRPr="002520DA" w:rsidRDefault="002520DA" w:rsidP="00B32286">
      <w:r w:rsidRPr="002520DA">
        <w:t>Good governance of the NZ ETS is important for the integrity and efficiency of market trading and to reduce the risks of misconduct.</w:t>
      </w:r>
    </w:p>
    <w:p w14:paraId="01F16A74" w14:textId="21825921" w:rsidR="002520DA" w:rsidRPr="002520DA" w:rsidRDefault="002520DA" w:rsidP="00B32286">
      <w:r w:rsidRPr="002520DA">
        <w:t xml:space="preserve">The </w:t>
      </w:r>
      <w:r w:rsidR="00CD3624">
        <w:t>G</w:t>
      </w:r>
      <w:r w:rsidRPr="002520DA">
        <w:t>overnment has recognised that the regulatory framework governing conduct in the NZ ETS market is patchy and incomplete. It has established a work programme to address the lack of good governance and associated risks, which include insider trading, market manipulation, false or misleading advice to participants, potential lack of transparency and oversight of trades in the secondary market, money laundering, credit and counter-party risks and conflicts of interest.</w:t>
      </w:r>
    </w:p>
    <w:p w14:paraId="258D9825" w14:textId="77777777" w:rsidR="002520DA" w:rsidRPr="002520DA" w:rsidRDefault="002520DA" w:rsidP="00B32286">
      <w:pPr>
        <w:pStyle w:val="Heading4"/>
      </w:pPr>
      <w:r w:rsidRPr="002520DA">
        <w:t>Other ETS-related issues</w:t>
      </w:r>
    </w:p>
    <w:p w14:paraId="4412792B" w14:textId="77777777" w:rsidR="002520DA" w:rsidRPr="002520DA" w:rsidRDefault="002520DA" w:rsidP="00B32286">
      <w:r w:rsidRPr="002520DA">
        <w:t>There are a range of other NZ ETS-related issues that also need progressing, though these are not as critical as the two noted above. These include:</w:t>
      </w:r>
    </w:p>
    <w:p w14:paraId="13BF3A2B" w14:textId="17B6363D" w:rsidR="002520DA" w:rsidRPr="002520DA" w:rsidRDefault="002520DA" w:rsidP="00655722">
      <w:pPr>
        <w:pStyle w:val="ListParagraph"/>
        <w:numPr>
          <w:ilvl w:val="0"/>
          <w:numId w:val="39"/>
        </w:numPr>
        <w:spacing w:before="60"/>
        <w:ind w:left="714" w:hanging="357"/>
        <w:contextualSpacing w:val="0"/>
      </w:pPr>
      <w:r w:rsidRPr="002520DA">
        <w:t>Considering options for recycling some or all of the cash generated from NZ ETS unit auctions. For example, these proceeds could be invested in emissions reductions, assisting communities or local authorities with adapting to the impacts of climate change, equitable transitions or helping Aotearoa to meet its NDC.</w:t>
      </w:r>
    </w:p>
    <w:p w14:paraId="2A274B67" w14:textId="77777777" w:rsidR="002520DA" w:rsidRPr="002520DA" w:rsidRDefault="002520DA" w:rsidP="00655722">
      <w:pPr>
        <w:pStyle w:val="ListParagraph"/>
        <w:numPr>
          <w:ilvl w:val="0"/>
          <w:numId w:val="39"/>
        </w:numPr>
        <w:spacing w:before="60"/>
        <w:ind w:left="714" w:hanging="357"/>
        <w:contextualSpacing w:val="0"/>
      </w:pPr>
      <w:r w:rsidRPr="002520DA">
        <w:t xml:space="preserve">Undertaking a first principles review of industrial allocation policy, considering the fundamental design of the current policy as well as overallocation risks, eligibility rules, updates to the Electricity Allocation Factor and allocative baselines. </w:t>
      </w:r>
    </w:p>
    <w:p w14:paraId="408488B5" w14:textId="09CF3717" w:rsidR="002520DA" w:rsidRPr="002520DA" w:rsidRDefault="002520DA" w:rsidP="00655722">
      <w:pPr>
        <w:pStyle w:val="ListParagraph"/>
        <w:numPr>
          <w:ilvl w:val="0"/>
          <w:numId w:val="39"/>
        </w:numPr>
        <w:spacing w:before="60"/>
        <w:ind w:left="714" w:hanging="357"/>
        <w:contextualSpacing w:val="0"/>
      </w:pPr>
      <w:r w:rsidRPr="002520DA">
        <w:t xml:space="preserve">Continuing to phase out industrial allocation. </w:t>
      </w:r>
    </w:p>
    <w:p w14:paraId="377D5CE0" w14:textId="77777777" w:rsidR="002520DA" w:rsidRPr="002520DA" w:rsidRDefault="002520DA" w:rsidP="00655722">
      <w:pPr>
        <w:pStyle w:val="ListParagraph"/>
        <w:numPr>
          <w:ilvl w:val="0"/>
          <w:numId w:val="39"/>
        </w:numPr>
        <w:spacing w:before="60"/>
        <w:ind w:left="714" w:hanging="357"/>
        <w:contextualSpacing w:val="0"/>
      </w:pPr>
      <w:r w:rsidRPr="002520DA">
        <w:t xml:space="preserve">Exploring alternative policy instruments that could address the risk of emissions leakage, such as product standards, consumption taxes and border carbon adjustments. </w:t>
      </w:r>
    </w:p>
    <w:p w14:paraId="5F60BE09" w14:textId="34728D7E" w:rsidR="002520DA" w:rsidRPr="002520DA" w:rsidRDefault="002520DA" w:rsidP="00655722">
      <w:pPr>
        <w:pStyle w:val="ListParagraph"/>
        <w:numPr>
          <w:ilvl w:val="0"/>
          <w:numId w:val="39"/>
        </w:numPr>
        <w:spacing w:before="60"/>
        <w:ind w:left="714" w:hanging="357"/>
        <w:contextualSpacing w:val="0"/>
      </w:pPr>
      <w:r w:rsidRPr="002520DA">
        <w:t>Providing more information to reduce uncertainty about adjustments to NZ ETS settings, to build confidence in the market and support informed decision</w:t>
      </w:r>
      <w:r w:rsidR="002868F5">
        <w:t xml:space="preserve"> </w:t>
      </w:r>
      <w:r w:rsidRPr="002520DA">
        <w:t>making by market participants. In particular, it would be useful for the Government to clarify how it intends to manage NZ ETS unit volumes in light of the split-gas 2050 target and the planned inclusion of biogenic agricultural emissions in a separate pricing mechanism. One option the Government could consider would be to outline its approach to making adjustments over time in a published document or policy. This would help to reduce uncertainty about future unit supply and expectations of prices.</w:t>
      </w:r>
    </w:p>
    <w:p w14:paraId="1D67561C" w14:textId="561C78F9" w:rsidR="002520DA" w:rsidRPr="002520DA" w:rsidRDefault="002520DA" w:rsidP="00655722">
      <w:pPr>
        <w:pStyle w:val="ListParagraph"/>
        <w:numPr>
          <w:ilvl w:val="0"/>
          <w:numId w:val="39"/>
        </w:numPr>
        <w:spacing w:before="60"/>
        <w:ind w:left="714" w:hanging="357"/>
        <w:contextualSpacing w:val="0"/>
      </w:pPr>
      <w:r w:rsidRPr="002520DA">
        <w:t xml:space="preserve">Clarifying the role and avenues for voluntary mitigation in Aotearoa. Some individuals and businesses wish to undertake voluntary action to contribute towards or beyond meeting </w:t>
      </w:r>
      <w:r w:rsidR="00B51156">
        <w:t>the country’s</w:t>
      </w:r>
      <w:r w:rsidR="00B51156" w:rsidRPr="002520DA">
        <w:t xml:space="preserve"> </w:t>
      </w:r>
      <w:r w:rsidRPr="002520DA">
        <w:t>emission</w:t>
      </w:r>
      <w:r w:rsidR="00B51156">
        <w:t xml:space="preserve"> </w:t>
      </w:r>
      <w:r w:rsidRPr="002520DA">
        <w:t xml:space="preserve">reduction targets. Failure to leverage this desire for voluntary action </w:t>
      </w:r>
      <w:r w:rsidR="0AA2F6D2">
        <w:t xml:space="preserve">in addition to </w:t>
      </w:r>
      <w:r w:rsidR="78ED2135">
        <w:t>government policy</w:t>
      </w:r>
      <w:r w:rsidR="55F47ADB">
        <w:t xml:space="preserve"> </w:t>
      </w:r>
      <w:r w:rsidRPr="002520DA">
        <w:t xml:space="preserve">would be a missed opportunity </w:t>
      </w:r>
      <w:r w:rsidR="3BE9C31C">
        <w:t xml:space="preserve">to deliver further </w:t>
      </w:r>
      <w:r w:rsidRPr="002520DA">
        <w:t xml:space="preserve">for climate benefits. </w:t>
      </w:r>
      <w:r w:rsidR="0DA93536">
        <w:t>This also n</w:t>
      </w:r>
      <w:r w:rsidR="7E65D524">
        <w:t xml:space="preserve">eeds to take into account the accounting issues connected with voluntary offsetting and carbon neutral claims, which </w:t>
      </w:r>
      <w:r w:rsidR="003C74BF">
        <w:t>are</w:t>
      </w:r>
      <w:r w:rsidR="7E65D524">
        <w:t xml:space="preserve"> discussed further in chapter 7 on the rules for measuring progress.</w:t>
      </w:r>
      <w:r w:rsidR="0DA93536">
        <w:t xml:space="preserve"> </w:t>
      </w:r>
    </w:p>
    <w:p w14:paraId="205F26CC" w14:textId="1B19CA9E" w:rsidR="002520DA" w:rsidRPr="002520DA" w:rsidRDefault="007B4DBD">
      <w:pPr>
        <w:spacing w:before="0" w:after="160"/>
        <w:rPr>
          <w:bCs/>
        </w:rPr>
      </w:pPr>
      <w:r>
        <w:rPr>
          <w:bCs/>
        </w:rPr>
        <w:br w:type="page"/>
      </w:r>
    </w:p>
    <w:tbl>
      <w:tblPr>
        <w:tblStyle w:val="GridTable4-Accent2"/>
        <w:tblW w:w="0" w:type="auto"/>
        <w:tblCellMar>
          <w:bottom w:w="57" w:type="dxa"/>
        </w:tblCellMar>
        <w:tblLook w:val="04A0" w:firstRow="1" w:lastRow="0" w:firstColumn="1" w:lastColumn="0" w:noHBand="0" w:noVBand="1"/>
      </w:tblPr>
      <w:tblGrid>
        <w:gridCol w:w="9016"/>
      </w:tblGrid>
      <w:tr w:rsidR="002520DA" w:rsidRPr="002520DA" w14:paraId="0039C670"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D60238B" w14:textId="7675A473" w:rsidR="002520DA" w:rsidRPr="002520DA" w:rsidRDefault="002520DA" w:rsidP="002520DA">
            <w:pPr>
              <w:spacing w:before="0" w:after="0"/>
              <w:jc w:val="center"/>
              <w:rPr>
                <w:color w:val="000000" w:themeColor="text1"/>
                <w:sz w:val="24"/>
                <w:szCs w:val="24"/>
                <w:lang w:val="en-US"/>
              </w:rPr>
            </w:pPr>
            <w:r w:rsidRPr="002520DA">
              <w:rPr>
                <w:sz w:val="28"/>
                <w:szCs w:val="28"/>
              </w:rPr>
              <w:lastRenderedPageBreak/>
              <w:t>Time</w:t>
            </w:r>
            <w:r w:rsidR="00DE4485" w:rsidRPr="00DE4485">
              <w:rPr>
                <w:sz w:val="28"/>
                <w:szCs w:val="28"/>
              </w:rPr>
              <w:t>-</w:t>
            </w:r>
            <w:r w:rsidRPr="002520DA">
              <w:rPr>
                <w:sz w:val="28"/>
                <w:szCs w:val="28"/>
              </w:rPr>
              <w:t xml:space="preserve">critical </w:t>
            </w:r>
            <w:r w:rsidR="00DE4485" w:rsidRPr="00DE4485">
              <w:rPr>
                <w:sz w:val="28"/>
                <w:szCs w:val="28"/>
              </w:rPr>
              <w:t>necessary action</w:t>
            </w:r>
            <w:r w:rsidRPr="002520DA">
              <w:rPr>
                <w:sz w:val="28"/>
                <w:szCs w:val="28"/>
              </w:rPr>
              <w:t xml:space="preserve"> </w:t>
            </w:r>
            <w:r w:rsidR="00831465">
              <w:rPr>
                <w:sz w:val="28"/>
                <w:szCs w:val="28"/>
              </w:rPr>
              <w:t>7</w:t>
            </w:r>
          </w:p>
          <w:p w14:paraId="6C40779E" w14:textId="0D0ABABC" w:rsidR="002520DA" w:rsidRPr="007C7CAE" w:rsidRDefault="002520DA" w:rsidP="002520DA">
            <w:pPr>
              <w:spacing w:before="0" w:after="0"/>
              <w:jc w:val="center"/>
              <w:rPr>
                <w:b w:val="0"/>
                <w:bCs w:val="0"/>
                <w:sz w:val="28"/>
                <w:szCs w:val="28"/>
              </w:rPr>
            </w:pPr>
            <w:r w:rsidRPr="007C7CAE">
              <w:rPr>
                <w:b w:val="0"/>
                <w:bCs w:val="0"/>
                <w:sz w:val="28"/>
                <w:szCs w:val="28"/>
              </w:rPr>
              <w:t>Driving low emission</w:t>
            </w:r>
            <w:r w:rsidR="00BA2358">
              <w:rPr>
                <w:b w:val="0"/>
                <w:bCs w:val="0"/>
                <w:sz w:val="28"/>
                <w:szCs w:val="28"/>
              </w:rPr>
              <w:t>s</w:t>
            </w:r>
            <w:r w:rsidRPr="007C7CAE">
              <w:rPr>
                <w:b w:val="0"/>
                <w:bCs w:val="0"/>
                <w:sz w:val="28"/>
                <w:szCs w:val="28"/>
              </w:rPr>
              <w:t xml:space="preserve"> choices through the </w:t>
            </w:r>
            <w:r w:rsidR="00ED55CE">
              <w:rPr>
                <w:b w:val="0"/>
                <w:bCs w:val="0"/>
                <w:sz w:val="28"/>
                <w:szCs w:val="28"/>
              </w:rPr>
              <w:t xml:space="preserve">NZ </w:t>
            </w:r>
            <w:r w:rsidRPr="007C7CAE">
              <w:rPr>
                <w:b w:val="0"/>
                <w:bCs w:val="0"/>
                <w:sz w:val="28"/>
                <w:szCs w:val="28"/>
              </w:rPr>
              <w:t>ETS</w:t>
            </w:r>
          </w:p>
        </w:tc>
      </w:tr>
      <w:tr w:rsidR="002520DA" w:rsidRPr="002520DA" w14:paraId="71072289"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37E68AA" w14:textId="1D59CC1D" w:rsidR="002520DA" w:rsidRPr="007C7CAE" w:rsidRDefault="002520DA" w:rsidP="002520DA">
            <w:r w:rsidRPr="007C7CAE">
              <w:t>The Emissions Trading Scheme (</w:t>
            </w:r>
            <w:r w:rsidR="004250ED">
              <w:t xml:space="preserve">NZ </w:t>
            </w:r>
            <w:r w:rsidRPr="007C7CAE">
              <w:t xml:space="preserve">ETS) needs to drive low emissions choices consistent with </w:t>
            </w:r>
            <w:r w:rsidR="00807C30">
              <w:t xml:space="preserve">emissions reduction </w:t>
            </w:r>
            <w:r w:rsidRPr="007C7CAE">
              <w:t>targets</w:t>
            </w:r>
            <w:r w:rsidR="00807C30">
              <w:t xml:space="preserve"> in Aotearoa</w:t>
            </w:r>
            <w:r w:rsidRPr="007C7CAE">
              <w:t>, including a focus on gross emissions reductions. In the first budget period the Government should:</w:t>
            </w:r>
          </w:p>
          <w:p w14:paraId="63822184" w14:textId="61678E74" w:rsidR="002520DA" w:rsidRPr="00395EF2" w:rsidRDefault="002520DA" w:rsidP="00655722">
            <w:pPr>
              <w:pStyle w:val="ListParagraph"/>
              <w:numPr>
                <w:ilvl w:val="0"/>
                <w:numId w:val="77"/>
              </w:numPr>
            </w:pPr>
            <w:r w:rsidRPr="00395EF2">
              <w:t xml:space="preserve">In the next annual update to </w:t>
            </w:r>
            <w:r w:rsidR="004250ED" w:rsidRPr="00395EF2">
              <w:t>NZ</w:t>
            </w:r>
            <w:r w:rsidR="00785D4C" w:rsidRPr="00395EF2">
              <w:t xml:space="preserve"> </w:t>
            </w:r>
            <w:r w:rsidRPr="00395EF2">
              <w:t>ETS settings: </w:t>
            </w:r>
          </w:p>
          <w:p w14:paraId="124CB26D" w14:textId="77777777" w:rsidR="002520DA" w:rsidRPr="007C7CAE" w:rsidRDefault="002520DA" w:rsidP="00655722">
            <w:pPr>
              <w:numPr>
                <w:ilvl w:val="1"/>
                <w:numId w:val="45"/>
              </w:numPr>
            </w:pPr>
            <w:r w:rsidRPr="007C7CAE">
              <w:t>Align unit volumes with emissions budgets, taking into account the need to reduce the NZU stockpile. </w:t>
            </w:r>
          </w:p>
          <w:p w14:paraId="0BF7B435" w14:textId="067C663A" w:rsidR="003C74BF" w:rsidRPr="007C7CAE" w:rsidRDefault="003C74BF" w:rsidP="00655722">
            <w:pPr>
              <w:numPr>
                <w:ilvl w:val="1"/>
                <w:numId w:val="45"/>
              </w:numPr>
            </w:pPr>
            <w:r w:rsidRPr="007C7CAE">
              <w:t xml:space="preserve">Increase the cost containment reserve trigger price </w:t>
            </w:r>
            <w:r>
              <w:t xml:space="preserve">to $70 as soon as practical and then every year </w:t>
            </w:r>
            <w:r w:rsidRPr="007C7CAE">
              <w:t xml:space="preserve">by at </w:t>
            </w:r>
            <w:r w:rsidRPr="00635DC2">
              <w:t>least 10% plus inflation</w:t>
            </w:r>
            <w:r w:rsidRPr="007C7CAE">
              <w:t>.</w:t>
            </w:r>
          </w:p>
          <w:p w14:paraId="38C91A0A" w14:textId="77777777" w:rsidR="003C74BF" w:rsidRPr="00635DC2" w:rsidRDefault="003C74BF" w:rsidP="00655722">
            <w:pPr>
              <w:numPr>
                <w:ilvl w:val="1"/>
                <w:numId w:val="45"/>
              </w:numPr>
            </w:pPr>
            <w:r w:rsidRPr="007C7CAE">
              <w:t xml:space="preserve">To maintain continuity with recent prices, immediately increase the auction reserve trigger </w:t>
            </w:r>
            <w:r w:rsidRPr="00635DC2">
              <w:t>price to $30 as soon as practical, followed by annual increases of 5% plus inflation per year. </w:t>
            </w:r>
          </w:p>
          <w:p w14:paraId="532602B0" w14:textId="77777777" w:rsidR="002520DA" w:rsidRPr="007C7CAE" w:rsidRDefault="002520DA" w:rsidP="002520DA">
            <w:r w:rsidRPr="007C7CAE">
              <w:t>These changes are needed because maintaining current settings will lead to failure to meet emissions budgets. </w:t>
            </w:r>
          </w:p>
          <w:p w14:paraId="74420A1A" w14:textId="5439AFF3" w:rsidR="002520DA" w:rsidRPr="00395EF2" w:rsidRDefault="002520DA" w:rsidP="00655722">
            <w:pPr>
              <w:pStyle w:val="ListParagraph"/>
              <w:numPr>
                <w:ilvl w:val="0"/>
                <w:numId w:val="77"/>
              </w:numPr>
            </w:pPr>
            <w:r w:rsidRPr="00395EF2">
              <w:t xml:space="preserve">Amend the </w:t>
            </w:r>
            <w:r w:rsidR="004250ED" w:rsidRPr="00395EF2">
              <w:t>NZ</w:t>
            </w:r>
            <w:r w:rsidR="00785D4C" w:rsidRPr="00395EF2">
              <w:t xml:space="preserve"> </w:t>
            </w:r>
            <w:r w:rsidRPr="00395EF2">
              <w:t>ETS so that it contributes, as part of a package of policies (see time</w:t>
            </w:r>
            <w:r w:rsidR="008A6A3C" w:rsidRPr="00395EF2">
              <w:t>-</w:t>
            </w:r>
            <w:r w:rsidRPr="00395EF2">
              <w:t xml:space="preserve">critical </w:t>
            </w:r>
            <w:r w:rsidR="008A6A3C" w:rsidRPr="00395EF2">
              <w:t>necessary</w:t>
            </w:r>
            <w:r w:rsidR="00785D4C" w:rsidRPr="00395EF2">
              <w:t xml:space="preserve"> </w:t>
            </w:r>
            <w:r w:rsidR="00016DBD" w:rsidRPr="00395EF2">
              <w:t>action</w:t>
            </w:r>
            <w:r w:rsidR="00785D4C" w:rsidRPr="00395EF2">
              <w:t xml:space="preserve"> </w:t>
            </w:r>
            <w:r w:rsidR="006E5501" w:rsidRPr="00395EF2">
              <w:t>5</w:t>
            </w:r>
            <w:r w:rsidRPr="00395EF2">
              <w:t xml:space="preserve">), to delivering the amount of afforestation aligned with our advice on the proportion of emissions reductions and removals, consistent with budget recommendation </w:t>
            </w:r>
            <w:r w:rsidR="00E435D6" w:rsidRPr="00395EF2">
              <w:t>2</w:t>
            </w:r>
            <w:r w:rsidRPr="00395EF2">
              <w:t>. </w:t>
            </w:r>
          </w:p>
          <w:p w14:paraId="248A846D" w14:textId="42DD009A" w:rsidR="002520DA" w:rsidRPr="00785D4C" w:rsidRDefault="002520DA" w:rsidP="00655722">
            <w:pPr>
              <w:numPr>
                <w:ilvl w:val="0"/>
                <w:numId w:val="77"/>
              </w:numPr>
              <w:rPr>
                <w:b w:val="0"/>
                <w:bCs w:val="0"/>
              </w:rPr>
            </w:pPr>
            <w:r w:rsidRPr="007C7CAE">
              <w:t xml:space="preserve">Establish a sound market governance regime for the </w:t>
            </w:r>
            <w:r w:rsidR="004250ED">
              <w:t xml:space="preserve">NZ </w:t>
            </w:r>
            <w:r w:rsidRPr="007C7CAE">
              <w:t>ETS as soon as possible to mitigate risks to market function, as some of these risks are potentially catastrophic for the scheme’s effectiveness. This work should be advanced through an interagency team including MBIE for its financial markets expertise.</w:t>
            </w:r>
            <w:r w:rsidRPr="002520DA">
              <w:t> </w:t>
            </w:r>
          </w:p>
        </w:tc>
      </w:tr>
    </w:tbl>
    <w:p w14:paraId="39C4D2E9" w14:textId="77777777" w:rsidR="002520DA" w:rsidRPr="002520DA" w:rsidRDefault="002520DA" w:rsidP="002520DA">
      <w:pPr>
        <w:spacing w:before="120" w:after="0"/>
        <w:rPr>
          <w:bCs/>
        </w:rPr>
      </w:pPr>
    </w:p>
    <w:tbl>
      <w:tblPr>
        <w:tblStyle w:val="GridTable4-Accent2"/>
        <w:tblW w:w="0" w:type="auto"/>
        <w:tblCellMar>
          <w:bottom w:w="57" w:type="dxa"/>
        </w:tblCellMar>
        <w:tblLook w:val="04A0" w:firstRow="1" w:lastRow="0" w:firstColumn="1" w:lastColumn="0" w:noHBand="0" w:noVBand="1"/>
      </w:tblPr>
      <w:tblGrid>
        <w:gridCol w:w="9016"/>
      </w:tblGrid>
      <w:tr w:rsidR="002520DA" w:rsidRPr="002520DA" w14:paraId="6CC26A18"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EDC1946" w14:textId="77777777" w:rsidR="002520DA" w:rsidRPr="002520DA" w:rsidRDefault="002520DA" w:rsidP="002520DA">
            <w:pPr>
              <w:spacing w:before="0" w:after="0"/>
              <w:jc w:val="center"/>
              <w:rPr>
                <w:color w:val="000000" w:themeColor="text1"/>
                <w:sz w:val="24"/>
                <w:szCs w:val="24"/>
                <w:lang w:val="en-US"/>
              </w:rPr>
            </w:pPr>
            <w:r w:rsidRPr="002520DA">
              <w:rPr>
                <w:sz w:val="28"/>
                <w:szCs w:val="28"/>
              </w:rPr>
              <w:t>Progress indicators</w:t>
            </w:r>
          </w:p>
        </w:tc>
      </w:tr>
      <w:tr w:rsidR="002520DA" w:rsidRPr="002520DA" w14:paraId="73CC0B03"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96D087C" w14:textId="444D6D98" w:rsidR="002520DA" w:rsidRPr="007C7CAE" w:rsidRDefault="002520DA" w:rsidP="00655722">
            <w:pPr>
              <w:numPr>
                <w:ilvl w:val="0"/>
                <w:numId w:val="74"/>
              </w:numPr>
            </w:pPr>
            <w:r w:rsidRPr="007C7CAE">
              <w:t xml:space="preserve">Government ensure that, in the next annual update to the </w:t>
            </w:r>
            <w:r w:rsidR="004250ED">
              <w:t xml:space="preserve">NZ </w:t>
            </w:r>
            <w:r w:rsidRPr="007C7CAE">
              <w:t>ETS settings, unit volumes are aligned with emissions budgets and price control settings are increased.</w:t>
            </w:r>
          </w:p>
          <w:p w14:paraId="66EB814B" w14:textId="7A98CA3A" w:rsidR="002520DA" w:rsidRPr="002520DA" w:rsidRDefault="002520DA" w:rsidP="00655722">
            <w:pPr>
              <w:numPr>
                <w:ilvl w:val="0"/>
                <w:numId w:val="74"/>
              </w:numPr>
            </w:pPr>
            <w:r w:rsidRPr="007C7CAE">
              <w:t xml:space="preserve">Government to develop proposals as soon as possible to establish a sound market governance regime for the </w:t>
            </w:r>
            <w:r w:rsidR="004250ED">
              <w:t xml:space="preserve">NZ </w:t>
            </w:r>
            <w:r w:rsidRPr="007C7CAE">
              <w:t xml:space="preserve">ETS, and to have legislated to address the most significant risks by no later than </w:t>
            </w:r>
            <w:r w:rsidR="008749BB">
              <w:t>30</w:t>
            </w:r>
            <w:r w:rsidRPr="007C7CAE">
              <w:t xml:space="preserve"> June 2023.</w:t>
            </w:r>
          </w:p>
        </w:tc>
      </w:tr>
    </w:tbl>
    <w:p w14:paraId="75CF5A16" w14:textId="75847A9E" w:rsidR="002520DA" w:rsidRPr="002520DA" w:rsidRDefault="002520DA" w:rsidP="002520DA">
      <w:pPr>
        <w:spacing w:before="120" w:after="0"/>
        <w:rPr>
          <w:bCs/>
        </w:rPr>
      </w:pPr>
    </w:p>
    <w:p w14:paraId="7660F9FA" w14:textId="77777777" w:rsidR="007B4DBD" w:rsidRDefault="007B4DBD">
      <w:pPr>
        <w:spacing w:before="0" w:after="160"/>
        <w:rPr>
          <w:bCs/>
        </w:rPr>
      </w:pPr>
      <w:r>
        <w:rPr>
          <w:bCs/>
        </w:rPr>
        <w:br w:type="page"/>
      </w:r>
    </w:p>
    <w:tbl>
      <w:tblPr>
        <w:tblStyle w:val="GridTable4-Accent5"/>
        <w:tblW w:w="0" w:type="auto"/>
        <w:tblCellMar>
          <w:bottom w:w="57" w:type="dxa"/>
        </w:tblCellMar>
        <w:tblLook w:val="04A0" w:firstRow="1" w:lastRow="0" w:firstColumn="1" w:lastColumn="0" w:noHBand="0" w:noVBand="1"/>
      </w:tblPr>
      <w:tblGrid>
        <w:gridCol w:w="9016"/>
      </w:tblGrid>
      <w:tr w:rsidR="002520DA" w:rsidRPr="002520DA" w14:paraId="430FBD71" w14:textId="77777777" w:rsidTr="0052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Mar>
              <w:top w:w="57" w:type="dxa"/>
              <w:bottom w:w="57" w:type="dxa"/>
            </w:tcMar>
          </w:tcPr>
          <w:p w14:paraId="2EC002B1" w14:textId="3DBB398A" w:rsidR="002520DA" w:rsidRPr="002520DA" w:rsidRDefault="003873D4" w:rsidP="002520DA">
            <w:pPr>
              <w:spacing w:before="0" w:after="0"/>
              <w:jc w:val="center"/>
              <w:rPr>
                <w:sz w:val="28"/>
                <w:szCs w:val="28"/>
              </w:rPr>
            </w:pPr>
            <w:r w:rsidRPr="003873D4">
              <w:rPr>
                <w:sz w:val="28"/>
                <w:szCs w:val="28"/>
              </w:rPr>
              <w:lastRenderedPageBreak/>
              <w:t>Necessary</w:t>
            </w:r>
            <w:r w:rsidR="002520DA" w:rsidRPr="002520DA">
              <w:rPr>
                <w:sz w:val="28"/>
                <w:szCs w:val="28"/>
              </w:rPr>
              <w:t xml:space="preserve"> action </w:t>
            </w:r>
            <w:r w:rsidR="002C082D">
              <w:rPr>
                <w:sz w:val="28"/>
                <w:szCs w:val="28"/>
              </w:rPr>
              <w:t>19</w:t>
            </w:r>
          </w:p>
          <w:p w14:paraId="17340E27" w14:textId="77777777" w:rsidR="002520DA" w:rsidRPr="007C7CAE" w:rsidRDefault="002520DA" w:rsidP="002520DA">
            <w:pPr>
              <w:spacing w:before="0" w:after="0"/>
              <w:jc w:val="center"/>
              <w:rPr>
                <w:b w:val="0"/>
                <w:bCs w:val="0"/>
                <w:sz w:val="26"/>
                <w:szCs w:val="26"/>
              </w:rPr>
            </w:pPr>
            <w:r w:rsidRPr="007C7CAE">
              <w:rPr>
                <w:b w:val="0"/>
                <w:bCs w:val="0"/>
                <w:sz w:val="26"/>
                <w:szCs w:val="26"/>
              </w:rPr>
              <w:t>Continued ETS improvements</w:t>
            </w:r>
          </w:p>
        </w:tc>
      </w:tr>
      <w:tr w:rsidR="002520DA" w:rsidRPr="002520DA" w14:paraId="4740AC30" w14:textId="77777777" w:rsidTr="0052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Mar>
              <w:top w:w="57" w:type="dxa"/>
              <w:bottom w:w="57" w:type="dxa"/>
            </w:tcMar>
          </w:tcPr>
          <w:p w14:paraId="4DE378A2" w14:textId="6FCA3100" w:rsidR="002520DA" w:rsidRPr="007C7CAE" w:rsidRDefault="002520DA" w:rsidP="002520DA">
            <w:r w:rsidRPr="007C7CAE">
              <w:t>We recommend that, in the first budget period the Government make progress on:</w:t>
            </w:r>
          </w:p>
          <w:p w14:paraId="2A97BDDD" w14:textId="13DAB169" w:rsidR="002520DA" w:rsidRPr="007C7CAE" w:rsidRDefault="002520DA" w:rsidP="00655722">
            <w:pPr>
              <w:numPr>
                <w:ilvl w:val="0"/>
                <w:numId w:val="75"/>
              </w:numPr>
            </w:pPr>
            <w:r w:rsidRPr="007C7CAE">
              <w:t xml:space="preserve">Developing options and implementing a plan for recycling some or all of the proceeds from </w:t>
            </w:r>
            <w:r w:rsidR="004250ED">
              <w:t xml:space="preserve">NZ </w:t>
            </w:r>
            <w:r w:rsidRPr="007C7CAE">
              <w:t>ETS unit auctions into emissions reductions, adaptation, equitable transitions and meeting international</w:t>
            </w:r>
            <w:r w:rsidR="00D95A5C">
              <w:t xml:space="preserve"> climate change</w:t>
            </w:r>
            <w:r w:rsidRPr="007C7CAE">
              <w:t xml:space="preserve"> obligations. </w:t>
            </w:r>
          </w:p>
          <w:p w14:paraId="1A5B870D" w14:textId="77777777" w:rsidR="002520DA" w:rsidRPr="007C7CAE" w:rsidRDefault="002520DA" w:rsidP="00655722">
            <w:pPr>
              <w:numPr>
                <w:ilvl w:val="0"/>
                <w:numId w:val="75"/>
              </w:numPr>
            </w:pPr>
            <w:r w:rsidRPr="007C7CAE">
              <w:t>Undertaking a first principles review of industrial allocation policy. </w:t>
            </w:r>
          </w:p>
          <w:p w14:paraId="4458C74D" w14:textId="77777777" w:rsidR="002520DA" w:rsidRPr="007C7CAE" w:rsidRDefault="002520DA" w:rsidP="00655722">
            <w:pPr>
              <w:numPr>
                <w:ilvl w:val="0"/>
                <w:numId w:val="75"/>
              </w:numPr>
            </w:pPr>
            <w:r w:rsidRPr="007C7CAE">
              <w:t>Continuing to phase out industrial allocation.</w:t>
            </w:r>
          </w:p>
          <w:p w14:paraId="1CE2BD0D" w14:textId="77777777" w:rsidR="002520DA" w:rsidRPr="007C7CAE" w:rsidRDefault="002520DA" w:rsidP="00655722">
            <w:pPr>
              <w:numPr>
                <w:ilvl w:val="0"/>
                <w:numId w:val="75"/>
              </w:numPr>
            </w:pPr>
            <w:r w:rsidRPr="007C7CAE">
              <w:t>Exploring alternative policy instruments that could address the risk of emissions leakage. </w:t>
            </w:r>
          </w:p>
          <w:p w14:paraId="417B5AAA" w14:textId="64AEF6F9" w:rsidR="002520DA" w:rsidRPr="007C7CAE" w:rsidRDefault="002520DA" w:rsidP="00655722">
            <w:pPr>
              <w:numPr>
                <w:ilvl w:val="0"/>
                <w:numId w:val="75"/>
              </w:numPr>
            </w:pPr>
            <w:r w:rsidRPr="007C7CAE">
              <w:t xml:space="preserve">Providing more information to reduce uncertainty about adjustments to </w:t>
            </w:r>
            <w:r w:rsidR="004250ED">
              <w:t xml:space="preserve">NZ </w:t>
            </w:r>
            <w:r w:rsidRPr="007C7CAE">
              <w:t>ETS settings</w:t>
            </w:r>
            <w:r w:rsidR="001820C2" w:rsidRPr="007C7CAE">
              <w:t>, particularly h</w:t>
            </w:r>
            <w:r w:rsidR="005953E4" w:rsidRPr="007C7CAE">
              <w:t>ow it intends to manage unit volumes in light of the split-gas 2050 target</w:t>
            </w:r>
            <w:r w:rsidRPr="007C7CAE">
              <w:t>. </w:t>
            </w:r>
          </w:p>
          <w:p w14:paraId="3451F56A" w14:textId="77777777" w:rsidR="002520DA" w:rsidRPr="002520DA" w:rsidRDefault="002520DA" w:rsidP="00655722">
            <w:pPr>
              <w:numPr>
                <w:ilvl w:val="0"/>
                <w:numId w:val="75"/>
              </w:numPr>
            </w:pPr>
            <w:r w:rsidRPr="007C7CAE">
              <w:t>Clarifying the role and avenues for voluntary mitigation in Aotearoa.</w:t>
            </w:r>
          </w:p>
        </w:tc>
      </w:tr>
    </w:tbl>
    <w:p w14:paraId="171A8E9F" w14:textId="77777777" w:rsidR="002520DA" w:rsidRPr="002520DA" w:rsidRDefault="002520DA" w:rsidP="002520DA">
      <w:pPr>
        <w:spacing w:before="120" w:after="0"/>
        <w:rPr>
          <w:bCs/>
        </w:rPr>
      </w:pPr>
    </w:p>
    <w:tbl>
      <w:tblPr>
        <w:tblStyle w:val="GridTable4-Accent2"/>
        <w:tblW w:w="0" w:type="auto"/>
        <w:shd w:val="clear" w:color="auto" w:fill="C6B1D1"/>
        <w:tblCellMar>
          <w:top w:w="57" w:type="dxa"/>
          <w:bottom w:w="57" w:type="dxa"/>
        </w:tblCellMar>
        <w:tblLook w:val="04A0" w:firstRow="1" w:lastRow="0" w:firstColumn="1" w:lastColumn="0" w:noHBand="0" w:noVBand="1"/>
      </w:tblPr>
      <w:tblGrid>
        <w:gridCol w:w="9016"/>
      </w:tblGrid>
      <w:tr w:rsidR="00646635" w:rsidRPr="00EA4071" w14:paraId="196EBD72" w14:textId="77777777" w:rsidTr="00D73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9E76B3"/>
          </w:tcPr>
          <w:p w14:paraId="3A51A43C" w14:textId="77777777" w:rsidR="00646635" w:rsidRPr="00BA7CD8" w:rsidRDefault="00646635" w:rsidP="00D73922">
            <w:pPr>
              <w:pStyle w:val="Content"/>
              <w:spacing w:before="0" w:after="0"/>
              <w:jc w:val="center"/>
              <w:rPr>
                <w:bCs w:val="0"/>
                <w:color w:val="000000" w:themeColor="text1"/>
                <w:sz w:val="24"/>
                <w:szCs w:val="24"/>
                <w:lang w:val="en-US"/>
              </w:rPr>
            </w:pPr>
            <w:bookmarkStart w:id="243" w:name="_Hlk61446976"/>
            <w:r>
              <w:rPr>
                <w:bCs w:val="0"/>
                <w:sz w:val="28"/>
                <w:szCs w:val="28"/>
              </w:rPr>
              <w:t>Consultation question 19</w:t>
            </w:r>
          </w:p>
          <w:p w14:paraId="6916595A" w14:textId="77777777" w:rsidR="00646635" w:rsidRPr="00EA4071" w:rsidRDefault="00646635" w:rsidP="00D73922">
            <w:pPr>
              <w:pStyle w:val="Content"/>
              <w:spacing w:before="0" w:after="0"/>
              <w:jc w:val="center"/>
              <w:rPr>
                <w:b w:val="0"/>
                <w:sz w:val="28"/>
                <w:szCs w:val="28"/>
              </w:rPr>
            </w:pPr>
            <w:r>
              <w:rPr>
                <w:b w:val="0"/>
                <w:sz w:val="28"/>
                <w:szCs w:val="28"/>
                <w:lang w:val="en-US"/>
              </w:rPr>
              <w:t>Multisector strategy</w:t>
            </w:r>
          </w:p>
        </w:tc>
      </w:tr>
      <w:tr w:rsidR="00646635" w:rsidRPr="00EA4071" w14:paraId="1E513C50" w14:textId="77777777" w:rsidTr="00D7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C6B1D1"/>
          </w:tcPr>
          <w:p w14:paraId="48667988" w14:textId="48B45FE8" w:rsidR="00646635" w:rsidRPr="00E5673C" w:rsidRDefault="007A293E" w:rsidP="00D73922">
            <w:r w:rsidRPr="00B9426C">
              <w:t xml:space="preserve">Do you support the package of recommendations and actions </w:t>
            </w:r>
            <w:r>
              <w:t>to create a multisector strategy</w:t>
            </w:r>
            <w:r>
              <w:rPr>
                <w:bCs w:val="0"/>
              </w:rPr>
              <w:t>? Is there anything we should change, and why</w:t>
            </w:r>
            <w:r w:rsidRPr="00E5673C">
              <w:rPr>
                <w:bCs w:val="0"/>
              </w:rPr>
              <w:t>?</w:t>
            </w:r>
          </w:p>
        </w:tc>
      </w:tr>
      <w:bookmarkEnd w:id="243"/>
    </w:tbl>
    <w:p w14:paraId="6178A156" w14:textId="77777777" w:rsidR="002520DA" w:rsidRPr="002520DA" w:rsidRDefault="002520DA" w:rsidP="002520DA">
      <w:pPr>
        <w:spacing w:before="120" w:after="120"/>
        <w:rPr>
          <w:bCs/>
        </w:rPr>
      </w:pPr>
    </w:p>
    <w:p w14:paraId="6BD2598C" w14:textId="77777777" w:rsidR="002520DA" w:rsidRPr="002520DA" w:rsidRDefault="002520DA" w:rsidP="002520DA">
      <w:pPr>
        <w:spacing w:before="120" w:after="120"/>
        <w:rPr>
          <w:rFonts w:asciiTheme="majorHAnsi" w:eastAsiaTheme="majorEastAsia" w:hAnsiTheme="majorHAnsi" w:cstheme="majorBidi"/>
          <w:bCs/>
          <w:color w:val="2F5496" w:themeColor="accent1" w:themeShade="BF"/>
          <w:sz w:val="32"/>
          <w:szCs w:val="32"/>
        </w:rPr>
      </w:pPr>
    </w:p>
    <w:p w14:paraId="7FC252FB" w14:textId="77777777" w:rsidR="002520DA" w:rsidRPr="002520DA" w:rsidRDefault="002520DA" w:rsidP="002520DA">
      <w:pPr>
        <w:spacing w:before="0" w:after="160"/>
        <w:rPr>
          <w:bCs/>
          <w:u w:val="single"/>
        </w:rPr>
      </w:pPr>
    </w:p>
    <w:p w14:paraId="60582622" w14:textId="77777777" w:rsidR="00AA3E0B" w:rsidRDefault="00AA3E0B">
      <w:pPr>
        <w:spacing w:before="0" w:after="160"/>
        <w:rPr>
          <w:rFonts w:asciiTheme="majorHAnsi" w:eastAsiaTheme="majorEastAsia" w:hAnsiTheme="majorHAnsi" w:cstheme="majorBidi"/>
          <w:color w:val="2F5496" w:themeColor="accent1" w:themeShade="BF"/>
          <w:sz w:val="32"/>
          <w:szCs w:val="32"/>
        </w:rPr>
      </w:pPr>
      <w:r>
        <w:br w:type="page"/>
      </w:r>
    </w:p>
    <w:p w14:paraId="5DA213AA" w14:textId="4823FC83" w:rsidR="00CF04D4" w:rsidRDefault="00CF04D4" w:rsidP="00CF04D4">
      <w:pPr>
        <w:pStyle w:val="Heading1"/>
      </w:pPr>
      <w:bookmarkStart w:id="244" w:name="_Toc62650317"/>
      <w:r>
        <w:lastRenderedPageBreak/>
        <w:t xml:space="preserve">Chapter </w:t>
      </w:r>
      <w:r w:rsidR="00F87AEF">
        <w:t>7</w:t>
      </w:r>
      <w:r>
        <w:t>: Rules for measuring progress</w:t>
      </w:r>
      <w:bookmarkEnd w:id="160"/>
      <w:bookmarkEnd w:id="161"/>
      <w:bookmarkEnd w:id="207"/>
      <w:bookmarkEnd w:id="244"/>
    </w:p>
    <w:p w14:paraId="499C0F09" w14:textId="2A69F969" w:rsidR="001B273E" w:rsidRDefault="001B273E" w:rsidP="00081686">
      <w:r>
        <w:t xml:space="preserve">‘Rules for measuring progress’ refers to the system of accounting for </w:t>
      </w:r>
      <w:r w:rsidR="00B32286">
        <w:t xml:space="preserve">greenhouse gas </w:t>
      </w:r>
      <w:r>
        <w:t xml:space="preserve">emissions that will be used to track </w:t>
      </w:r>
      <w:r w:rsidR="00807C30">
        <w:t xml:space="preserve">the </w:t>
      </w:r>
      <w:r>
        <w:t xml:space="preserve">progress </w:t>
      </w:r>
      <w:r w:rsidR="00807C30">
        <w:t xml:space="preserve">Aotearoa makes </w:t>
      </w:r>
      <w:r>
        <w:t xml:space="preserve">towards emissions budgets and the 2050 target. </w:t>
      </w:r>
    </w:p>
    <w:p w14:paraId="02F9A1FE" w14:textId="49FD10FB" w:rsidR="001B273E" w:rsidRDefault="001B273E" w:rsidP="0047205C">
      <w:r>
        <w:t>In Aotearoa, various emissions accounting methods are already in use, for example to prepare the national Inventory</w:t>
      </w:r>
      <w:r w:rsidR="00301368">
        <w:t>,</w:t>
      </w:r>
      <w:r>
        <w:t xml:space="preserve"> to track the </w:t>
      </w:r>
      <w:r w:rsidR="00CA44AB">
        <w:t>Nationally Determined Contribution (</w:t>
      </w:r>
      <w:r>
        <w:t>NDC</w:t>
      </w:r>
      <w:r w:rsidR="00CA44AB">
        <w:t>)</w:t>
      </w:r>
      <w:r>
        <w:t xml:space="preserve"> and other targets</w:t>
      </w:r>
      <w:r w:rsidR="00301368">
        <w:t>,</w:t>
      </w:r>
      <w:r>
        <w:t xml:space="preserve"> and to produce emissions accounts that align with economic statistics. Our task is to determine which of these existing methods are best suited for setting emission</w:t>
      </w:r>
      <w:r w:rsidR="009A3ED2">
        <w:t>s</w:t>
      </w:r>
      <w:r>
        <w:t xml:space="preserve"> budgets and delivering the 2050 target.</w:t>
      </w:r>
    </w:p>
    <w:p w14:paraId="3DC838F5" w14:textId="38B0D2D9" w:rsidR="001B273E" w:rsidRDefault="001B273E">
      <w:r>
        <w:t>In this chapter, we first outline our role and approach to thinking about accounting for emissions budgets and the 2050 target. We then discuss accounting choices related to:</w:t>
      </w:r>
    </w:p>
    <w:p w14:paraId="453DE4E0" w14:textId="62CF791F" w:rsidR="001B273E" w:rsidRPr="00F409B2" w:rsidRDefault="00E80F64" w:rsidP="00F409B2">
      <w:pPr>
        <w:pStyle w:val="ListParagraph"/>
        <w:numPr>
          <w:ilvl w:val="0"/>
          <w:numId w:val="40"/>
        </w:numPr>
        <w:spacing w:before="60"/>
        <w:ind w:left="714" w:hanging="357"/>
        <w:contextualSpacing w:val="0"/>
      </w:pPr>
      <w:r>
        <w:t>p</w:t>
      </w:r>
      <w:r w:rsidR="001B273E">
        <w:t xml:space="preserve">roduction- and consumption-based emissions estimates </w:t>
      </w:r>
    </w:p>
    <w:p w14:paraId="728235FF" w14:textId="4C6672AD" w:rsidR="001B273E" w:rsidRPr="00F409B2" w:rsidRDefault="00E80F64" w:rsidP="00F409B2">
      <w:pPr>
        <w:pStyle w:val="ListParagraph"/>
        <w:numPr>
          <w:ilvl w:val="0"/>
          <w:numId w:val="40"/>
        </w:numPr>
        <w:spacing w:before="60"/>
        <w:ind w:left="714" w:hanging="357"/>
        <w:contextualSpacing w:val="0"/>
      </w:pPr>
      <w:r>
        <w:t>a</w:t>
      </w:r>
      <w:r w:rsidR="001B273E">
        <w:t xml:space="preserve">ccounting for land emissions. By </w:t>
      </w:r>
      <w:r w:rsidR="001B273E" w:rsidRPr="00F409B2">
        <w:t>‘land emissions’, we mean emissions and removals from land sources and sinks such as forests, vegetation, soils, and wetlands</w:t>
      </w:r>
      <w:r w:rsidR="001B273E" w:rsidRPr="007A690D">
        <w:t xml:space="preserve">. </w:t>
      </w:r>
      <w:r w:rsidR="001B273E">
        <w:t>This</w:t>
      </w:r>
      <w:r w:rsidR="001B273E" w:rsidRPr="007A690D">
        <w:t xml:space="preserve"> does not include any direct agricultural emissions such as those from livestock or fertiliser</w:t>
      </w:r>
      <w:r w:rsidR="001B273E" w:rsidRPr="00F409B2">
        <w:t xml:space="preserve"> </w:t>
      </w:r>
    </w:p>
    <w:p w14:paraId="085E6290" w14:textId="63CA4BEC" w:rsidR="001B273E" w:rsidRDefault="00E80F64" w:rsidP="00F409B2">
      <w:pPr>
        <w:pStyle w:val="ListParagraph"/>
        <w:numPr>
          <w:ilvl w:val="0"/>
          <w:numId w:val="40"/>
        </w:numPr>
        <w:spacing w:before="60"/>
        <w:ind w:left="714" w:hanging="357"/>
        <w:contextualSpacing w:val="0"/>
      </w:pPr>
      <w:r w:rsidRPr="00F409B2">
        <w:t>v</w:t>
      </w:r>
      <w:r w:rsidR="001B273E">
        <w:t xml:space="preserve">oluntary offsetting and carbon neutral claims. </w:t>
      </w:r>
    </w:p>
    <w:p w14:paraId="27F7E995" w14:textId="0099515D" w:rsidR="001B273E" w:rsidRPr="00AA3E0B" w:rsidRDefault="00CB24D5" w:rsidP="00AA3E0B">
      <w:pPr>
        <w:pStyle w:val="Heading2"/>
      </w:pPr>
      <w:bookmarkStart w:id="245" w:name="_Toc62650318"/>
      <w:r>
        <w:t xml:space="preserve">7.1 </w:t>
      </w:r>
      <w:r w:rsidR="001B273E" w:rsidRPr="00AA3E0B">
        <w:t>Greenhouse gas accounting for emissions reduction targets</w:t>
      </w:r>
      <w:bookmarkEnd w:id="245"/>
    </w:p>
    <w:p w14:paraId="6CC8C69A" w14:textId="439C72BB" w:rsidR="001B273E" w:rsidRDefault="001B273E" w:rsidP="00041837">
      <w:r>
        <w:t xml:space="preserve">The methods used to </w:t>
      </w:r>
      <w:r w:rsidRPr="002230A5">
        <w:t>calculat</w:t>
      </w:r>
      <w:r>
        <w:t xml:space="preserve">e </w:t>
      </w:r>
      <w:r w:rsidRPr="002230A5">
        <w:t>and</w:t>
      </w:r>
      <w:r>
        <w:t xml:space="preserve"> </w:t>
      </w:r>
      <w:r w:rsidRPr="002230A5">
        <w:t>attribut</w:t>
      </w:r>
      <w:r>
        <w:t xml:space="preserve">e the amount of </w:t>
      </w:r>
      <w:r w:rsidRPr="002230A5">
        <w:t>greenhouse</w:t>
      </w:r>
      <w:r>
        <w:t xml:space="preserve"> </w:t>
      </w:r>
      <w:r w:rsidRPr="002230A5">
        <w:t>gases</w:t>
      </w:r>
      <w:r>
        <w:t xml:space="preserve"> </w:t>
      </w:r>
      <w:r w:rsidRPr="002230A5">
        <w:t>emitted</w:t>
      </w:r>
      <w:r>
        <w:t xml:space="preserve"> or removed from the atmosphere </w:t>
      </w:r>
      <w:r w:rsidRPr="002230A5">
        <w:t>over</w:t>
      </w:r>
      <w:r>
        <w:t xml:space="preserve"> </w:t>
      </w:r>
      <w:r w:rsidRPr="002230A5">
        <w:t>time</w:t>
      </w:r>
      <w:r>
        <w:t xml:space="preserve"> are a critical component of effective climate policy</w:t>
      </w:r>
      <w:r w:rsidRPr="002230A5">
        <w:t>.</w:t>
      </w:r>
      <w:r>
        <w:t xml:space="preserve"> Robust and accurate emissions accounting is essential for:</w:t>
      </w:r>
    </w:p>
    <w:p w14:paraId="6D77FB1A" w14:textId="533D33F1" w:rsidR="001B273E" w:rsidRDefault="001B273E" w:rsidP="00655722">
      <w:pPr>
        <w:pStyle w:val="ListParagraph"/>
        <w:numPr>
          <w:ilvl w:val="0"/>
          <w:numId w:val="40"/>
        </w:numPr>
        <w:spacing w:before="60"/>
        <w:ind w:left="714" w:hanging="357"/>
        <w:contextualSpacing w:val="0"/>
      </w:pPr>
      <w:r>
        <w:t>setting emission</w:t>
      </w:r>
      <w:r w:rsidR="006D1A1E">
        <w:t>s</w:t>
      </w:r>
      <w:r>
        <w:t xml:space="preserve"> reduction targets</w:t>
      </w:r>
    </w:p>
    <w:p w14:paraId="2EE909B6" w14:textId="6DFE786E" w:rsidR="001B273E" w:rsidRDefault="001B273E" w:rsidP="00655722">
      <w:pPr>
        <w:pStyle w:val="ListParagraph"/>
        <w:numPr>
          <w:ilvl w:val="0"/>
          <w:numId w:val="40"/>
        </w:numPr>
        <w:spacing w:before="60"/>
        <w:ind w:left="714" w:hanging="357"/>
        <w:contextualSpacing w:val="0"/>
      </w:pPr>
      <w:r>
        <w:t>monitoring and evaluating progress towards meeting targets</w:t>
      </w:r>
    </w:p>
    <w:p w14:paraId="3D2648EF" w14:textId="439C72BB" w:rsidR="001B273E" w:rsidRDefault="001B273E" w:rsidP="00655722">
      <w:pPr>
        <w:pStyle w:val="ListParagraph"/>
        <w:numPr>
          <w:ilvl w:val="0"/>
          <w:numId w:val="40"/>
        </w:numPr>
        <w:spacing w:before="60"/>
        <w:ind w:left="714" w:hanging="357"/>
        <w:contextualSpacing w:val="0"/>
      </w:pPr>
      <w:r>
        <w:t xml:space="preserve">judging compliance at the end of a target period. </w:t>
      </w:r>
    </w:p>
    <w:p w14:paraId="00C8CD0C" w14:textId="6125884D" w:rsidR="001B273E" w:rsidRDefault="001B273E" w:rsidP="00041837">
      <w:r>
        <w:t xml:space="preserve">A key purpose of the emission reduction targets that countries set themselves is to drive actions to reduce human impacts on the climate. The accounting methods for these targets need to deliver useful data to inform emissions reduction efforts, and influence which reduction activities are prioritised. </w:t>
      </w:r>
      <w:r>
        <w:rPr>
          <w:rFonts w:ascii="Calibri" w:eastAsia="Calibri" w:hAnsi="Calibri" w:cs="Calibri"/>
          <w:color w:val="000000" w:themeColor="text1"/>
        </w:rPr>
        <w:t xml:space="preserve">This link to policy and </w:t>
      </w:r>
      <w:r w:rsidR="00E0349E">
        <w:rPr>
          <w:rFonts w:ascii="Calibri" w:eastAsia="Calibri" w:hAnsi="Calibri" w:cs="Calibri"/>
          <w:color w:val="000000" w:themeColor="text1"/>
        </w:rPr>
        <w:t>to</w:t>
      </w:r>
      <w:r>
        <w:rPr>
          <w:rFonts w:ascii="Calibri" w:eastAsia="Calibri" w:hAnsi="Calibri" w:cs="Calibri"/>
          <w:color w:val="000000" w:themeColor="text1"/>
        </w:rPr>
        <w:t xml:space="preserve"> driving behaviour change is why emissions accounting for targets may differ from the methods used for national </w:t>
      </w:r>
      <w:r w:rsidR="00932234">
        <w:rPr>
          <w:rFonts w:ascii="Calibri" w:eastAsia="Calibri" w:hAnsi="Calibri" w:cs="Calibri"/>
          <w:color w:val="000000" w:themeColor="text1"/>
        </w:rPr>
        <w:t xml:space="preserve">greenhouse gas </w:t>
      </w:r>
      <w:r>
        <w:rPr>
          <w:rFonts w:ascii="Calibri" w:eastAsia="Calibri" w:hAnsi="Calibri" w:cs="Calibri"/>
          <w:color w:val="000000" w:themeColor="text1"/>
        </w:rPr>
        <w:t xml:space="preserve">inventories. </w:t>
      </w:r>
    </w:p>
    <w:p w14:paraId="326EFF21" w14:textId="215637C5" w:rsidR="001B273E" w:rsidRPr="00BD0E0F" w:rsidRDefault="00CB24D5" w:rsidP="00AA3E0B">
      <w:pPr>
        <w:pStyle w:val="Heading2"/>
        <w:rPr>
          <w:b/>
          <w:bCs/>
        </w:rPr>
      </w:pPr>
      <w:bookmarkStart w:id="246" w:name="_Toc62650319"/>
      <w:r>
        <w:t xml:space="preserve">7.2 </w:t>
      </w:r>
      <w:r w:rsidR="001B273E" w:rsidRPr="00AA3E0B">
        <w:t>Our role</w:t>
      </w:r>
      <w:bookmarkEnd w:id="246"/>
      <w:r w:rsidR="001B273E" w:rsidRPr="00AA3E0B">
        <w:t xml:space="preserve"> </w:t>
      </w:r>
    </w:p>
    <w:p w14:paraId="673E708D" w14:textId="19873540" w:rsidR="001B273E" w:rsidRDefault="001B273E" w:rsidP="001B273E">
      <w:pPr>
        <w:spacing w:line="276" w:lineRule="auto"/>
      </w:pPr>
      <w:r>
        <w:t xml:space="preserve">We must advise on </w:t>
      </w:r>
      <w:r w:rsidRPr="65CABE48">
        <w:t xml:space="preserve">the rules that </w:t>
      </w:r>
      <w:r w:rsidR="00E0349E">
        <w:t>should</w:t>
      </w:r>
      <w:r w:rsidRPr="65CABE48">
        <w:t xml:space="preserve"> apply to measuring progress towards meeting emissions budgets and the 2050 target.</w:t>
      </w:r>
      <w:r>
        <w:t xml:space="preserve"> Our recommended accounting rules have been </w:t>
      </w:r>
      <w:r w:rsidR="00F1607D">
        <w:t>used to develop</w:t>
      </w:r>
      <w:r>
        <w:t xml:space="preserve"> the recommended emissions budgets. We will also use them to report </w:t>
      </w:r>
      <w:r w:rsidRPr="65CABE48">
        <w:t xml:space="preserve">on </w:t>
      </w:r>
      <w:r>
        <w:t xml:space="preserve">the </w:t>
      </w:r>
      <w:r w:rsidR="00806D3F">
        <w:t>G</w:t>
      </w:r>
      <w:r>
        <w:t xml:space="preserve">overnment’s </w:t>
      </w:r>
      <w:r w:rsidRPr="65CABE48">
        <w:t>progress towards emissions budget</w:t>
      </w:r>
      <w:r>
        <w:t xml:space="preserve">s, starting in 2024. </w:t>
      </w:r>
    </w:p>
    <w:p w14:paraId="6170B536" w14:textId="7EAA0660" w:rsidR="001B273E" w:rsidRDefault="001B273E" w:rsidP="001B273E">
      <w:pPr>
        <w:spacing w:line="276" w:lineRule="auto"/>
      </w:pPr>
      <w:r>
        <w:t xml:space="preserve">This advice relates to the first three emission budgets, covering 2022-2035. In 2024, we will advise on the fourth emissions budget covering 2036-2040. At that time, we will have the opportunity to revise our recommendations on accounting for the second and third emissions budgets, if this is warranted by developments in knowledge or accounting methods. </w:t>
      </w:r>
    </w:p>
    <w:p w14:paraId="3BE4D500" w14:textId="08340C8E" w:rsidR="001B273E" w:rsidRDefault="00CB24D5" w:rsidP="00AA3E0B">
      <w:pPr>
        <w:pStyle w:val="Heading2"/>
      </w:pPr>
      <w:bookmarkStart w:id="247" w:name="_Toc62650320"/>
      <w:r>
        <w:lastRenderedPageBreak/>
        <w:t xml:space="preserve">7.3 </w:t>
      </w:r>
      <w:r w:rsidR="001B273E" w:rsidRPr="00AA3E0B">
        <w:t>Objective and principles to guide accounting choices</w:t>
      </w:r>
      <w:bookmarkEnd w:id="247"/>
      <w:r w:rsidR="001B273E" w:rsidRPr="00AA3E0B">
        <w:t xml:space="preserve"> </w:t>
      </w:r>
    </w:p>
    <w:p w14:paraId="54CC288E" w14:textId="439C72BB" w:rsidR="001B273E" w:rsidRDefault="001B273E" w:rsidP="001B273E">
      <w:pPr>
        <w:spacing w:line="276" w:lineRule="auto"/>
      </w:pPr>
      <w:r>
        <w:t>We have examined the accounting rules for emissions budgets from a first principles basis. To do this, we have set a high-level objective for emissions budget and 2050 target accounting:</w:t>
      </w:r>
    </w:p>
    <w:p w14:paraId="373CBB55" w14:textId="7F8D62F6" w:rsidR="001B273E" w:rsidRPr="00D147C8" w:rsidRDefault="001B273E" w:rsidP="001B273E">
      <w:pPr>
        <w:shd w:val="clear" w:color="auto" w:fill="FFFFFF" w:themeFill="background1"/>
        <w:spacing w:line="276" w:lineRule="auto"/>
        <w:rPr>
          <w:i/>
          <w:iCs/>
        </w:rPr>
      </w:pPr>
      <w:r w:rsidRPr="0010259D">
        <w:rPr>
          <w:i/>
          <w:iCs/>
        </w:rPr>
        <w:t xml:space="preserve">A robust, transparent accounting system that tracks </w:t>
      </w:r>
      <w:r>
        <w:rPr>
          <w:i/>
          <w:iCs/>
        </w:rPr>
        <w:t>genuine</w:t>
      </w:r>
      <w:r w:rsidRPr="0010259D">
        <w:rPr>
          <w:i/>
          <w:iCs/>
        </w:rPr>
        <w:t xml:space="preserve"> environmental gains while balancing completeness with practicality</w:t>
      </w:r>
      <w:r w:rsidR="00485671">
        <w:rPr>
          <w:i/>
          <w:iCs/>
        </w:rPr>
        <w:t>.</w:t>
      </w:r>
    </w:p>
    <w:p w14:paraId="2FEB8D5D" w14:textId="439C72BB" w:rsidR="001B273E" w:rsidRDefault="001B273E" w:rsidP="001B273E">
      <w:pPr>
        <w:spacing w:line="276" w:lineRule="auto"/>
        <w:rPr>
          <w:i/>
        </w:rPr>
      </w:pPr>
      <w:r>
        <w:t xml:space="preserve">We have also defined a set of principles underneath the high-level objective, to </w:t>
      </w:r>
      <w:r w:rsidRPr="002230A5">
        <w:t>provide</w:t>
      </w:r>
      <w:r>
        <w:t xml:space="preserve"> </w:t>
      </w:r>
      <w:r w:rsidRPr="002230A5">
        <w:t>guidance</w:t>
      </w:r>
      <w:r>
        <w:t xml:space="preserve"> </w:t>
      </w:r>
      <w:r w:rsidRPr="002230A5">
        <w:t>on</w:t>
      </w:r>
      <w:r>
        <w:t xml:space="preserve"> </w:t>
      </w:r>
      <w:r w:rsidRPr="002230A5">
        <w:t>how</w:t>
      </w:r>
      <w:r>
        <w:t xml:space="preserve"> </w:t>
      </w:r>
      <w:r w:rsidRPr="002230A5">
        <w:t>to</w:t>
      </w:r>
      <w:r>
        <w:t xml:space="preserve"> reach this goal. The principles help ensure we take a coherent approach to the range of issues covered by target accounting. </w:t>
      </w:r>
    </w:p>
    <w:p w14:paraId="7A9AE852" w14:textId="439C72BB" w:rsidR="001B273E" w:rsidRPr="00D147C8" w:rsidRDefault="001B273E" w:rsidP="001B273E">
      <w:pPr>
        <w:spacing w:line="276" w:lineRule="auto"/>
        <w:rPr>
          <w:i/>
        </w:rPr>
      </w:pPr>
      <w:r w:rsidRPr="00D147C8">
        <w:rPr>
          <w:i/>
        </w:rPr>
        <w:t xml:space="preserve">Accounting for emissions budgets and the 2050 target should: </w:t>
      </w:r>
    </w:p>
    <w:p w14:paraId="23CF9331" w14:textId="787BA7E4" w:rsidR="001B273E" w:rsidRPr="00D147C8" w:rsidRDefault="001B273E" w:rsidP="00655722">
      <w:pPr>
        <w:pStyle w:val="ListParagraph"/>
        <w:numPr>
          <w:ilvl w:val="0"/>
          <w:numId w:val="27"/>
        </w:numPr>
        <w:shd w:val="clear" w:color="auto" w:fill="FFFFFF" w:themeFill="background1"/>
        <w:spacing w:before="0" w:after="160" w:line="276" w:lineRule="auto"/>
        <w:contextualSpacing w:val="0"/>
        <w:rPr>
          <w:i/>
        </w:rPr>
      </w:pPr>
      <w:r w:rsidRPr="00D147C8">
        <w:rPr>
          <w:i/>
        </w:rPr>
        <w:t xml:space="preserve">seek to cover all material </w:t>
      </w:r>
      <w:r w:rsidR="009E44EA">
        <w:rPr>
          <w:i/>
        </w:rPr>
        <w:t>human caused</w:t>
      </w:r>
      <w:r w:rsidRPr="00D147C8">
        <w:rPr>
          <w:i/>
        </w:rPr>
        <w:t xml:space="preserve"> emissions sources and sinks</w:t>
      </w:r>
      <w:r>
        <w:rPr>
          <w:i/>
          <w:iCs/>
        </w:rPr>
        <w:t>;</w:t>
      </w:r>
    </w:p>
    <w:p w14:paraId="6D4E8CF3" w14:textId="439C72BB" w:rsidR="001B273E" w:rsidRPr="00D147C8" w:rsidRDefault="001B273E" w:rsidP="00655722">
      <w:pPr>
        <w:pStyle w:val="ListParagraph"/>
        <w:numPr>
          <w:ilvl w:val="0"/>
          <w:numId w:val="27"/>
        </w:numPr>
        <w:shd w:val="clear" w:color="auto" w:fill="FFFFFF" w:themeFill="background1"/>
        <w:spacing w:before="0" w:after="160" w:line="276" w:lineRule="auto"/>
        <w:contextualSpacing w:val="0"/>
        <w:rPr>
          <w:i/>
        </w:rPr>
      </w:pPr>
      <w:r w:rsidRPr="00D147C8">
        <w:rPr>
          <w:i/>
        </w:rPr>
        <w:t>be grounded in robust science and evidence</w:t>
      </w:r>
      <w:r>
        <w:rPr>
          <w:i/>
          <w:iCs/>
        </w:rPr>
        <w:t>;</w:t>
      </w:r>
    </w:p>
    <w:p w14:paraId="7982316C" w14:textId="439C72BB" w:rsidR="001B273E" w:rsidRPr="00D147C8" w:rsidRDefault="001B273E" w:rsidP="00655722">
      <w:pPr>
        <w:pStyle w:val="ListParagraph"/>
        <w:numPr>
          <w:ilvl w:val="0"/>
          <w:numId w:val="27"/>
        </w:numPr>
        <w:shd w:val="clear" w:color="auto" w:fill="FFFFFF" w:themeFill="background1"/>
        <w:spacing w:before="0" w:after="160" w:line="276" w:lineRule="auto"/>
        <w:contextualSpacing w:val="0"/>
        <w:rPr>
          <w:i/>
        </w:rPr>
      </w:pPr>
      <w:r w:rsidRPr="00D147C8">
        <w:rPr>
          <w:i/>
        </w:rPr>
        <w:t>send a clear signal for climate action</w:t>
      </w:r>
      <w:r>
        <w:rPr>
          <w:i/>
          <w:iCs/>
        </w:rPr>
        <w:t>;</w:t>
      </w:r>
    </w:p>
    <w:p w14:paraId="12AEF2D9" w14:textId="439C72BB" w:rsidR="001B273E" w:rsidRPr="00D147C8" w:rsidRDefault="001B273E" w:rsidP="00655722">
      <w:pPr>
        <w:pStyle w:val="ListParagraph"/>
        <w:numPr>
          <w:ilvl w:val="0"/>
          <w:numId w:val="27"/>
        </w:numPr>
        <w:shd w:val="clear" w:color="auto" w:fill="FFFFFF" w:themeFill="background1"/>
        <w:spacing w:before="0" w:after="160" w:line="276" w:lineRule="auto"/>
        <w:contextualSpacing w:val="0"/>
        <w:rPr>
          <w:i/>
        </w:rPr>
      </w:pPr>
      <w:r w:rsidRPr="00D147C8">
        <w:rPr>
          <w:i/>
        </w:rPr>
        <w:t>be accurate and reduce uncertainty as far as practicable</w:t>
      </w:r>
      <w:r>
        <w:rPr>
          <w:i/>
          <w:iCs/>
        </w:rPr>
        <w:t>;</w:t>
      </w:r>
    </w:p>
    <w:p w14:paraId="5CA736FD" w14:textId="439C72BB" w:rsidR="001B273E" w:rsidRPr="00D147C8" w:rsidRDefault="001B273E" w:rsidP="00655722">
      <w:pPr>
        <w:pStyle w:val="ListParagraph"/>
        <w:numPr>
          <w:ilvl w:val="0"/>
          <w:numId w:val="27"/>
        </w:numPr>
        <w:shd w:val="clear" w:color="auto" w:fill="FFFFFF" w:themeFill="background1"/>
        <w:spacing w:before="0" w:after="160" w:line="276" w:lineRule="auto"/>
        <w:contextualSpacing w:val="0"/>
        <w:rPr>
          <w:i/>
        </w:rPr>
      </w:pPr>
      <w:r w:rsidRPr="00D147C8">
        <w:rPr>
          <w:i/>
        </w:rPr>
        <w:t>be transparent, practical and acceptable</w:t>
      </w:r>
      <w:r>
        <w:rPr>
          <w:i/>
          <w:iCs/>
        </w:rPr>
        <w:t>;</w:t>
      </w:r>
      <w:r w:rsidRPr="00D147C8">
        <w:rPr>
          <w:i/>
        </w:rPr>
        <w:t xml:space="preserve"> and </w:t>
      </w:r>
    </w:p>
    <w:p w14:paraId="15F55EAE" w14:textId="439C72BB" w:rsidR="001B273E" w:rsidRDefault="001B273E" w:rsidP="00655722">
      <w:pPr>
        <w:pStyle w:val="ListParagraph"/>
        <w:numPr>
          <w:ilvl w:val="0"/>
          <w:numId w:val="27"/>
        </w:numPr>
        <w:shd w:val="clear" w:color="auto" w:fill="FFFFFF" w:themeFill="background1"/>
        <w:spacing w:before="0" w:after="160" w:line="276" w:lineRule="auto"/>
        <w:contextualSpacing w:val="0"/>
      </w:pPr>
      <w:r w:rsidRPr="00D147C8">
        <w:rPr>
          <w:i/>
        </w:rPr>
        <w:t>be consistent and maintain the integrity of the target.</w:t>
      </w:r>
    </w:p>
    <w:p w14:paraId="013DF9BA" w14:textId="06246EC5" w:rsidR="001B273E" w:rsidRDefault="001B273E" w:rsidP="001B273E">
      <w:pPr>
        <w:spacing w:after="0" w:line="276" w:lineRule="auto"/>
      </w:pPr>
      <w:r w:rsidRPr="002230A5">
        <w:t>T</w:t>
      </w:r>
      <w:r>
        <w:t xml:space="preserve">ogether, the objective and principles </w:t>
      </w:r>
      <w:r w:rsidRPr="002230A5">
        <w:t>provide</w:t>
      </w:r>
      <w:r>
        <w:t xml:space="preserve"> </w:t>
      </w:r>
      <w:r w:rsidRPr="002230A5">
        <w:t>a</w:t>
      </w:r>
      <w:r>
        <w:t xml:space="preserve"> </w:t>
      </w:r>
      <w:r w:rsidRPr="002230A5">
        <w:t>framework</w:t>
      </w:r>
      <w:r>
        <w:t xml:space="preserve"> </w:t>
      </w:r>
      <w:r w:rsidRPr="002230A5">
        <w:t>to</w:t>
      </w:r>
      <w:r>
        <w:t xml:space="preserve"> </w:t>
      </w:r>
      <w:r w:rsidRPr="002230A5">
        <w:t>allow</w:t>
      </w:r>
      <w:r>
        <w:t xml:space="preserve"> </w:t>
      </w:r>
      <w:r w:rsidRPr="002230A5">
        <w:t>options</w:t>
      </w:r>
      <w:r>
        <w:t xml:space="preserve"> </w:t>
      </w:r>
      <w:r w:rsidRPr="002230A5">
        <w:t>and</w:t>
      </w:r>
      <w:r>
        <w:t xml:space="preserve"> </w:t>
      </w:r>
      <w:r w:rsidRPr="002230A5">
        <w:t>trade-offs</w:t>
      </w:r>
      <w:r>
        <w:t xml:space="preserve"> to be </w:t>
      </w:r>
      <w:r w:rsidRPr="002230A5">
        <w:t>understood</w:t>
      </w:r>
      <w:r>
        <w:t xml:space="preserve"> and </w:t>
      </w:r>
      <w:r w:rsidRPr="002230A5">
        <w:t>to</w:t>
      </w:r>
      <w:r>
        <w:t xml:space="preserve"> </w:t>
      </w:r>
      <w:r w:rsidRPr="002230A5">
        <w:t>inform</w:t>
      </w:r>
      <w:r>
        <w:t xml:space="preserve"> </w:t>
      </w:r>
      <w:r w:rsidRPr="002230A5">
        <w:t>decisions</w:t>
      </w:r>
      <w:r>
        <w:t xml:space="preserve"> </w:t>
      </w:r>
      <w:r w:rsidRPr="002230A5">
        <w:t>about</w:t>
      </w:r>
      <w:r>
        <w:t xml:space="preserve"> </w:t>
      </w:r>
      <w:r w:rsidRPr="002230A5">
        <w:t>accounting</w:t>
      </w:r>
      <w:r>
        <w:t xml:space="preserve"> </w:t>
      </w:r>
      <w:r w:rsidRPr="002230A5">
        <w:t>rules.</w:t>
      </w:r>
      <w:r>
        <w:t xml:space="preserve"> For more information on the reasoning for and meaning of each principle, see the </w:t>
      </w:r>
      <w:r w:rsidRPr="00084F71">
        <w:t xml:space="preserve">chapter </w:t>
      </w:r>
      <w:r w:rsidR="00084F71" w:rsidRPr="00084F71">
        <w:t>3</w:t>
      </w:r>
      <w:r w:rsidRPr="00084F71">
        <w:t xml:space="preserve"> in the</w:t>
      </w:r>
      <w:r>
        <w:t xml:space="preserve"> </w:t>
      </w:r>
      <w:r w:rsidR="00084F71" w:rsidRPr="00084F71">
        <w:t>E</w:t>
      </w:r>
      <w:r w:rsidRPr="00084F71">
        <w:t xml:space="preserve">vidence </w:t>
      </w:r>
      <w:r w:rsidR="00084F71" w:rsidRPr="00084F71">
        <w:t>R</w:t>
      </w:r>
      <w:r w:rsidRPr="00084F71">
        <w:t>eport</w:t>
      </w:r>
      <w:r>
        <w:t xml:space="preserve">. </w:t>
      </w:r>
    </w:p>
    <w:p w14:paraId="41A2171B" w14:textId="22302472" w:rsidR="001B273E" w:rsidRPr="00AA3E0B" w:rsidRDefault="00CB24D5" w:rsidP="00AA3E0B">
      <w:pPr>
        <w:pStyle w:val="Heading2"/>
      </w:pPr>
      <w:bookmarkStart w:id="248" w:name="_Toc62650321"/>
      <w:r>
        <w:t xml:space="preserve">7.4 </w:t>
      </w:r>
      <w:r w:rsidR="001B273E" w:rsidRPr="00AA3E0B">
        <w:t>Production- or consumption-based greenhouse gas accounting</w:t>
      </w:r>
      <w:bookmarkEnd w:id="248"/>
    </w:p>
    <w:p w14:paraId="025D4C0B" w14:textId="439C72BB" w:rsidR="001B273E" w:rsidRDefault="001B273E" w:rsidP="00E40015">
      <w:pPr>
        <w:rPr>
          <w:lang w:eastAsia="en-NZ"/>
        </w:rPr>
      </w:pPr>
      <w:r>
        <w:rPr>
          <w:lang w:eastAsia="en-NZ"/>
        </w:rPr>
        <w:t xml:space="preserve">One of the most fundamental choices in greenhouse gas accounting is whether to calculate emissions on a </w:t>
      </w:r>
      <w:r w:rsidRPr="003929C7">
        <w:rPr>
          <w:lang w:eastAsia="en-NZ"/>
        </w:rPr>
        <w:t>production</w:t>
      </w:r>
      <w:r>
        <w:rPr>
          <w:lang w:eastAsia="en-NZ"/>
        </w:rPr>
        <w:t xml:space="preserve"> </w:t>
      </w:r>
      <w:r w:rsidRPr="003929C7">
        <w:rPr>
          <w:lang w:eastAsia="en-NZ"/>
        </w:rPr>
        <w:t>or</w:t>
      </w:r>
      <w:r>
        <w:rPr>
          <w:lang w:eastAsia="en-NZ"/>
        </w:rPr>
        <w:t xml:space="preserve"> </w:t>
      </w:r>
      <w:r w:rsidRPr="003929C7">
        <w:rPr>
          <w:lang w:eastAsia="en-NZ"/>
        </w:rPr>
        <w:t>a</w:t>
      </w:r>
      <w:r>
        <w:rPr>
          <w:lang w:eastAsia="en-NZ"/>
        </w:rPr>
        <w:t xml:space="preserve"> consumption basis. </w:t>
      </w:r>
    </w:p>
    <w:p w14:paraId="503AE9C8" w14:textId="3E91FE8C" w:rsidR="001B273E" w:rsidRDefault="001B273E" w:rsidP="00E40015">
      <w:pPr>
        <w:rPr>
          <w:lang w:eastAsia="en-NZ"/>
        </w:rPr>
      </w:pPr>
      <w:r>
        <w:t xml:space="preserve">Until now, production-based accounting has been the only option for tracking </w:t>
      </w:r>
      <w:r w:rsidR="00C83562">
        <w:t xml:space="preserve">the country’s </w:t>
      </w:r>
      <w:r>
        <w:t xml:space="preserve">emissions. In 2020 consumption-based emissions estimates were produced by </w:t>
      </w:r>
      <w:proofErr w:type="spellStart"/>
      <w:r>
        <w:t>StatsNZ</w:t>
      </w:r>
      <w:proofErr w:type="spellEnd"/>
      <w:r>
        <w:t xml:space="preserve"> for the first time. </w:t>
      </w:r>
      <w:r>
        <w:rPr>
          <w:lang w:eastAsia="en-NZ"/>
        </w:rPr>
        <w:t xml:space="preserve">We have assessed these two approaches using the objective and principles for accounting set out above. </w:t>
      </w:r>
    </w:p>
    <w:p w14:paraId="7F2788CD" w14:textId="439C72BB" w:rsidR="001B273E" w:rsidRPr="00D1340D" w:rsidRDefault="001B273E" w:rsidP="00E40015">
      <w:r>
        <w:rPr>
          <w:lang w:eastAsia="en-NZ"/>
        </w:rPr>
        <w:t xml:space="preserve">Our proposed advice is that production-based estimates </w:t>
      </w:r>
      <w:r>
        <w:t xml:space="preserve">are more suitable for accounting for emissions budgets and the 2050 target. </w:t>
      </w:r>
    </w:p>
    <w:p w14:paraId="2AB82DF0" w14:textId="0C401590" w:rsidR="001B273E" w:rsidRPr="005442BC" w:rsidRDefault="001B273E" w:rsidP="00E40015">
      <w:pPr>
        <w:rPr>
          <w:lang w:eastAsia="en-NZ"/>
        </w:rPr>
      </w:pPr>
      <w:r w:rsidRPr="3ECEBD94">
        <w:rPr>
          <w:lang w:eastAsia="en-NZ"/>
        </w:rPr>
        <w:t xml:space="preserve">The production approach records emissions at the point </w:t>
      </w:r>
      <w:r>
        <w:rPr>
          <w:lang w:eastAsia="en-NZ"/>
        </w:rPr>
        <w:t xml:space="preserve">where human activity causes their release to the atmosphere. It </w:t>
      </w:r>
      <w:r w:rsidRPr="3ECEBD94">
        <w:rPr>
          <w:lang w:eastAsia="en-NZ"/>
        </w:rPr>
        <w:t>attributes the emissions to the original producer of the emission</w:t>
      </w:r>
      <w:r w:rsidR="00005011">
        <w:rPr>
          <w:lang w:eastAsia="en-NZ"/>
        </w:rPr>
        <w:t>, for example</w:t>
      </w:r>
      <w:r w:rsidRPr="3ECEBD94" w:rsidDel="00005011">
        <w:rPr>
          <w:lang w:eastAsia="en-NZ"/>
        </w:rPr>
        <w:t xml:space="preserve"> </w:t>
      </w:r>
      <w:r w:rsidRPr="3ECEBD94">
        <w:rPr>
          <w:lang w:eastAsia="en-NZ"/>
        </w:rPr>
        <w:t>a manufacturing plant burning coal in a boiler</w:t>
      </w:r>
      <w:r>
        <w:rPr>
          <w:lang w:eastAsia="en-NZ"/>
        </w:rPr>
        <w:t xml:space="preserve">. </w:t>
      </w:r>
      <w:r w:rsidRPr="482F5E7A">
        <w:rPr>
          <w:lang w:eastAsia="en-NZ"/>
        </w:rPr>
        <w:t>Production-based accounting is the standard method</w:t>
      </w:r>
      <w:r>
        <w:rPr>
          <w:lang w:eastAsia="en-NZ"/>
        </w:rPr>
        <w:t xml:space="preserve"> used by countries for setting and tracking emissions reduction targets, and it is used to compile our national Inventory.</w:t>
      </w:r>
    </w:p>
    <w:p w14:paraId="76C727A0" w14:textId="21458D9A" w:rsidR="001B273E" w:rsidRDefault="001B273E" w:rsidP="00E40015">
      <w:pPr>
        <w:rPr>
          <w:lang w:eastAsia="en-NZ"/>
        </w:rPr>
      </w:pPr>
      <w:r w:rsidRPr="3ECEBD94">
        <w:rPr>
          <w:lang w:eastAsia="en-NZ"/>
        </w:rPr>
        <w:t xml:space="preserve">The consumption approach accounts for emissions </w:t>
      </w:r>
      <w:r>
        <w:rPr>
          <w:lang w:eastAsia="en-NZ"/>
        </w:rPr>
        <w:t>‘</w:t>
      </w:r>
      <w:r w:rsidRPr="3ECEBD94">
        <w:rPr>
          <w:lang w:eastAsia="en-NZ"/>
        </w:rPr>
        <w:t>emb</w:t>
      </w:r>
      <w:r w:rsidR="00315E84">
        <w:rPr>
          <w:lang w:eastAsia="en-NZ"/>
        </w:rPr>
        <w:t>odied</w:t>
      </w:r>
      <w:r>
        <w:rPr>
          <w:lang w:eastAsia="en-NZ"/>
        </w:rPr>
        <w:t>’</w:t>
      </w:r>
      <w:r w:rsidRPr="3ECEBD94">
        <w:rPr>
          <w:lang w:eastAsia="en-NZ"/>
        </w:rPr>
        <w:t xml:space="preserve"> in a good or service that result from the entire supply chain required to produce that good or service for final use. </w:t>
      </w:r>
      <w:r>
        <w:rPr>
          <w:lang w:eastAsia="en-NZ"/>
        </w:rPr>
        <w:t xml:space="preserve">For example, in the case of vehicle transport, this approach would record all </w:t>
      </w:r>
      <w:r w:rsidRPr="3ECEBD94">
        <w:rPr>
          <w:lang w:eastAsia="en-NZ"/>
        </w:rPr>
        <w:t xml:space="preserve">the emissions </w:t>
      </w:r>
      <w:r>
        <w:rPr>
          <w:lang w:eastAsia="en-NZ"/>
        </w:rPr>
        <w:t xml:space="preserve">produced from making the </w:t>
      </w:r>
      <w:r>
        <w:rPr>
          <w:lang w:eastAsia="en-NZ"/>
        </w:rPr>
        <w:lastRenderedPageBreak/>
        <w:t>materials</w:t>
      </w:r>
      <w:r w:rsidR="00E40015">
        <w:rPr>
          <w:lang w:eastAsia="en-NZ"/>
        </w:rPr>
        <w:t>, such as the</w:t>
      </w:r>
      <w:r w:rsidDel="00E40015">
        <w:rPr>
          <w:lang w:eastAsia="en-NZ"/>
        </w:rPr>
        <w:t xml:space="preserve"> </w:t>
      </w:r>
      <w:r>
        <w:rPr>
          <w:lang w:eastAsia="en-NZ"/>
        </w:rPr>
        <w:t>metals</w:t>
      </w:r>
      <w:r w:rsidR="00E40015">
        <w:rPr>
          <w:lang w:eastAsia="en-NZ"/>
        </w:rPr>
        <w:t>,</w:t>
      </w:r>
      <w:r>
        <w:rPr>
          <w:lang w:eastAsia="en-NZ"/>
        </w:rPr>
        <w:t xml:space="preserve"> and from the assembly of a car, as well as the emissions from fossil fuel combustion generated when the car is driven. Under the consumption approach, Aotearoa would not be responsible for the emissions embodied in the goods it exports but would be responsible for those embodied in imports.</w:t>
      </w:r>
    </w:p>
    <w:p w14:paraId="5148245A" w14:textId="439C72BB" w:rsidR="001B273E" w:rsidRDefault="001B273E" w:rsidP="00E40015">
      <w:r>
        <w:t xml:space="preserve">The consumption emissions estimates for Aotearoa are at an early stage of development and have significant downsides. These include: </w:t>
      </w:r>
    </w:p>
    <w:p w14:paraId="57A77B04" w14:textId="439C72BB" w:rsidR="001B273E" w:rsidRPr="00B22311" w:rsidRDefault="001B273E" w:rsidP="00655722">
      <w:pPr>
        <w:pStyle w:val="ListParagraph"/>
        <w:numPr>
          <w:ilvl w:val="0"/>
          <w:numId w:val="26"/>
        </w:numPr>
        <w:spacing w:before="0" w:after="160" w:line="276" w:lineRule="auto"/>
        <w:ind w:left="426" w:hanging="284"/>
        <w:contextualSpacing w:val="0"/>
        <w:rPr>
          <w:rFonts w:eastAsiaTheme="minorEastAsia"/>
        </w:rPr>
      </w:pPr>
      <w:r>
        <w:rPr>
          <w:rFonts w:eastAsiaTheme="minorEastAsia"/>
        </w:rPr>
        <w:t xml:space="preserve">Lower coverage of material sources and sinks. The consumption estimates exclude land emissions, due to the technical difficulty and lack of methods for attributing land emissions to industry sectors and final use. </w:t>
      </w:r>
    </w:p>
    <w:p w14:paraId="4F273EFD" w14:textId="20E3934A" w:rsidR="001B273E" w:rsidRPr="007A3B2B" w:rsidRDefault="001B273E" w:rsidP="00655722">
      <w:pPr>
        <w:pStyle w:val="ListParagraph"/>
        <w:numPr>
          <w:ilvl w:val="0"/>
          <w:numId w:val="26"/>
        </w:numPr>
        <w:spacing w:before="0" w:after="160" w:line="276" w:lineRule="auto"/>
        <w:ind w:left="426" w:hanging="284"/>
        <w:contextualSpacing w:val="0"/>
        <w:rPr>
          <w:rFonts w:eastAsiaTheme="minorEastAsia"/>
        </w:rPr>
      </w:pPr>
      <w:r>
        <w:t xml:space="preserve">Accuracy and uncertainty are negatively affected by assumptions made about emissions embedded in imports from other countries. For example, </w:t>
      </w:r>
      <w:proofErr w:type="spellStart"/>
      <w:r>
        <w:t>StatsNZ</w:t>
      </w:r>
      <w:proofErr w:type="spellEnd"/>
      <w:r>
        <w:t xml:space="preserve"> calculates the consumption estimates assuming imports have the same emissions content as outputs of the same industry in Aotearoa.</w:t>
      </w:r>
    </w:p>
    <w:p w14:paraId="2FA85763" w14:textId="64F68EE2" w:rsidR="001B273E" w:rsidRPr="00B05597" w:rsidRDefault="001B273E" w:rsidP="00655722">
      <w:pPr>
        <w:pStyle w:val="ListParagraph"/>
        <w:numPr>
          <w:ilvl w:val="0"/>
          <w:numId w:val="26"/>
        </w:numPr>
        <w:spacing w:before="0" w:after="160" w:line="276" w:lineRule="auto"/>
        <w:ind w:left="426" w:hanging="284"/>
        <w:contextualSpacing w:val="0"/>
        <w:rPr>
          <w:rFonts w:eastAsiaTheme="minorEastAsia"/>
        </w:rPr>
      </w:pPr>
      <w:r>
        <w:t>Lack of</w:t>
      </w:r>
      <w:r w:rsidRPr="0042186A">
        <w:t xml:space="preserve"> </w:t>
      </w:r>
      <w:r>
        <w:t xml:space="preserve">an </w:t>
      </w:r>
      <w:r w:rsidRPr="0042186A">
        <w:t>internationally agreed standard for calculating and reporting consumption emissions</w:t>
      </w:r>
      <w:r>
        <w:t>. This</w:t>
      </w:r>
      <w:r w:rsidRPr="0042186A">
        <w:t xml:space="preserve"> would make it difficult to compare </w:t>
      </w:r>
      <w:r w:rsidR="00C83562">
        <w:t>the country’s</w:t>
      </w:r>
      <w:r w:rsidR="00C83562" w:rsidRPr="0042186A">
        <w:t xml:space="preserve"> </w:t>
      </w:r>
      <w:r w:rsidRPr="0042186A">
        <w:t>targets and progress in reducing emissions against those of other countries.</w:t>
      </w:r>
      <w:bookmarkStart w:id="249" w:name="_Hlk55990111"/>
    </w:p>
    <w:p w14:paraId="682D44E2" w14:textId="439C72BB" w:rsidR="001B273E" w:rsidRPr="00B05597" w:rsidRDefault="001B273E" w:rsidP="00655722">
      <w:pPr>
        <w:pStyle w:val="ListParagraph"/>
        <w:numPr>
          <w:ilvl w:val="0"/>
          <w:numId w:val="26"/>
        </w:numPr>
        <w:spacing w:before="0" w:after="160" w:line="276" w:lineRule="auto"/>
        <w:ind w:left="426" w:hanging="284"/>
        <w:contextualSpacing w:val="0"/>
        <w:rPr>
          <w:rFonts w:eastAsiaTheme="minorEastAsia"/>
        </w:rPr>
      </w:pPr>
      <w:r>
        <w:t xml:space="preserve">Using </w:t>
      </w:r>
      <w:r w:rsidRPr="0042186A">
        <w:t xml:space="preserve">consumption-based emissions estimates for accounting would differ from </w:t>
      </w:r>
      <w:r>
        <w:t xml:space="preserve">the analysis used to set the </w:t>
      </w:r>
      <w:r w:rsidRPr="0042186A">
        <w:t>2050 target</w:t>
      </w:r>
      <w:r>
        <w:t xml:space="preserve">. This could undermine the integrity of the target. </w:t>
      </w:r>
    </w:p>
    <w:bookmarkEnd w:id="249"/>
    <w:p w14:paraId="2BB87CBA" w14:textId="61D450DD" w:rsidR="001B273E" w:rsidRPr="00EF7E24" w:rsidRDefault="001B273E" w:rsidP="00E40015">
      <w:pPr>
        <w:rPr>
          <w:rStyle w:val="normaltextrun"/>
          <w:rFonts w:ascii="Calibri" w:hAnsi="Calibri" w:cs="Calibri"/>
          <w:color w:val="000000"/>
          <w:shd w:val="clear" w:color="auto" w:fill="FFFFFF"/>
          <w:lang w:val="en-US"/>
        </w:rPr>
      </w:pPr>
      <w:r>
        <w:rPr>
          <w:rStyle w:val="normaltextrun"/>
          <w:rFonts w:ascii="Calibri" w:eastAsiaTheme="majorEastAsia" w:hAnsi="Calibri" w:cs="Calibri"/>
          <w:lang w:val="en-US"/>
        </w:rPr>
        <w:t>C</w:t>
      </w:r>
      <w:r w:rsidRPr="20D0F5AB">
        <w:rPr>
          <w:rStyle w:val="normaltextrun"/>
          <w:rFonts w:ascii="Calibri" w:hAnsi="Calibri" w:cs="Calibri"/>
          <w:color w:val="000000" w:themeColor="text1"/>
          <w:lang w:val="en-US"/>
        </w:rPr>
        <w:t xml:space="preserve">onsumption-based emissions are, however, a useful complement to the national Inventory. We look forward to </w:t>
      </w:r>
      <w:proofErr w:type="spellStart"/>
      <w:r w:rsidRPr="20D0F5AB">
        <w:rPr>
          <w:rStyle w:val="normaltextrun"/>
          <w:rFonts w:ascii="Calibri" w:hAnsi="Calibri" w:cs="Calibri"/>
          <w:color w:val="000000" w:themeColor="text1"/>
          <w:lang w:val="en-US"/>
        </w:rPr>
        <w:t>StatsNZ’s</w:t>
      </w:r>
      <w:proofErr w:type="spellEnd"/>
      <w:r w:rsidRPr="20D0F5AB">
        <w:rPr>
          <w:rStyle w:val="normaltextrun"/>
          <w:rFonts w:ascii="Calibri" w:hAnsi="Calibri" w:cs="Calibri"/>
          <w:color w:val="000000" w:themeColor="text1"/>
          <w:lang w:val="en-US"/>
        </w:rPr>
        <w:t xml:space="preserve"> efforts to continually improve and provide annual reports on consumption emissions. We intend to monitor them for insights into </w:t>
      </w:r>
      <w:r w:rsidR="00C83562">
        <w:rPr>
          <w:rStyle w:val="normaltextrun"/>
          <w:rFonts w:ascii="Calibri" w:hAnsi="Calibri" w:cs="Calibri"/>
          <w:color w:val="000000" w:themeColor="text1"/>
          <w:lang w:val="en-US"/>
        </w:rPr>
        <w:t>the</w:t>
      </w:r>
      <w:r w:rsidR="00C83562" w:rsidRPr="20D0F5AB">
        <w:rPr>
          <w:rStyle w:val="normaltextrun"/>
          <w:rFonts w:ascii="Calibri" w:hAnsi="Calibri" w:cs="Calibri"/>
          <w:color w:val="000000" w:themeColor="text1"/>
          <w:lang w:val="en-US"/>
        </w:rPr>
        <w:t xml:space="preserve"> </w:t>
      </w:r>
      <w:r w:rsidRPr="20D0F5AB">
        <w:rPr>
          <w:rStyle w:val="normaltextrun"/>
          <w:rFonts w:ascii="Calibri" w:hAnsi="Calibri" w:cs="Calibri"/>
          <w:color w:val="000000" w:themeColor="text1"/>
          <w:lang w:val="en-US"/>
        </w:rPr>
        <w:t xml:space="preserve">wider impact </w:t>
      </w:r>
      <w:r w:rsidR="00C83562">
        <w:rPr>
          <w:rStyle w:val="normaltextrun"/>
          <w:rFonts w:ascii="Calibri" w:hAnsi="Calibri" w:cs="Calibri"/>
          <w:color w:val="000000" w:themeColor="text1"/>
          <w:lang w:val="en-US"/>
        </w:rPr>
        <w:t xml:space="preserve">Aotearoa has </w:t>
      </w:r>
      <w:r w:rsidRPr="20D0F5AB">
        <w:rPr>
          <w:rStyle w:val="normaltextrun"/>
          <w:rFonts w:ascii="Calibri" w:hAnsi="Calibri" w:cs="Calibri"/>
          <w:color w:val="000000" w:themeColor="text1"/>
          <w:lang w:val="en-US"/>
        </w:rPr>
        <w:t xml:space="preserve">on global emissions, carbon-intensive supply chains and trade flows. </w:t>
      </w:r>
    </w:p>
    <w:p w14:paraId="5F95B141" w14:textId="4F39956B" w:rsidR="001B273E" w:rsidRPr="00AA3E0B" w:rsidRDefault="00CB24D5" w:rsidP="00AA3E0B">
      <w:pPr>
        <w:pStyle w:val="Heading2"/>
      </w:pPr>
      <w:bookmarkStart w:id="250" w:name="_Toc62650322"/>
      <w:r>
        <w:t xml:space="preserve">7.5 </w:t>
      </w:r>
      <w:r w:rsidR="001B273E" w:rsidRPr="00AA3E0B">
        <w:t>Accounting for land emissions</w:t>
      </w:r>
      <w:bookmarkEnd w:id="250"/>
    </w:p>
    <w:p w14:paraId="0CBDE19C" w14:textId="439C72BB" w:rsidR="001B273E" w:rsidRDefault="001B273E" w:rsidP="00E40015">
      <w:r>
        <w:t xml:space="preserve">We need to decide on a framework for land emissions accounting, given the significance of these emissions for Aotearoa. Given the role forests can play meeting our net zero target in 2050 and beyond, a fit-for-purpose accounting framework is key. </w:t>
      </w:r>
    </w:p>
    <w:p w14:paraId="6B84CCB9" w14:textId="439C72BB" w:rsidR="001B273E" w:rsidRPr="00407376" w:rsidRDefault="001B273E" w:rsidP="00E40015">
      <w:pPr>
        <w:rPr>
          <w:lang w:eastAsia="en-NZ"/>
        </w:rPr>
      </w:pPr>
      <w:r>
        <w:rPr>
          <w:lang w:eastAsia="en-NZ"/>
        </w:rPr>
        <w:t xml:space="preserve">There are </w:t>
      </w:r>
      <w:r w:rsidRPr="00407376">
        <w:rPr>
          <w:lang w:eastAsia="en-NZ"/>
        </w:rPr>
        <w:t>two</w:t>
      </w:r>
      <w:r>
        <w:rPr>
          <w:lang w:eastAsia="en-NZ"/>
        </w:rPr>
        <w:t xml:space="preserve"> </w:t>
      </w:r>
      <w:r w:rsidRPr="00407376">
        <w:rPr>
          <w:lang w:eastAsia="en-NZ"/>
        </w:rPr>
        <w:t>frameworks</w:t>
      </w:r>
      <w:r>
        <w:rPr>
          <w:lang w:eastAsia="en-NZ"/>
        </w:rPr>
        <w:t xml:space="preserve"> </w:t>
      </w:r>
      <w:r w:rsidRPr="00407376">
        <w:rPr>
          <w:lang w:eastAsia="en-NZ"/>
        </w:rPr>
        <w:t>for</w:t>
      </w:r>
      <w:r>
        <w:rPr>
          <w:lang w:eastAsia="en-NZ"/>
        </w:rPr>
        <w:t xml:space="preserve"> </w:t>
      </w:r>
      <w:r w:rsidRPr="00407376">
        <w:rPr>
          <w:lang w:eastAsia="en-NZ"/>
        </w:rPr>
        <w:t>land</w:t>
      </w:r>
      <w:r>
        <w:rPr>
          <w:lang w:eastAsia="en-NZ"/>
        </w:rPr>
        <w:t xml:space="preserve"> </w:t>
      </w:r>
      <w:r w:rsidRPr="00407376">
        <w:rPr>
          <w:lang w:eastAsia="en-NZ"/>
        </w:rPr>
        <w:t>emissions</w:t>
      </w:r>
      <w:r>
        <w:rPr>
          <w:lang w:eastAsia="en-NZ"/>
        </w:rPr>
        <w:t xml:space="preserve"> </w:t>
      </w:r>
      <w:r w:rsidRPr="00407376">
        <w:rPr>
          <w:lang w:eastAsia="en-NZ"/>
        </w:rPr>
        <w:t>accounting</w:t>
      </w:r>
      <w:r>
        <w:rPr>
          <w:lang w:eastAsia="en-NZ"/>
        </w:rPr>
        <w:t xml:space="preserve"> currently used in Aotearoa</w:t>
      </w:r>
      <w:r w:rsidRPr="00407376">
        <w:rPr>
          <w:lang w:eastAsia="en-NZ"/>
        </w:rPr>
        <w:t>:</w:t>
      </w:r>
      <w:r>
        <w:rPr>
          <w:lang w:eastAsia="en-NZ"/>
        </w:rPr>
        <w:t xml:space="preserve"> </w:t>
      </w:r>
    </w:p>
    <w:p w14:paraId="60AED81B" w14:textId="0F0C4622" w:rsidR="001B273E" w:rsidRPr="00407376" w:rsidRDefault="001B273E" w:rsidP="00655722">
      <w:pPr>
        <w:pStyle w:val="ListParagraph"/>
        <w:numPr>
          <w:ilvl w:val="0"/>
          <w:numId w:val="28"/>
        </w:numPr>
        <w:spacing w:before="0" w:after="200" w:line="276" w:lineRule="auto"/>
        <w:contextualSpacing w:val="0"/>
        <w:rPr>
          <w:lang w:eastAsia="en-NZ"/>
        </w:rPr>
      </w:pPr>
      <w:r w:rsidRPr="00407376">
        <w:rPr>
          <w:lang w:eastAsia="en-NZ"/>
        </w:rPr>
        <w:t>a</w:t>
      </w:r>
      <w:r>
        <w:rPr>
          <w:lang w:eastAsia="en-NZ"/>
        </w:rPr>
        <w:t xml:space="preserve"> ‘</w:t>
      </w:r>
      <w:r w:rsidRPr="00407376">
        <w:rPr>
          <w:lang w:eastAsia="en-NZ"/>
        </w:rPr>
        <w:t>land-based</w:t>
      </w:r>
      <w:r>
        <w:rPr>
          <w:lang w:eastAsia="en-NZ"/>
        </w:rPr>
        <w:t xml:space="preserve">’ </w:t>
      </w:r>
      <w:r w:rsidRPr="00407376">
        <w:rPr>
          <w:lang w:eastAsia="en-NZ"/>
        </w:rPr>
        <w:t>approach</w:t>
      </w:r>
      <w:r>
        <w:rPr>
          <w:lang w:eastAsia="en-NZ"/>
        </w:rPr>
        <w:t xml:space="preserve"> that uses ‘stock change’ </w:t>
      </w:r>
      <w:r>
        <w:t xml:space="preserve">accounting </w:t>
      </w:r>
      <w:r w:rsidRPr="00B05597">
        <w:rPr>
          <w:lang w:eastAsia="en-NZ"/>
        </w:rPr>
        <w:t>for both pre-1990 and post-1989 forests</w:t>
      </w:r>
      <w:r>
        <w:rPr>
          <w:lang w:eastAsia="en-NZ"/>
        </w:rPr>
        <w:t xml:space="preserve">. This is </w:t>
      </w:r>
      <w:r w:rsidRPr="00B05597">
        <w:rPr>
          <w:lang w:eastAsia="en-NZ"/>
        </w:rPr>
        <w:t xml:space="preserve">used in </w:t>
      </w:r>
      <w:r w:rsidR="00C83562">
        <w:t>the country’s</w:t>
      </w:r>
      <w:r w:rsidR="00C83562" w:rsidRPr="00B05597">
        <w:rPr>
          <w:lang w:eastAsia="en-NZ"/>
        </w:rPr>
        <w:t xml:space="preserve"> </w:t>
      </w:r>
      <w:r w:rsidRPr="00B05597">
        <w:rPr>
          <w:lang w:eastAsia="en-NZ"/>
        </w:rPr>
        <w:t>national G</w:t>
      </w:r>
      <w:r w:rsidR="007A0330">
        <w:rPr>
          <w:lang w:eastAsia="en-NZ"/>
        </w:rPr>
        <w:t xml:space="preserve">reenhouse </w:t>
      </w:r>
      <w:r w:rsidRPr="00B05597">
        <w:rPr>
          <w:lang w:eastAsia="en-NZ"/>
        </w:rPr>
        <w:t>G</w:t>
      </w:r>
      <w:r w:rsidR="007A0330">
        <w:rPr>
          <w:lang w:eastAsia="en-NZ"/>
        </w:rPr>
        <w:t>as</w:t>
      </w:r>
      <w:r w:rsidRPr="00B05597">
        <w:rPr>
          <w:lang w:eastAsia="en-NZ"/>
        </w:rPr>
        <w:t xml:space="preserve"> Inventory for UNFCCC reporting</w:t>
      </w:r>
      <w:r>
        <w:t>;</w:t>
      </w:r>
      <w:r>
        <w:rPr>
          <w:lang w:eastAsia="en-NZ"/>
        </w:rPr>
        <w:t xml:space="preserve"> </w:t>
      </w:r>
      <w:r w:rsidRPr="00407376">
        <w:rPr>
          <w:lang w:eastAsia="en-NZ"/>
        </w:rPr>
        <w:t>or</w:t>
      </w:r>
      <w:r>
        <w:rPr>
          <w:lang w:eastAsia="en-NZ"/>
        </w:rPr>
        <w:t xml:space="preserve"> </w:t>
      </w:r>
    </w:p>
    <w:p w14:paraId="2EA56A3D" w14:textId="2FA8E518" w:rsidR="001B273E" w:rsidRDefault="001B273E" w:rsidP="00655722">
      <w:pPr>
        <w:pStyle w:val="ListParagraph"/>
        <w:numPr>
          <w:ilvl w:val="0"/>
          <w:numId w:val="28"/>
        </w:numPr>
        <w:spacing w:before="0" w:after="200" w:line="276" w:lineRule="auto"/>
        <w:contextualSpacing w:val="0"/>
      </w:pPr>
      <w:r w:rsidRPr="00407376">
        <w:rPr>
          <w:lang w:eastAsia="en-NZ"/>
        </w:rPr>
        <w:t>a</w:t>
      </w:r>
      <w:r>
        <w:rPr>
          <w:lang w:eastAsia="en-NZ"/>
        </w:rPr>
        <w:t xml:space="preserve"> modified ‘</w:t>
      </w:r>
      <w:r w:rsidRPr="00407376">
        <w:rPr>
          <w:lang w:eastAsia="en-NZ"/>
        </w:rPr>
        <w:t>activity-based</w:t>
      </w:r>
      <w:r>
        <w:rPr>
          <w:lang w:eastAsia="en-NZ"/>
        </w:rPr>
        <w:t xml:space="preserve">’ </w:t>
      </w:r>
      <w:r w:rsidRPr="00407376">
        <w:rPr>
          <w:lang w:eastAsia="en-NZ"/>
        </w:rPr>
        <w:t>approach</w:t>
      </w:r>
      <w:r>
        <w:rPr>
          <w:lang w:eastAsia="en-NZ"/>
        </w:rPr>
        <w:t xml:space="preserve"> </w:t>
      </w:r>
      <w:r w:rsidRPr="00407376">
        <w:rPr>
          <w:lang w:eastAsia="en-NZ"/>
        </w:rPr>
        <w:t>that</w:t>
      </w:r>
      <w:r>
        <w:rPr>
          <w:lang w:eastAsia="en-NZ"/>
        </w:rPr>
        <w:t xml:space="preserve"> </w:t>
      </w:r>
      <w:r w:rsidRPr="00407376">
        <w:rPr>
          <w:lang w:eastAsia="en-NZ"/>
        </w:rPr>
        <w:t>uses</w:t>
      </w:r>
      <w:r>
        <w:rPr>
          <w:lang w:eastAsia="en-NZ"/>
        </w:rPr>
        <w:t xml:space="preserve"> ‘</w:t>
      </w:r>
      <w:r w:rsidRPr="00407376">
        <w:rPr>
          <w:lang w:eastAsia="en-NZ"/>
        </w:rPr>
        <w:t>averaging</w:t>
      </w:r>
      <w:r>
        <w:rPr>
          <w:lang w:eastAsia="en-NZ"/>
        </w:rPr>
        <w:t xml:space="preserve">’ </w:t>
      </w:r>
      <w:r>
        <w:t xml:space="preserve">accounting </w:t>
      </w:r>
      <w:r w:rsidRPr="00407376">
        <w:rPr>
          <w:lang w:eastAsia="en-NZ"/>
        </w:rPr>
        <w:t>for</w:t>
      </w:r>
      <w:r>
        <w:rPr>
          <w:lang w:eastAsia="en-NZ"/>
        </w:rPr>
        <w:t xml:space="preserve"> </w:t>
      </w:r>
      <w:r w:rsidRPr="00407376">
        <w:rPr>
          <w:lang w:eastAsia="en-NZ"/>
        </w:rPr>
        <w:t>post-1989</w:t>
      </w:r>
      <w:r>
        <w:rPr>
          <w:lang w:eastAsia="en-NZ"/>
        </w:rPr>
        <w:t xml:space="preserve"> </w:t>
      </w:r>
      <w:r w:rsidRPr="00407376">
        <w:rPr>
          <w:lang w:eastAsia="en-NZ"/>
        </w:rPr>
        <w:t>forests</w:t>
      </w:r>
      <w:r>
        <w:rPr>
          <w:lang w:eastAsia="en-NZ"/>
        </w:rPr>
        <w:t xml:space="preserve">. This is used </w:t>
      </w:r>
      <w:r w:rsidRPr="00407376">
        <w:rPr>
          <w:lang w:eastAsia="en-NZ"/>
        </w:rPr>
        <w:t>in</w:t>
      </w:r>
      <w:r>
        <w:rPr>
          <w:lang w:eastAsia="en-NZ"/>
        </w:rPr>
        <w:t xml:space="preserve"> </w:t>
      </w:r>
      <w:r w:rsidR="00C83562">
        <w:t>the country’s</w:t>
      </w:r>
      <w:r w:rsidR="00C83562">
        <w:rPr>
          <w:lang w:eastAsia="en-NZ"/>
        </w:rPr>
        <w:t xml:space="preserve"> </w:t>
      </w:r>
      <w:r w:rsidRPr="00407376">
        <w:rPr>
          <w:lang w:eastAsia="en-NZ"/>
        </w:rPr>
        <w:t>NDC</w:t>
      </w:r>
      <w:r>
        <w:rPr>
          <w:lang w:eastAsia="en-NZ"/>
        </w:rPr>
        <w:t>.</w:t>
      </w:r>
    </w:p>
    <w:p w14:paraId="1AE96541" w14:textId="55E2F715" w:rsidR="001B273E" w:rsidRDefault="001B273E" w:rsidP="00E40015">
      <w:r>
        <w:t xml:space="preserve">For the definition of a forest in greenhouse gas accounting </w:t>
      </w:r>
      <w:r w:rsidR="00C83562">
        <w:t xml:space="preserve">in Aotearoa </w:t>
      </w:r>
      <w:r>
        <w:t xml:space="preserve">see </w:t>
      </w:r>
      <w:r w:rsidR="00084F71" w:rsidRPr="00084F71">
        <w:t>c</w:t>
      </w:r>
      <w:r w:rsidRPr="00084F71">
        <w:t xml:space="preserve">hapter </w:t>
      </w:r>
      <w:r w:rsidR="00084F71" w:rsidRPr="00084F71">
        <w:t>3</w:t>
      </w:r>
      <w:r>
        <w:t xml:space="preserve"> of the Evidence Report. Smaller areas of trees not meeting the forest definition are mostly accounted for as biomass on grasslands or croplands. </w:t>
      </w:r>
    </w:p>
    <w:p w14:paraId="06DE1FD8" w14:textId="211913E7" w:rsidR="001B273E" w:rsidRPr="00AA3E0B" w:rsidRDefault="00CB24D5" w:rsidP="001B273E">
      <w:pPr>
        <w:pStyle w:val="Heading3"/>
        <w:rPr>
          <w:rStyle w:val="normaltextrun"/>
        </w:rPr>
      </w:pPr>
      <w:bookmarkStart w:id="251" w:name="_Toc58826944"/>
      <w:bookmarkStart w:id="252" w:name="_Toc58857638"/>
      <w:bookmarkStart w:id="253" w:name="_Toc61448695"/>
      <w:bookmarkStart w:id="254" w:name="_Toc62649382"/>
      <w:bookmarkStart w:id="255" w:name="_Toc62650323"/>
      <w:r w:rsidRPr="00CB24D5">
        <w:rPr>
          <w:rStyle w:val="normaltextrun"/>
        </w:rPr>
        <w:lastRenderedPageBreak/>
        <w:t>7.5.</w:t>
      </w:r>
      <w:r w:rsidR="001B273E" w:rsidRPr="00AA3E0B">
        <w:rPr>
          <w:rStyle w:val="normaltextrun"/>
        </w:rPr>
        <w:t xml:space="preserve">1 A land-based approach, as used in </w:t>
      </w:r>
      <w:r w:rsidR="00C83562">
        <w:rPr>
          <w:rStyle w:val="normaltextrun"/>
        </w:rPr>
        <w:t xml:space="preserve">the </w:t>
      </w:r>
      <w:r w:rsidR="001B273E" w:rsidRPr="00AA3E0B">
        <w:rPr>
          <w:rStyle w:val="normaltextrun"/>
        </w:rPr>
        <w:t>national Inventory</w:t>
      </w:r>
      <w:bookmarkEnd w:id="251"/>
      <w:bookmarkEnd w:id="252"/>
      <w:bookmarkEnd w:id="253"/>
      <w:bookmarkEnd w:id="254"/>
      <w:bookmarkEnd w:id="255"/>
    </w:p>
    <w:p w14:paraId="127861E9" w14:textId="6B0A51F7" w:rsidR="001B273E" w:rsidRDefault="001B273E" w:rsidP="00621F68">
      <w:pPr>
        <w:rPr>
          <w:rStyle w:val="normaltextrun"/>
          <w:rFonts w:ascii="Calibri" w:hAnsi="Calibri" w:cs="Calibri"/>
          <w:color w:val="000000"/>
          <w:shd w:val="clear" w:color="auto" w:fill="FFFFFF"/>
        </w:rPr>
      </w:pPr>
      <w:r>
        <w:t>‘L</w:t>
      </w:r>
      <w:r w:rsidRPr="00CF245D">
        <w:t>and-based</w:t>
      </w:r>
      <w:r>
        <w:t>’</w:t>
      </w:r>
      <w:r w:rsidRPr="00CF245D">
        <w:t xml:space="preserve"> </w:t>
      </w:r>
      <w:r>
        <w:t xml:space="preserve">accounting aims </w:t>
      </w:r>
      <w:r w:rsidRPr="00CF245D">
        <w:t xml:space="preserve">to cover all emissions and removals from soil, trees, plants, biomass, and wood products. </w:t>
      </w:r>
      <w:r>
        <w:t xml:space="preserve">Emissions and removals by forests are reported in a way that corresponds to tree growth, harvest and deforestation </w:t>
      </w:r>
      <w:r w:rsidR="00621F68">
        <w:t xml:space="preserve">– known as </w:t>
      </w:r>
      <w:r>
        <w:t>stock change accounting. B</w:t>
      </w:r>
      <w:r>
        <w:rPr>
          <w:lang w:eastAsia="en-NZ"/>
        </w:rPr>
        <w:t xml:space="preserve">y trying to record emissions and removals when they occur, it gives a truer representation of </w:t>
      </w:r>
      <w:r w:rsidRPr="00645542" w:rsidDel="00427BAD">
        <w:rPr>
          <w:lang w:eastAsia="en-NZ"/>
        </w:rPr>
        <w:t>‘what</w:t>
      </w:r>
      <w:r w:rsidDel="00427BAD">
        <w:rPr>
          <w:lang w:eastAsia="en-NZ"/>
        </w:rPr>
        <w:t xml:space="preserve"> </w:t>
      </w:r>
      <w:r w:rsidRPr="00645542" w:rsidDel="00427BAD">
        <w:rPr>
          <w:lang w:eastAsia="en-NZ"/>
        </w:rPr>
        <w:t>the</w:t>
      </w:r>
      <w:r w:rsidDel="00427BAD">
        <w:rPr>
          <w:lang w:eastAsia="en-NZ"/>
        </w:rPr>
        <w:t xml:space="preserve"> </w:t>
      </w:r>
      <w:r w:rsidRPr="00645542" w:rsidDel="00427BAD">
        <w:rPr>
          <w:lang w:eastAsia="en-NZ"/>
        </w:rPr>
        <w:t>atmosphere</w:t>
      </w:r>
      <w:r w:rsidDel="00427BAD">
        <w:rPr>
          <w:lang w:eastAsia="en-NZ"/>
        </w:rPr>
        <w:t xml:space="preserve"> </w:t>
      </w:r>
      <w:r w:rsidRPr="00645542" w:rsidDel="00427BAD">
        <w:rPr>
          <w:lang w:eastAsia="en-NZ"/>
        </w:rPr>
        <w:t>sees’</w:t>
      </w:r>
      <w:r w:rsidDel="00427BAD">
        <w:rPr>
          <w:lang w:eastAsia="en-NZ"/>
        </w:rPr>
        <w:t xml:space="preserve">. </w:t>
      </w:r>
    </w:p>
    <w:p w14:paraId="2F50E337" w14:textId="31C90FCB" w:rsidR="001B273E" w:rsidRPr="00AA3E0B" w:rsidRDefault="00CB24D5" w:rsidP="001B273E">
      <w:pPr>
        <w:pStyle w:val="Heading3"/>
        <w:rPr>
          <w:rStyle w:val="normaltextrun"/>
        </w:rPr>
      </w:pPr>
      <w:bookmarkStart w:id="256" w:name="_Toc58826945"/>
      <w:bookmarkStart w:id="257" w:name="_Toc58857639"/>
      <w:bookmarkStart w:id="258" w:name="_Toc61448696"/>
      <w:bookmarkStart w:id="259" w:name="_Toc62649383"/>
      <w:bookmarkStart w:id="260" w:name="_Toc62650324"/>
      <w:r>
        <w:rPr>
          <w:rStyle w:val="normaltextrun"/>
        </w:rPr>
        <w:t>7.5.</w:t>
      </w:r>
      <w:r w:rsidR="001B273E" w:rsidRPr="00AA3E0B">
        <w:rPr>
          <w:rStyle w:val="normaltextrun"/>
        </w:rPr>
        <w:t xml:space="preserve">2 A modified activity-based approach, as used in </w:t>
      </w:r>
      <w:r w:rsidR="00C83562">
        <w:rPr>
          <w:rStyle w:val="normaltextrun"/>
        </w:rPr>
        <w:t>the</w:t>
      </w:r>
      <w:r w:rsidR="00943607">
        <w:rPr>
          <w:rStyle w:val="normaltextrun"/>
        </w:rPr>
        <w:t xml:space="preserve"> </w:t>
      </w:r>
      <w:r w:rsidR="001B273E" w:rsidRPr="00AA3E0B">
        <w:rPr>
          <w:rStyle w:val="normaltextrun"/>
        </w:rPr>
        <w:t>NDC</w:t>
      </w:r>
      <w:bookmarkEnd w:id="256"/>
      <w:bookmarkEnd w:id="257"/>
      <w:bookmarkEnd w:id="258"/>
      <w:bookmarkEnd w:id="259"/>
      <w:bookmarkEnd w:id="260"/>
    </w:p>
    <w:p w14:paraId="4D2977F7" w14:textId="193C4322" w:rsidR="001B273E" w:rsidRDefault="001B273E" w:rsidP="00621F68">
      <w:r>
        <w:t xml:space="preserve">This </w:t>
      </w:r>
      <w:r w:rsidRPr="000D3FC8">
        <w:t xml:space="preserve">accounting </w:t>
      </w:r>
      <w:r>
        <w:t xml:space="preserve">approach uses </w:t>
      </w:r>
      <w:r w:rsidRPr="000D3FC8">
        <w:t xml:space="preserve">a smaller subset of activities and land types </w:t>
      </w:r>
      <w:r>
        <w:t xml:space="preserve">than </w:t>
      </w:r>
      <w:r w:rsidRPr="000D3FC8">
        <w:t xml:space="preserve">the land-based </w:t>
      </w:r>
      <w:r w:rsidRPr="00762188">
        <w:t>approach. It</w:t>
      </w:r>
      <w:r>
        <w:t xml:space="preserve"> focuses on significant sources and sinks whose emissions can be most affected by changes to peoples’ </w:t>
      </w:r>
      <w:r w:rsidR="00AE20E6">
        <w:t>behaviour</w:t>
      </w:r>
      <w:r>
        <w:t xml:space="preserve"> now. It does this by filtering out </w:t>
      </w:r>
      <w:r w:rsidRPr="00CF245D">
        <w:t xml:space="preserve">the effects of </w:t>
      </w:r>
      <w:r>
        <w:t xml:space="preserve">past actions, </w:t>
      </w:r>
      <w:r w:rsidRPr="00CF245D">
        <w:t xml:space="preserve">such as regrowth of previously harvested </w:t>
      </w:r>
      <w:r>
        <w:t xml:space="preserve">native </w:t>
      </w:r>
      <w:r w:rsidRPr="00CF245D">
        <w:t>forests</w:t>
      </w:r>
      <w:r>
        <w:t xml:space="preserve">. </w:t>
      </w:r>
    </w:p>
    <w:p w14:paraId="4AEC2768" w14:textId="2049360A" w:rsidR="001B273E" w:rsidRPr="00FC16AA" w:rsidRDefault="001B273E" w:rsidP="00621F68">
      <w:r w:rsidRPr="00FC16AA">
        <w:t xml:space="preserve">This approach will be used for </w:t>
      </w:r>
      <w:r w:rsidR="00943607">
        <w:t>the country’s</w:t>
      </w:r>
      <w:r w:rsidR="00943607" w:rsidRPr="00FC16AA">
        <w:t xml:space="preserve"> </w:t>
      </w:r>
      <w:r w:rsidRPr="00FC16AA">
        <w:t xml:space="preserve">first NDC. </w:t>
      </w:r>
      <w:r>
        <w:t xml:space="preserve">The </w:t>
      </w:r>
      <w:r w:rsidRPr="00FC16AA">
        <w:t>NDC will</w:t>
      </w:r>
      <w:r>
        <w:t xml:space="preserve"> account for land areas and uses corresponding to the</w:t>
      </w:r>
      <w:r w:rsidRPr="00FC16AA">
        <w:t xml:space="preserve"> </w:t>
      </w:r>
      <w:r w:rsidRPr="005211A0">
        <w:rPr>
          <w:i/>
          <w:iCs/>
        </w:rPr>
        <w:t>afforestation</w:t>
      </w:r>
      <w:r w:rsidRPr="00FC16AA">
        <w:t xml:space="preserve">, </w:t>
      </w:r>
      <w:r w:rsidRPr="005211A0">
        <w:rPr>
          <w:i/>
          <w:iCs/>
        </w:rPr>
        <w:t>reforestation</w:t>
      </w:r>
      <w:r w:rsidRPr="00FC16AA">
        <w:t xml:space="preserve">, </w:t>
      </w:r>
      <w:r w:rsidRPr="005211A0">
        <w:rPr>
          <w:i/>
          <w:iCs/>
        </w:rPr>
        <w:t>deforestation</w:t>
      </w:r>
      <w:r w:rsidRPr="00FC16AA">
        <w:t xml:space="preserve"> and </w:t>
      </w:r>
      <w:r w:rsidRPr="005211A0">
        <w:rPr>
          <w:i/>
          <w:iCs/>
        </w:rPr>
        <w:t>forest management</w:t>
      </w:r>
      <w:r>
        <w:rPr>
          <w:i/>
          <w:iCs/>
        </w:rPr>
        <w:t xml:space="preserve"> </w:t>
      </w:r>
      <w:r w:rsidRPr="00DD6FEB">
        <w:t>activities</w:t>
      </w:r>
      <w:r>
        <w:t xml:space="preserve"> accounted for in </w:t>
      </w:r>
      <w:r w:rsidR="00943607">
        <w:t xml:space="preserve">the country’s </w:t>
      </w:r>
      <w:r>
        <w:t xml:space="preserve">2020 target </w:t>
      </w:r>
      <w:r w:rsidRPr="00B821CD">
        <w:t>covering the second commitment period of the Kyoto Protocol</w:t>
      </w:r>
      <w:r>
        <w:t>,</w:t>
      </w:r>
      <w:r w:rsidRPr="00B821CD">
        <w:t xml:space="preserve"> 2013-2020. </w:t>
      </w:r>
      <w:r w:rsidRPr="00FC16AA">
        <w:t xml:space="preserve">It is not yet known if </w:t>
      </w:r>
      <w:r>
        <w:t>the NDC</w:t>
      </w:r>
      <w:r w:rsidRPr="00FC16AA">
        <w:t xml:space="preserve"> will include the </w:t>
      </w:r>
      <w:r>
        <w:t xml:space="preserve">land areas or uses related to the </w:t>
      </w:r>
      <w:r w:rsidRPr="00FC16AA">
        <w:t xml:space="preserve">activities of </w:t>
      </w:r>
      <w:r w:rsidRPr="00B821CD">
        <w:rPr>
          <w:i/>
          <w:iCs/>
        </w:rPr>
        <w:t>cropland management, grazing land management, revegetation</w:t>
      </w:r>
      <w:r w:rsidRPr="00FC16AA">
        <w:t xml:space="preserve"> or </w:t>
      </w:r>
      <w:r w:rsidRPr="00B821CD">
        <w:rPr>
          <w:i/>
          <w:iCs/>
        </w:rPr>
        <w:t>wetland drainage and rewetting</w:t>
      </w:r>
      <w:r w:rsidRPr="00FC16AA">
        <w:t xml:space="preserve">. </w:t>
      </w:r>
    </w:p>
    <w:p w14:paraId="60B0911A" w14:textId="3933139B" w:rsidR="00E8020C" w:rsidRPr="00E8020C" w:rsidRDefault="001B273E" w:rsidP="00E8020C">
      <w:r w:rsidRPr="006B24CC">
        <w:t>The NDC will use ‘averaging’ to account for afforestation and reforestation of post-1989 forests. This</w:t>
      </w:r>
      <w:r w:rsidR="009B5B2F">
        <w:t xml:space="preserve"> approach</w:t>
      </w:r>
      <w:r w:rsidRPr="006B24CC">
        <w:t xml:space="preserve"> smooths out the cyclical peaks and troughs in emissions due to harvesting of post-1989 exotic production forests</w:t>
      </w:r>
      <w:r>
        <w:t>. It does this</w:t>
      </w:r>
      <w:r w:rsidRPr="006B24CC">
        <w:t xml:space="preserve"> by accounting for removals only up until the forests reach their long-term average carbon stock.</w:t>
      </w:r>
      <w:r w:rsidRPr="009D0288">
        <w:t xml:space="preserve"> This occur</w:t>
      </w:r>
      <w:r w:rsidR="00A276E3">
        <w:t>s</w:t>
      </w:r>
      <w:r w:rsidRPr="009D0288">
        <w:t xml:space="preserve"> around 21 years after planting for a production pine forest on a 28-year rotation. Averaging focuses on the long-term effect of these forests on carbon stocks.</w:t>
      </w:r>
    </w:p>
    <w:p w14:paraId="778402F0" w14:textId="77777777" w:rsidR="007B4DBD" w:rsidRDefault="007B4DBD">
      <w:pPr>
        <w:spacing w:before="0" w:after="160"/>
      </w:pPr>
      <w:r>
        <w:br w:type="page"/>
      </w:r>
    </w:p>
    <w:p w14:paraId="6D9CF36A" w14:textId="77777777" w:rsidR="00E8020C" w:rsidRPr="00E8020C" w:rsidRDefault="00E8020C" w:rsidP="00E8020C"/>
    <w:tbl>
      <w:tblPr>
        <w:tblStyle w:val="GridTable4-Accent61"/>
        <w:tblW w:w="0" w:type="auto"/>
        <w:tblLook w:val="04A0" w:firstRow="1" w:lastRow="0" w:firstColumn="1" w:lastColumn="0" w:noHBand="0" w:noVBand="1"/>
      </w:tblPr>
      <w:tblGrid>
        <w:gridCol w:w="9016"/>
      </w:tblGrid>
      <w:tr w:rsidR="00FC053E" w:rsidRPr="00FC053E" w14:paraId="51F8D8FC" w14:textId="77777777" w:rsidTr="00B605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777976C" w14:textId="591CF294" w:rsidR="00FC053E" w:rsidRPr="00FC053E" w:rsidRDefault="00FC053E" w:rsidP="00FC053E">
            <w:pPr>
              <w:spacing w:before="0" w:after="0" w:line="259" w:lineRule="auto"/>
              <w:jc w:val="center"/>
              <w:rPr>
                <w:bCs w:val="0"/>
                <w:color w:val="auto"/>
                <w:sz w:val="28"/>
                <w:szCs w:val="28"/>
              </w:rPr>
            </w:pPr>
            <w:r w:rsidRPr="00FC053E">
              <w:rPr>
                <w:b w:val="0"/>
                <w:bCs w:val="0"/>
                <w:color w:val="auto"/>
                <w:sz w:val="28"/>
                <w:szCs w:val="28"/>
                <w:lang w:val="en-US"/>
              </w:rPr>
              <w:t xml:space="preserve">Box </w:t>
            </w:r>
            <w:r>
              <w:rPr>
                <w:b w:val="0"/>
                <w:bCs w:val="0"/>
                <w:color w:val="auto"/>
                <w:sz w:val="28"/>
                <w:szCs w:val="28"/>
                <w:lang w:val="en-US"/>
              </w:rPr>
              <w:t>7</w:t>
            </w:r>
            <w:r w:rsidRPr="00FC053E">
              <w:rPr>
                <w:b w:val="0"/>
                <w:bCs w:val="0"/>
                <w:color w:val="auto"/>
                <w:sz w:val="28"/>
                <w:szCs w:val="28"/>
                <w:lang w:val="en-US"/>
              </w:rPr>
              <w:t>.1: Pre-1990 and Post-1989 forests</w:t>
            </w:r>
          </w:p>
        </w:tc>
      </w:tr>
      <w:tr w:rsidR="00FC053E" w:rsidRPr="00FC053E" w14:paraId="467D1F5C" w14:textId="77777777" w:rsidTr="00B60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726C296" w14:textId="77777777" w:rsidR="00FC053E" w:rsidRPr="00FC053E" w:rsidRDefault="00FC053E" w:rsidP="00FC053E">
            <w:pPr>
              <w:spacing w:after="160" w:line="276" w:lineRule="auto"/>
              <w:rPr>
                <w:rFonts w:ascii="Calibri" w:eastAsia="Calibri" w:hAnsi="Calibri" w:cs="Calibri"/>
                <w:b w:val="0"/>
                <w:bCs w:val="0"/>
              </w:rPr>
            </w:pPr>
            <w:r w:rsidRPr="00FC053E">
              <w:rPr>
                <w:rFonts w:ascii="Calibri" w:eastAsia="Calibri" w:hAnsi="Calibri" w:cs="Calibri"/>
                <w:b w:val="0"/>
                <w:bCs w:val="0"/>
              </w:rPr>
              <w:t>T</w:t>
            </w:r>
            <w:r w:rsidRPr="00FC053E">
              <w:rPr>
                <w:rFonts w:eastAsia="Calibri"/>
                <w:b w:val="0"/>
                <w:bCs w:val="0"/>
              </w:rPr>
              <w:t>he country’s</w:t>
            </w:r>
            <w:r w:rsidRPr="00FC053E">
              <w:rPr>
                <w:rFonts w:ascii="Calibri" w:eastAsia="Calibri" w:hAnsi="Calibri" w:cs="Calibri"/>
                <w:b w:val="0"/>
                <w:bCs w:val="0"/>
              </w:rPr>
              <w:t xml:space="preserve"> activity-based target accounting has given rise to two broad classifications for forests: </w:t>
            </w:r>
          </w:p>
          <w:p w14:paraId="2503E111" w14:textId="77777777" w:rsidR="00FC053E" w:rsidRPr="00FC053E" w:rsidRDefault="00FC053E" w:rsidP="00655722">
            <w:pPr>
              <w:pStyle w:val="ListParagraph"/>
              <w:numPr>
                <w:ilvl w:val="0"/>
                <w:numId w:val="29"/>
              </w:numPr>
              <w:spacing w:before="0" w:after="160" w:line="276" w:lineRule="auto"/>
              <w:ind w:left="714" w:hanging="357"/>
              <w:contextualSpacing w:val="0"/>
              <w:rPr>
                <w:rFonts w:ascii="Calibri" w:eastAsia="Calibri" w:hAnsi="Calibri" w:cs="Calibri"/>
                <w:b w:val="0"/>
                <w:bCs w:val="0"/>
              </w:rPr>
            </w:pPr>
            <w:r w:rsidRPr="00FC053E">
              <w:rPr>
                <w:rFonts w:ascii="Calibri" w:eastAsia="Calibri" w:hAnsi="Calibri" w:cs="Calibri"/>
              </w:rPr>
              <w:t>Post-1989 forests</w:t>
            </w:r>
            <w:r w:rsidRPr="00FC053E">
              <w:rPr>
                <w:rFonts w:ascii="Calibri" w:eastAsia="Calibri" w:hAnsi="Calibri" w:cs="Calibri"/>
                <w:b w:val="0"/>
                <w:bCs w:val="0"/>
              </w:rPr>
              <w:t xml:space="preserve"> are those established after 31 December 1989.</w:t>
            </w:r>
          </w:p>
          <w:p w14:paraId="20DE044C" w14:textId="77777777" w:rsidR="00FC053E" w:rsidRPr="00FC053E" w:rsidRDefault="00FC053E" w:rsidP="00655722">
            <w:pPr>
              <w:pStyle w:val="ListParagraph"/>
              <w:numPr>
                <w:ilvl w:val="0"/>
                <w:numId w:val="29"/>
              </w:numPr>
              <w:spacing w:before="0" w:after="160" w:line="276" w:lineRule="auto"/>
              <w:ind w:left="714" w:hanging="357"/>
              <w:contextualSpacing w:val="0"/>
              <w:rPr>
                <w:rFonts w:ascii="Calibri" w:eastAsia="Calibri" w:hAnsi="Calibri" w:cs="Calibri"/>
                <w:b w:val="0"/>
                <w:bCs w:val="0"/>
              </w:rPr>
            </w:pPr>
            <w:r w:rsidRPr="00FC053E">
              <w:rPr>
                <w:rFonts w:ascii="Calibri" w:eastAsia="Calibri" w:hAnsi="Calibri" w:cs="Calibri"/>
              </w:rPr>
              <w:t>Pre-1990 forests</w:t>
            </w:r>
            <w:r w:rsidRPr="00FC053E">
              <w:rPr>
                <w:rFonts w:ascii="Calibri" w:eastAsia="Calibri" w:hAnsi="Calibri" w:cs="Calibri"/>
                <w:b w:val="0"/>
                <w:bCs w:val="0"/>
              </w:rPr>
              <w:t xml:space="preserve"> are those established before 1 January 1990. </w:t>
            </w:r>
          </w:p>
          <w:p w14:paraId="00579727" w14:textId="77777777" w:rsidR="00FC053E" w:rsidRPr="00FC053E" w:rsidRDefault="00FC053E" w:rsidP="00FC053E">
            <w:pPr>
              <w:spacing w:after="160" w:line="276" w:lineRule="auto"/>
              <w:rPr>
                <w:rFonts w:ascii="Calibri" w:eastAsia="Calibri" w:hAnsi="Calibri" w:cs="Calibri"/>
                <w:b w:val="0"/>
                <w:bCs w:val="0"/>
              </w:rPr>
            </w:pPr>
            <w:r w:rsidRPr="00FC053E">
              <w:rPr>
                <w:rFonts w:ascii="Calibri" w:eastAsia="Calibri" w:hAnsi="Calibri" w:cs="Calibri"/>
                <w:b w:val="0"/>
                <w:bCs w:val="0"/>
              </w:rPr>
              <w:t xml:space="preserve">These classifications are due to the 1990 base year Aotearoa agreed to in the Kyoto Protocol. Activities occurring from 1990 onwards are ‘additional’ rather than business-as-usual. </w:t>
            </w:r>
          </w:p>
          <w:p w14:paraId="3B4E67D8" w14:textId="77777777" w:rsidR="00FC053E" w:rsidRPr="00FC053E" w:rsidRDefault="00FC053E" w:rsidP="00FC053E">
            <w:pPr>
              <w:spacing w:after="160" w:line="276" w:lineRule="auto"/>
              <w:rPr>
                <w:rFonts w:ascii="Calibri" w:eastAsia="Calibri" w:hAnsi="Calibri" w:cs="Calibri"/>
                <w:b w:val="0"/>
                <w:bCs w:val="0"/>
              </w:rPr>
            </w:pPr>
            <w:r w:rsidRPr="00FC053E">
              <w:rPr>
                <w:rFonts w:ascii="Calibri" w:eastAsia="Calibri" w:hAnsi="Calibri" w:cs="Calibri"/>
                <w:b w:val="0"/>
                <w:bCs w:val="0"/>
              </w:rPr>
              <w:t xml:space="preserve">In this approach, only emissions and removals due to additional human activities are counted. This means that emissions from </w:t>
            </w:r>
            <w:r w:rsidRPr="00FC053E">
              <w:rPr>
                <w:rFonts w:ascii="Calibri" w:eastAsia="Calibri" w:hAnsi="Calibri" w:cs="Calibri"/>
                <w:b w:val="0"/>
                <w:bCs w:val="0"/>
                <w:i/>
              </w:rPr>
              <w:t>deforestation</w:t>
            </w:r>
            <w:r w:rsidRPr="00FC053E">
              <w:rPr>
                <w:rFonts w:ascii="Calibri" w:eastAsia="Calibri" w:hAnsi="Calibri" w:cs="Calibri"/>
                <w:b w:val="0"/>
                <w:bCs w:val="0"/>
              </w:rPr>
              <w:t xml:space="preserve"> are counted for all forests, but removals from </w:t>
            </w:r>
            <w:r w:rsidRPr="00FC053E">
              <w:rPr>
                <w:rFonts w:ascii="Calibri" w:eastAsia="Calibri" w:hAnsi="Calibri" w:cs="Calibri"/>
                <w:b w:val="0"/>
                <w:bCs w:val="0"/>
                <w:i/>
              </w:rPr>
              <w:t>afforestation</w:t>
            </w:r>
            <w:r w:rsidRPr="00FC053E">
              <w:rPr>
                <w:rFonts w:ascii="Calibri" w:eastAsia="Calibri" w:hAnsi="Calibri" w:cs="Calibri"/>
                <w:b w:val="0"/>
                <w:bCs w:val="0"/>
              </w:rPr>
              <w:t xml:space="preserve"> and </w:t>
            </w:r>
            <w:r w:rsidRPr="00FC053E">
              <w:rPr>
                <w:rFonts w:ascii="Calibri" w:eastAsia="Calibri" w:hAnsi="Calibri" w:cs="Calibri"/>
                <w:b w:val="0"/>
                <w:bCs w:val="0"/>
                <w:i/>
              </w:rPr>
              <w:t>reforestation</w:t>
            </w:r>
            <w:r w:rsidRPr="00FC053E">
              <w:rPr>
                <w:rFonts w:ascii="Calibri" w:eastAsia="Calibri" w:hAnsi="Calibri" w:cs="Calibri"/>
                <w:b w:val="0"/>
                <w:bCs w:val="0"/>
              </w:rPr>
              <w:t xml:space="preserve"> are only counted for post-1989 forests. </w:t>
            </w:r>
            <w:r w:rsidRPr="00FC053E">
              <w:rPr>
                <w:rFonts w:ascii="Calibri" w:eastAsia="Calibri" w:hAnsi="Calibri" w:cs="Calibri"/>
                <w:b w:val="0"/>
                <w:bCs w:val="0"/>
                <w:i/>
              </w:rPr>
              <w:t>Forest management</w:t>
            </w:r>
            <w:r w:rsidRPr="00FC053E">
              <w:rPr>
                <w:rFonts w:ascii="Calibri" w:eastAsia="Calibri" w:hAnsi="Calibri" w:cs="Calibri"/>
                <w:b w:val="0"/>
                <w:bCs w:val="0"/>
              </w:rPr>
              <w:t xml:space="preserve"> aims to track the impact on emissions from changed management of pre-1990 forests. </w:t>
            </w:r>
          </w:p>
          <w:p w14:paraId="49F2978C" w14:textId="77777777" w:rsidR="00FC053E" w:rsidRPr="00FC053E" w:rsidRDefault="00FC053E" w:rsidP="00FC053E">
            <w:pPr>
              <w:spacing w:after="160" w:line="276" w:lineRule="auto"/>
              <w:rPr>
                <w:rFonts w:ascii="Calibri" w:eastAsia="Calibri" w:hAnsi="Calibri" w:cs="Calibri"/>
                <w:b w:val="0"/>
                <w:bCs w:val="0"/>
              </w:rPr>
            </w:pPr>
            <w:r w:rsidRPr="00FC053E">
              <w:rPr>
                <w:rFonts w:ascii="Calibri" w:eastAsia="Calibri" w:hAnsi="Calibri" w:cs="Calibri"/>
                <w:b w:val="0"/>
                <w:bCs w:val="0"/>
              </w:rPr>
              <w:t xml:space="preserve">The 1990 base year has been devolved into policy through the NZ ETS. It contributes to a sense of unfairness among pre-1990 forest owners, including iwi/Māori. This is because there is a deforestation liability constraining land use change, but no reward for forest growth. This outcome results from the approach’s focus on behaviour change now, rather than penalising or rewarding past actions. </w:t>
            </w:r>
          </w:p>
          <w:p w14:paraId="7AACA20F" w14:textId="77777777" w:rsidR="00FC053E" w:rsidRPr="00FC053E" w:rsidRDefault="00FC053E" w:rsidP="00FC053E">
            <w:pPr>
              <w:spacing w:after="160" w:line="276" w:lineRule="auto"/>
              <w:rPr>
                <w:rFonts w:ascii="Calibri" w:eastAsia="Calibri" w:hAnsi="Calibri" w:cs="Calibri"/>
                <w:b w:val="0"/>
                <w:bCs w:val="0"/>
              </w:rPr>
            </w:pPr>
            <w:r w:rsidRPr="00FC053E">
              <w:rPr>
                <w:rFonts w:ascii="Calibri" w:eastAsia="Calibri" w:hAnsi="Calibri" w:cs="Calibri"/>
                <w:b w:val="0"/>
                <w:bCs w:val="0"/>
              </w:rPr>
              <w:t xml:space="preserve">With this approach, there is still some potential for flexibility and recognition of pre-1990 forests: </w:t>
            </w:r>
          </w:p>
          <w:p w14:paraId="4BD20F3C" w14:textId="77777777" w:rsidR="00FC053E" w:rsidRPr="00FC053E" w:rsidRDefault="00FC053E" w:rsidP="00655722">
            <w:pPr>
              <w:pStyle w:val="ListParagraph"/>
              <w:numPr>
                <w:ilvl w:val="0"/>
                <w:numId w:val="29"/>
              </w:numPr>
              <w:spacing w:before="0" w:after="160" w:line="276" w:lineRule="auto"/>
              <w:ind w:left="459" w:hanging="425"/>
              <w:contextualSpacing w:val="0"/>
              <w:rPr>
                <w:rFonts w:ascii="Calibri" w:eastAsia="Calibri" w:hAnsi="Calibri" w:cs="Calibri"/>
                <w:b w:val="0"/>
                <w:bCs w:val="0"/>
              </w:rPr>
            </w:pPr>
            <w:r w:rsidRPr="00FC053E">
              <w:rPr>
                <w:rFonts w:ascii="Calibri" w:eastAsia="Calibri" w:hAnsi="Calibri" w:cs="Calibri"/>
                <w:b w:val="0"/>
                <w:bCs w:val="0"/>
                <w:i/>
              </w:rPr>
              <w:t>Forest management</w:t>
            </w:r>
            <w:r w:rsidRPr="00FC053E">
              <w:rPr>
                <w:rFonts w:ascii="Calibri" w:eastAsia="Calibri" w:hAnsi="Calibri" w:cs="Calibri"/>
                <w:b w:val="0"/>
                <w:bCs w:val="0"/>
              </w:rPr>
              <w:t xml:space="preserve"> in theory enables counting of increased carbon stocks due to improved management. However, this is difficult to do robustly and has not yet been devolved from target accounting into t</w:t>
            </w:r>
            <w:r w:rsidRPr="00FC053E">
              <w:rPr>
                <w:rFonts w:eastAsia="Calibri"/>
                <w:b w:val="0"/>
                <w:bCs w:val="0"/>
              </w:rPr>
              <w:t>he country’s</w:t>
            </w:r>
            <w:r w:rsidRPr="00FC053E">
              <w:rPr>
                <w:rFonts w:ascii="Calibri" w:eastAsia="Calibri" w:hAnsi="Calibri" w:cs="Calibri"/>
                <w:b w:val="0"/>
                <w:bCs w:val="0"/>
              </w:rPr>
              <w:t xml:space="preserve"> policies. </w:t>
            </w:r>
          </w:p>
          <w:p w14:paraId="549F5F51" w14:textId="77777777" w:rsidR="00FC053E" w:rsidRPr="00FC053E" w:rsidRDefault="00FC053E" w:rsidP="00655722">
            <w:pPr>
              <w:pStyle w:val="ListParagraph"/>
              <w:numPr>
                <w:ilvl w:val="0"/>
                <w:numId w:val="29"/>
              </w:numPr>
              <w:spacing w:before="0" w:after="160" w:line="276" w:lineRule="auto"/>
              <w:ind w:left="459" w:hanging="425"/>
              <w:contextualSpacing w:val="0"/>
              <w:rPr>
                <w:rFonts w:ascii="Calibri" w:eastAsia="Calibri" w:hAnsi="Calibri" w:cs="Calibri"/>
                <w:b w:val="0"/>
                <w:bCs w:val="0"/>
              </w:rPr>
            </w:pPr>
            <w:r w:rsidRPr="00FC053E">
              <w:rPr>
                <w:rFonts w:ascii="Calibri" w:eastAsia="Calibri" w:hAnsi="Calibri" w:cs="Calibri"/>
                <w:b w:val="0"/>
                <w:bCs w:val="0"/>
              </w:rPr>
              <w:t xml:space="preserve">Both target accounting and NZ ETS rules allow avoidance of deforestation liabilities if an equivalent forest is planted elsewhere. </w:t>
            </w:r>
          </w:p>
          <w:p w14:paraId="01187D32" w14:textId="77777777" w:rsidR="00FC053E" w:rsidRPr="00FC053E" w:rsidRDefault="00FC053E" w:rsidP="00655722">
            <w:pPr>
              <w:pStyle w:val="ListParagraph"/>
              <w:numPr>
                <w:ilvl w:val="0"/>
                <w:numId w:val="29"/>
              </w:numPr>
              <w:spacing w:before="0" w:after="160" w:line="276" w:lineRule="auto"/>
              <w:ind w:left="459" w:hanging="425"/>
              <w:contextualSpacing w:val="0"/>
              <w:rPr>
                <w:rFonts w:ascii="Calibri" w:eastAsia="Calibri" w:hAnsi="Calibri" w:cs="Calibri"/>
                <w:b w:val="0"/>
                <w:bCs w:val="0"/>
              </w:rPr>
            </w:pPr>
            <w:r w:rsidRPr="00FC053E">
              <w:rPr>
                <w:rFonts w:ascii="Calibri" w:eastAsia="Calibri" w:hAnsi="Calibri" w:cs="Calibri"/>
                <w:b w:val="0"/>
                <w:bCs w:val="0"/>
              </w:rPr>
              <w:t>Emission reduction policies for forests should broadly match target accounting, so costs sit with emitters rather than taxpayers. However, there is scope for policies to differ from target accounting. These differences can be justified for reasons of practicality or by other policy goals, if the benefits of doing so outweigh the cost to the taxpayer. In this context, consideration could be given to:</w:t>
            </w:r>
          </w:p>
          <w:p w14:paraId="2387A7AE" w14:textId="77777777" w:rsidR="00FC053E" w:rsidRPr="00FC053E" w:rsidRDefault="00FC053E" w:rsidP="00655722">
            <w:pPr>
              <w:pStyle w:val="ListParagraph"/>
              <w:numPr>
                <w:ilvl w:val="1"/>
                <w:numId w:val="29"/>
              </w:numPr>
              <w:spacing w:before="0" w:after="160" w:line="276" w:lineRule="auto"/>
              <w:ind w:left="873" w:hanging="426"/>
              <w:contextualSpacing w:val="0"/>
              <w:rPr>
                <w:rFonts w:ascii="Calibri" w:eastAsia="Calibri" w:hAnsi="Calibri" w:cs="Calibri"/>
                <w:b w:val="0"/>
                <w:bCs w:val="0"/>
              </w:rPr>
            </w:pPr>
            <w:r w:rsidRPr="00FC053E">
              <w:rPr>
                <w:rFonts w:ascii="Calibri" w:eastAsia="Calibri" w:hAnsi="Calibri" w:cs="Calibri"/>
                <w:b w:val="0"/>
                <w:bCs w:val="0"/>
              </w:rPr>
              <w:t xml:space="preserve">encouraging improved management of pre-1990 forests, even if enhanced carbon storage is not counted for targets, or </w:t>
            </w:r>
          </w:p>
          <w:p w14:paraId="263880C0" w14:textId="77777777" w:rsidR="00FC053E" w:rsidRPr="00FC053E" w:rsidRDefault="00FC053E" w:rsidP="00655722">
            <w:pPr>
              <w:pStyle w:val="ListParagraph"/>
              <w:numPr>
                <w:ilvl w:val="1"/>
                <w:numId w:val="29"/>
              </w:numPr>
              <w:spacing w:before="0" w:after="160" w:line="276" w:lineRule="auto"/>
              <w:ind w:left="873" w:hanging="426"/>
              <w:contextualSpacing w:val="0"/>
              <w:rPr>
                <w:rFonts w:ascii="Calibri" w:eastAsia="Calibri" w:hAnsi="Calibri" w:cs="Calibri"/>
                <w:b w:val="0"/>
                <w:bCs w:val="0"/>
              </w:rPr>
            </w:pPr>
            <w:r w:rsidRPr="00FC053E">
              <w:rPr>
                <w:rFonts w:ascii="Calibri" w:eastAsia="Calibri" w:hAnsi="Calibri" w:cs="Calibri"/>
                <w:b w:val="0"/>
                <w:bCs w:val="0"/>
              </w:rPr>
              <w:t xml:space="preserve">providing more flexibility for Māori-owned land to avoid locking in historical disadvantages. </w:t>
            </w:r>
          </w:p>
          <w:p w14:paraId="57CF4B00" w14:textId="60B0101D" w:rsidR="00FC053E" w:rsidRPr="00FC053E" w:rsidRDefault="00FC053E" w:rsidP="00FC053E">
            <w:pPr>
              <w:spacing w:line="259" w:lineRule="auto"/>
              <w:rPr>
                <w:b w:val="0"/>
                <w:bCs w:val="0"/>
              </w:rPr>
            </w:pPr>
            <w:r w:rsidRPr="00FC053E">
              <w:rPr>
                <w:rFonts w:ascii="Calibri" w:eastAsia="Calibri" w:hAnsi="Calibri" w:cs="Calibri"/>
                <w:b w:val="0"/>
                <w:bCs w:val="0"/>
              </w:rPr>
              <w:t>Finally, averaging reduces the differences between the two forest types. Under averaging, post-1989 forests that reach the long-term average carbon stock are treated similarly to pre-1990 forests, as further business-as-usual growth and harvesting are not accounted for.</w:t>
            </w:r>
          </w:p>
        </w:tc>
      </w:tr>
    </w:tbl>
    <w:p w14:paraId="17222789" w14:textId="17B31ED0" w:rsidR="001B273E" w:rsidRPr="00AA3E0B" w:rsidRDefault="00F64EFE" w:rsidP="001B273E">
      <w:pPr>
        <w:pStyle w:val="Heading3"/>
        <w:rPr>
          <w:rStyle w:val="normaltextrun"/>
        </w:rPr>
      </w:pPr>
      <w:bookmarkStart w:id="261" w:name="_Toc58826946"/>
      <w:bookmarkStart w:id="262" w:name="_Toc58857640"/>
      <w:bookmarkStart w:id="263" w:name="_Toc61448697"/>
      <w:bookmarkStart w:id="264" w:name="_Toc62649384"/>
      <w:bookmarkStart w:id="265" w:name="_Toc62650325"/>
      <w:r>
        <w:rPr>
          <w:rStyle w:val="normaltextrun"/>
        </w:rPr>
        <w:lastRenderedPageBreak/>
        <w:t xml:space="preserve">7.5.3 </w:t>
      </w:r>
      <w:r w:rsidR="001B273E" w:rsidRPr="00AA3E0B">
        <w:rPr>
          <w:rStyle w:val="normaltextrun"/>
        </w:rPr>
        <w:t>Assessment of the land emissions accounting frameworks</w:t>
      </w:r>
      <w:bookmarkEnd w:id="261"/>
      <w:bookmarkEnd w:id="262"/>
      <w:bookmarkEnd w:id="263"/>
      <w:bookmarkEnd w:id="264"/>
      <w:bookmarkEnd w:id="265"/>
    </w:p>
    <w:p w14:paraId="14536D84" w14:textId="7189C573" w:rsidR="001B273E" w:rsidRDefault="001B273E" w:rsidP="001B273E">
      <w:r w:rsidRPr="00A75FE5">
        <w:t xml:space="preserve">Overall, we consider that the </w:t>
      </w:r>
      <w:r>
        <w:t xml:space="preserve">NDC’s modified </w:t>
      </w:r>
      <w:r w:rsidRPr="00A75FE5">
        <w:t>activity-based framework for land emissions accounting, with a 1990 base year and ‘averaging’ for post-1989 forests, is a more suitable accounting approach for measuring progress towards emissions budgets and the 2050 target</w:t>
      </w:r>
      <w:r>
        <w:t xml:space="preserve">. </w:t>
      </w:r>
    </w:p>
    <w:p w14:paraId="5F9D2403" w14:textId="79D8B926" w:rsidR="001B273E" w:rsidRPr="001702CB" w:rsidRDefault="001B273E" w:rsidP="001B273E">
      <w:r w:rsidRPr="00CF231B">
        <w:t>We assessed the two options</w:t>
      </w:r>
      <w:r>
        <w:t xml:space="preserve"> outlined previously</w:t>
      </w:r>
      <w:r w:rsidRPr="00CF231B">
        <w:t xml:space="preserve"> against our accounting principles, with key differences discussed below. A</w:t>
      </w:r>
      <w:r w:rsidRPr="00FC5018">
        <w:t xml:space="preserve"> full analysis is provided in the </w:t>
      </w:r>
      <w:r w:rsidR="00084F71" w:rsidRPr="00FC5018">
        <w:t>chapter 3 of the E</w:t>
      </w:r>
      <w:r w:rsidRPr="00FC5018">
        <w:t xml:space="preserve">vidence </w:t>
      </w:r>
      <w:r w:rsidR="00084F71" w:rsidRPr="00FC5018">
        <w:t>R</w:t>
      </w:r>
      <w:r w:rsidRPr="00FC5018">
        <w:t>eport</w:t>
      </w:r>
      <w:r w:rsidRPr="001702CB">
        <w:t xml:space="preserve">. </w:t>
      </w:r>
    </w:p>
    <w:p w14:paraId="2A7B76BC" w14:textId="2DED8EF7" w:rsidR="001B273E" w:rsidRPr="00CD389D" w:rsidRDefault="001B273E" w:rsidP="001B273E">
      <w:r w:rsidRPr="001702CB">
        <w:rPr>
          <w:b/>
        </w:rPr>
        <w:t>Coverage of material emissions sources and sinks:</w:t>
      </w:r>
      <w:r w:rsidRPr="001702CB">
        <w:t xml:space="preserve"> The land-based approach’s main advantage is that it covers more sources and sinks than the </w:t>
      </w:r>
      <w:r>
        <w:t xml:space="preserve">modified </w:t>
      </w:r>
      <w:r w:rsidRPr="001702CB">
        <w:t>activity-based NDC approach. The NDC currently only includes forest-related activities, although its scope could be expanded.</w:t>
      </w:r>
    </w:p>
    <w:p w14:paraId="5D86D67F" w14:textId="04F8E945" w:rsidR="001B273E" w:rsidRPr="00CD389D" w:rsidRDefault="001B273E" w:rsidP="001B273E">
      <w:r w:rsidRPr="00F4486F">
        <w:rPr>
          <w:b/>
        </w:rPr>
        <w:t>Sending a clear signal for climate action:</w:t>
      </w:r>
      <w:r w:rsidRPr="00F4486F">
        <w:t xml:space="preserve"> The </w:t>
      </w:r>
      <w:r w:rsidRPr="00CD389D">
        <w:t xml:space="preserve">land-based approach performs worse </w:t>
      </w:r>
      <w:r>
        <w:t xml:space="preserve">against this principle </w:t>
      </w:r>
      <w:r w:rsidRPr="00CD389D">
        <w:t xml:space="preserve">than the </w:t>
      </w:r>
      <w:r>
        <w:t xml:space="preserve">modified </w:t>
      </w:r>
      <w:r w:rsidRPr="00CD389D">
        <w:t>activity-based approach</w:t>
      </w:r>
      <w:r>
        <w:t>,</w:t>
      </w:r>
      <w:r w:rsidRPr="00CD389D">
        <w:t xml:space="preserve"> primarily due to its use of stock-change accounting for forests. This results in significant fluctuations in net emissions due to harvest cycles. These are temporary and obscure underlying, more enduring trends, confusing policy and price signals about the action needed. </w:t>
      </w:r>
      <w:r w:rsidRPr="00F4486F">
        <w:t>T</w:t>
      </w:r>
      <w:r w:rsidRPr="00CD389D">
        <w:t>hese fluctuations</w:t>
      </w:r>
      <w:r>
        <w:t xml:space="preserve"> </w:t>
      </w:r>
      <w:r w:rsidRPr="00CD389D">
        <w:t xml:space="preserve">also make it </w:t>
      </w:r>
      <w:r>
        <w:t xml:space="preserve">easier to reach net zero but </w:t>
      </w:r>
      <w:r w:rsidRPr="00CD389D">
        <w:t xml:space="preserve">difficult to </w:t>
      </w:r>
      <w:r>
        <w:t>maintain</w:t>
      </w:r>
      <w:r w:rsidRPr="00CD389D">
        <w:t xml:space="preserve"> </w:t>
      </w:r>
      <w:r>
        <w:t xml:space="preserve">it after </w:t>
      </w:r>
      <w:r w:rsidRPr="00CD389D">
        <w:t xml:space="preserve">2050. </w:t>
      </w:r>
      <w:r>
        <w:t xml:space="preserve">As </w:t>
      </w:r>
      <w:r w:rsidR="0083115E">
        <w:t>shown</w:t>
      </w:r>
      <w:r>
        <w:t xml:space="preserve"> in</w:t>
      </w:r>
      <w:r w:rsidR="00D0612A">
        <w:t xml:space="preserve"> Figure 7.1</w:t>
      </w:r>
      <w:r w:rsidR="00FC5018">
        <w:t>,</w:t>
      </w:r>
      <w:r>
        <w:t xml:space="preserve"> </w:t>
      </w:r>
      <w:r w:rsidR="00806D3F">
        <w:t>g</w:t>
      </w:r>
      <w:r w:rsidRPr="00CD389D">
        <w:t xml:space="preserve">overnment projections </w:t>
      </w:r>
      <w:r w:rsidRPr="007F1CEF">
        <w:t>indicate that after a peak in removals around 2050, harvesting would cause forestry emissions to increase. In the</w:t>
      </w:r>
      <w:r>
        <w:t xml:space="preserve"> </w:t>
      </w:r>
      <w:r w:rsidRPr="00CD389D">
        <w:t>NDC</w:t>
      </w:r>
      <w:r>
        <w:t>’s modified</w:t>
      </w:r>
      <w:r w:rsidRPr="00CD389D">
        <w:t xml:space="preserve"> activity-based accounting, averaging smooths out the fluctuations. This makes it clear that Aotearoa needs to plant new forests and reduce deforestation to contribute to longer-term emissions reductions. </w:t>
      </w:r>
    </w:p>
    <w:p w14:paraId="18DFBBED" w14:textId="7189C573" w:rsidR="001B273E" w:rsidRPr="00F4486F" w:rsidRDefault="001B273E" w:rsidP="001B273E">
      <w:r w:rsidRPr="00F4486F">
        <w:rPr>
          <w:b/>
        </w:rPr>
        <w:t>Consistent and maintains integrity of the target:</w:t>
      </w:r>
      <w:r w:rsidRPr="00F4486F">
        <w:t xml:space="preserve"> Activity-based accounting is consistent with the analysis that informed the 2050 target. Using land-based accounting would reduce the effort to achieve the target, undermining the commitment made when it was set. </w:t>
      </w:r>
    </w:p>
    <w:p w14:paraId="61F22945" w14:textId="348C87EB" w:rsidR="006E027C" w:rsidRDefault="001B273E" w:rsidP="006E027C">
      <w:r w:rsidRPr="00F4486F">
        <w:rPr>
          <w:b/>
        </w:rPr>
        <w:t>Accuracy and reducing uncertainty:</w:t>
      </w:r>
      <w:r w:rsidRPr="00F4486F">
        <w:t xml:space="preserve"> The land-based approach results in emissions estimates with higher overall uncertainty</w:t>
      </w:r>
      <w:r>
        <w:t>. Reasons for this include: having to combine carbon stock gains and losses, each with their own uncertainty, to determine net change; estimating uncertain factors related to the management of production forests such as harvest age and area; and including some land areas with highly uncertain emission factors such as wetlands.</w:t>
      </w:r>
      <w:r w:rsidRPr="00F4486F">
        <w:t xml:space="preserve"> </w:t>
      </w:r>
      <w:r>
        <w:t xml:space="preserve">As an </w:t>
      </w:r>
      <w:r w:rsidRPr="00F4486F">
        <w:t>example, pre-</w:t>
      </w:r>
      <w:r w:rsidRPr="20D0F5AB">
        <w:rPr>
          <w:rStyle w:val="normaltextrun"/>
          <w:rFonts w:ascii="Calibri" w:hAnsi="Calibri" w:cs="Calibri"/>
          <w:color w:val="000000" w:themeColor="text1"/>
        </w:rPr>
        <w:t xml:space="preserve">1990 production </w:t>
      </w:r>
      <w:r w:rsidRPr="00306643">
        <w:t xml:space="preserve">forests introduced uncertainty of </w:t>
      </w:r>
      <w:r w:rsidRPr="003A16C8">
        <w:t>±34.9%</w:t>
      </w:r>
      <w:r w:rsidRPr="00306643">
        <w:t xml:space="preserve"> into the Inventory land emissions estimates in 2018.</w:t>
      </w:r>
      <w:r w:rsidRPr="00416C36">
        <w:t xml:space="preserve"> Netting off </w:t>
      </w:r>
      <w:r>
        <w:t xml:space="preserve">significant amounts of </w:t>
      </w:r>
      <w:r w:rsidRPr="00416C36">
        <w:t xml:space="preserve">land emissions with high uncertainties against gross emissions </w:t>
      </w:r>
      <w:r>
        <w:t xml:space="preserve">with much lower uncertainties </w:t>
      </w:r>
      <w:r w:rsidRPr="00416C36">
        <w:t>is problematic.</w:t>
      </w:r>
    </w:p>
    <w:tbl>
      <w:tblPr>
        <w:tblStyle w:val="TableGrid"/>
        <w:tblW w:w="0" w:type="auto"/>
        <w:tblLook w:val="04A0" w:firstRow="1" w:lastRow="0" w:firstColumn="1" w:lastColumn="0" w:noHBand="0" w:noVBand="1"/>
      </w:tblPr>
      <w:tblGrid>
        <w:gridCol w:w="9156"/>
      </w:tblGrid>
      <w:tr w:rsidR="001B273E" w14:paraId="68C5871D" w14:textId="77777777" w:rsidTr="00627600">
        <w:trPr>
          <w:trHeight w:val="5840"/>
        </w:trPr>
        <w:tc>
          <w:tcPr>
            <w:tcW w:w="9016" w:type="dxa"/>
            <w:tcBorders>
              <w:top w:val="nil"/>
              <w:left w:val="nil"/>
              <w:bottom w:val="nil"/>
              <w:right w:val="nil"/>
            </w:tcBorders>
          </w:tcPr>
          <w:p w14:paraId="60A30361" w14:textId="77777777" w:rsidR="001B273E" w:rsidRPr="00755F18" w:rsidRDefault="001B273E" w:rsidP="00627600">
            <w:pPr>
              <w:spacing w:before="0" w:after="0" w:line="276" w:lineRule="auto"/>
              <w:jc w:val="center"/>
              <w:rPr>
                <w:rStyle w:val="normaltextrun"/>
              </w:rPr>
            </w:pPr>
            <w:r>
              <w:rPr>
                <w:noProof/>
              </w:rPr>
              <w:lastRenderedPageBreak/>
              <w:drawing>
                <wp:anchor distT="0" distB="0" distL="114300" distR="114300" simplePos="0" relativeHeight="251657216" behindDoc="0" locked="0" layoutInCell="1" allowOverlap="1" wp14:anchorId="5EEFB57E" wp14:editId="183311E2">
                  <wp:simplePos x="0" y="0"/>
                  <wp:positionH relativeFrom="column">
                    <wp:posOffset>-62865</wp:posOffset>
                  </wp:positionH>
                  <wp:positionV relativeFrom="paragraph">
                    <wp:posOffset>158115</wp:posOffset>
                  </wp:positionV>
                  <wp:extent cx="5670550" cy="3430905"/>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70550" cy="3430905"/>
                          </a:xfrm>
                          <a:prstGeom prst="rect">
                            <a:avLst/>
                          </a:prstGeom>
                          <a:noFill/>
                        </pic:spPr>
                      </pic:pic>
                    </a:graphicData>
                  </a:graphic>
                  <wp14:sizeRelH relativeFrom="page">
                    <wp14:pctWidth>0</wp14:pctWidth>
                  </wp14:sizeRelH>
                  <wp14:sizeRelV relativeFrom="page">
                    <wp14:pctHeight>0</wp14:pctHeight>
                  </wp14:sizeRelV>
                </wp:anchor>
              </w:drawing>
            </w:r>
          </w:p>
        </w:tc>
      </w:tr>
    </w:tbl>
    <w:p w14:paraId="60D1876D" w14:textId="2D370EF3" w:rsidR="00AA1AA3" w:rsidRPr="00585CFA" w:rsidRDefault="001B273E" w:rsidP="00627600">
      <w:pPr>
        <w:pStyle w:val="Caption"/>
        <w:spacing w:before="0"/>
      </w:pPr>
      <w:bookmarkStart w:id="266" w:name="_Ref58619758"/>
      <w:r w:rsidRPr="00585CFA">
        <w:t>Figure</w:t>
      </w:r>
      <w:r w:rsidR="00FC5018" w:rsidRPr="00585CFA">
        <w:t xml:space="preserve"> </w:t>
      </w:r>
      <w:bookmarkEnd w:id="266"/>
      <w:r w:rsidR="00384A5C" w:rsidRPr="00585CFA">
        <w:t>7.1</w:t>
      </w:r>
      <w:r w:rsidR="00FC5018" w:rsidRPr="00585CFA">
        <w:t>:</w:t>
      </w:r>
      <w:r w:rsidRPr="00585CFA">
        <w:t xml:space="preserve"> Comparison of national forest net emissions using </w:t>
      </w:r>
      <w:r w:rsidR="00FC5018" w:rsidRPr="00585CFA">
        <w:t>Greenhouse Gas</w:t>
      </w:r>
      <w:r w:rsidRPr="00585CFA">
        <w:t xml:space="preserve"> Inventory (stock change) and NDC (averaging) accounting</w:t>
      </w:r>
      <w:r w:rsidR="00FC5018" w:rsidRPr="00585CFA">
        <w:t>.</w:t>
      </w:r>
    </w:p>
    <w:p w14:paraId="50CA238D" w14:textId="432E431D" w:rsidR="001B273E" w:rsidRDefault="00CB051A" w:rsidP="00627600">
      <w:pPr>
        <w:pStyle w:val="Content"/>
        <w:spacing w:before="0"/>
        <w:jc w:val="center"/>
      </w:pPr>
      <w:r w:rsidRPr="00CB051A">
        <w:t xml:space="preserve">Source: </w:t>
      </w:r>
      <w:r w:rsidR="001B273E" w:rsidRPr="00625484">
        <w:t>MPI October 2020 updated ‘with existing measures’ projection, $35 emissions price</w:t>
      </w:r>
    </w:p>
    <w:p w14:paraId="75C2C158" w14:textId="0F146AE2" w:rsidR="001B273E" w:rsidRPr="00AA3E0B" w:rsidRDefault="00F64EFE" w:rsidP="00AA3E0B">
      <w:pPr>
        <w:pStyle w:val="Heading2"/>
      </w:pPr>
      <w:bookmarkStart w:id="267" w:name="_Toc62650326"/>
      <w:r>
        <w:t xml:space="preserve">7.6 </w:t>
      </w:r>
      <w:r w:rsidR="001B273E" w:rsidRPr="00AA3E0B">
        <w:t>Detailed choices within the modified activity-based accounting framework</w:t>
      </w:r>
      <w:bookmarkEnd w:id="267"/>
    </w:p>
    <w:p w14:paraId="4B80471A" w14:textId="7189C573" w:rsidR="001B273E" w:rsidRDefault="001B273E" w:rsidP="00EB74A6">
      <w:pPr>
        <w:rPr>
          <w:lang w:eastAsia="en-NZ"/>
        </w:rPr>
      </w:pPr>
      <w:r>
        <w:t xml:space="preserve">The Commission has assessed detailed elements of the NDC accounting approach to identify if it is fit-for-purpose for emissions budget accounting. This assessment is summarised below. </w:t>
      </w:r>
    </w:p>
    <w:p w14:paraId="13348D49" w14:textId="51B86F31" w:rsidR="001B273E" w:rsidRDefault="001B273E" w:rsidP="00EB74A6">
      <w:pPr>
        <w:rPr>
          <w:lang w:eastAsia="en-NZ"/>
        </w:rPr>
      </w:pPr>
      <w:r>
        <w:t xml:space="preserve">The NDC accounting is not yet fully defined. It may not be </w:t>
      </w:r>
      <w:r>
        <w:rPr>
          <w:lang w:val="en-US"/>
        </w:rPr>
        <w:t xml:space="preserve">confirmed </w:t>
      </w:r>
      <w:r w:rsidRPr="482F5E7A">
        <w:rPr>
          <w:lang w:val="en-US"/>
        </w:rPr>
        <w:t xml:space="preserve">until </w:t>
      </w:r>
      <w:r>
        <w:rPr>
          <w:lang w:val="en-US"/>
        </w:rPr>
        <w:t xml:space="preserve">late </w:t>
      </w:r>
      <w:r w:rsidRPr="482F5E7A">
        <w:rPr>
          <w:lang w:val="en-US"/>
        </w:rPr>
        <w:t>2024</w:t>
      </w:r>
      <w:r w:rsidRPr="00316A2A">
        <w:t xml:space="preserve"> when </w:t>
      </w:r>
      <w:r>
        <w:t>Aotearoa</w:t>
      </w:r>
      <w:r w:rsidRPr="00316A2A">
        <w:t xml:space="preserve"> is due to submit its first Biennial Transparency Report under the Paris Agreement.</w:t>
      </w:r>
      <w:r w:rsidRPr="482F5E7A">
        <w:rPr>
          <w:lang w:val="en-US"/>
        </w:rPr>
        <w:t xml:space="preserve"> </w:t>
      </w:r>
      <w:r>
        <w:t>This</w:t>
      </w:r>
      <w:r w:rsidR="00DD025F">
        <w:t xml:space="preserve"> incomplete definition</w:t>
      </w:r>
      <w:r>
        <w:t xml:space="preserve"> limits what we can consider for this first package of advice. It </w:t>
      </w:r>
      <w:r>
        <w:rPr>
          <w:lang w:val="en-US"/>
        </w:rPr>
        <w:t xml:space="preserve">is not feasible to use some elements of the NDC </w:t>
      </w:r>
      <w:r w:rsidR="004B3016" w:rsidRPr="007E00BA">
        <w:rPr>
          <w:lang w:val="en-US"/>
        </w:rPr>
        <w:t>accounting approach</w:t>
      </w:r>
      <w:r w:rsidRPr="008B4987">
        <w:rPr>
          <w:lang w:val="en-US"/>
        </w:rPr>
        <w:t xml:space="preserve"> </w:t>
      </w:r>
      <w:r w:rsidRPr="20D0F5AB">
        <w:rPr>
          <w:rStyle w:val="normaltextrun"/>
          <w:rFonts w:ascii="Calibri" w:hAnsi="Calibri" w:cs="Calibri"/>
          <w:color w:val="000000" w:themeColor="text1"/>
        </w:rPr>
        <w:t>in accounting for emissions budgets as we do not currently have enough information on how they work, or they do not yet exist.</w:t>
      </w:r>
    </w:p>
    <w:p w14:paraId="621CDF04" w14:textId="18817F45" w:rsidR="001B273E" w:rsidRPr="00AA3E0B" w:rsidRDefault="00F64EFE" w:rsidP="00AA3E0B">
      <w:pPr>
        <w:pStyle w:val="Heading3"/>
        <w:rPr>
          <w:rStyle w:val="normaltextrun"/>
        </w:rPr>
      </w:pPr>
      <w:bookmarkStart w:id="268" w:name="_Toc58826948"/>
      <w:bookmarkStart w:id="269" w:name="_Toc58857642"/>
      <w:bookmarkStart w:id="270" w:name="_Toc61448699"/>
      <w:bookmarkStart w:id="271" w:name="_Toc62649386"/>
      <w:bookmarkStart w:id="272" w:name="_Toc62650327"/>
      <w:r w:rsidRPr="00F64EFE">
        <w:rPr>
          <w:rStyle w:val="normaltextrun"/>
        </w:rPr>
        <w:t xml:space="preserve">7.6.1 </w:t>
      </w:r>
      <w:r w:rsidR="001B273E" w:rsidRPr="00AA3E0B">
        <w:rPr>
          <w:rStyle w:val="normaltextrun"/>
        </w:rPr>
        <w:t>Forest management</w:t>
      </w:r>
      <w:bookmarkEnd w:id="268"/>
      <w:bookmarkEnd w:id="269"/>
      <w:bookmarkEnd w:id="270"/>
      <w:bookmarkEnd w:id="271"/>
      <w:bookmarkEnd w:id="272"/>
    </w:p>
    <w:p w14:paraId="08A490D2" w14:textId="29A879D5" w:rsidR="001B273E" w:rsidRDefault="001B273E" w:rsidP="00EB74A6">
      <w:pPr>
        <w:rPr>
          <w:bCs/>
        </w:rPr>
      </w:pPr>
      <w:r w:rsidRPr="00B83F9C">
        <w:rPr>
          <w:bCs/>
          <w:i/>
          <w:iCs/>
        </w:rPr>
        <w:t>Forest management</w:t>
      </w:r>
      <w:r w:rsidRPr="004C79B6">
        <w:t xml:space="preserve"> </w:t>
      </w:r>
      <w:r>
        <w:t>is the part of the NDC accounting system where the impact on</w:t>
      </w:r>
      <w:r w:rsidRPr="00513E48">
        <w:t xml:space="preserve"> </w:t>
      </w:r>
      <w:r>
        <w:t xml:space="preserve">carbon stocks of management </w:t>
      </w:r>
      <w:r w:rsidRPr="004C79B6">
        <w:t xml:space="preserve">practices affecting </w:t>
      </w:r>
      <w:r>
        <w:t xml:space="preserve">pre-1990 </w:t>
      </w:r>
      <w:r w:rsidRPr="004C79B6">
        <w:t>forests</w:t>
      </w:r>
      <w:r>
        <w:t xml:space="preserve"> is counted</w:t>
      </w:r>
      <w:r w:rsidRPr="004C79B6">
        <w:t>.</w:t>
      </w:r>
      <w:r>
        <w:t xml:space="preserve"> </w:t>
      </w:r>
      <w:r w:rsidRPr="004C79B6">
        <w:t>It is accounted for by estimating additional emissions and removals in pre-1990 forests above or below business-as-usual</w:t>
      </w:r>
      <w:r>
        <w:t xml:space="preserve"> due to changes in forest management. It involves setting a reference level, </w:t>
      </w:r>
      <w:r w:rsidR="00E619A7">
        <w:t xml:space="preserve">based on </w:t>
      </w:r>
      <w:r>
        <w:t xml:space="preserve">a </w:t>
      </w:r>
      <w:r w:rsidR="007F6D8B">
        <w:t xml:space="preserve">future </w:t>
      </w:r>
      <w:r>
        <w:t xml:space="preserve">projection </w:t>
      </w:r>
      <w:r>
        <w:rPr>
          <w:bCs/>
        </w:rPr>
        <w:t>of what would have happened with no change in management. Using counterfactual projections such as this has inherent accuracy and uncertainty challenges, with risks of both over</w:t>
      </w:r>
      <w:r w:rsidR="00677191">
        <w:rPr>
          <w:bCs/>
        </w:rPr>
        <w:t>-</w:t>
      </w:r>
      <w:r>
        <w:rPr>
          <w:bCs/>
        </w:rPr>
        <w:t xml:space="preserve"> and under-estimation. </w:t>
      </w:r>
    </w:p>
    <w:p w14:paraId="2C547F23" w14:textId="7189C573" w:rsidR="001B273E" w:rsidRDefault="001B273E" w:rsidP="00EB74A6">
      <w:pPr>
        <w:rPr>
          <w:bCs/>
        </w:rPr>
      </w:pPr>
      <w:r>
        <w:rPr>
          <w:bCs/>
        </w:rPr>
        <w:t xml:space="preserve">The Government has not yet defined the reference level that will be used for the NDC. We have been unable to assess how risks will be managed and how the reference level lines up against our accounting principles. This means we cannot include </w:t>
      </w:r>
      <w:r w:rsidRPr="00F80618">
        <w:rPr>
          <w:bCs/>
          <w:i/>
          <w:iCs/>
        </w:rPr>
        <w:t>forest management</w:t>
      </w:r>
      <w:r>
        <w:rPr>
          <w:bCs/>
        </w:rPr>
        <w:t xml:space="preserve"> in emissions budget </w:t>
      </w:r>
      <w:r>
        <w:rPr>
          <w:bCs/>
        </w:rPr>
        <w:lastRenderedPageBreak/>
        <w:t xml:space="preserve">accounting now. We will revisit this in 2024 to consider its inclusion in updated advice for the second and third emissions budgets. </w:t>
      </w:r>
    </w:p>
    <w:p w14:paraId="409E3A0E" w14:textId="073EAE46" w:rsidR="001B273E" w:rsidRDefault="001B273E" w:rsidP="00EB74A6">
      <w:r>
        <w:rPr>
          <w:bCs/>
        </w:rPr>
        <w:t>Despite this</w:t>
      </w:r>
      <w:r w:rsidR="005B5013">
        <w:rPr>
          <w:bCs/>
        </w:rPr>
        <w:t xml:space="preserve"> limitation</w:t>
      </w:r>
      <w:r>
        <w:rPr>
          <w:bCs/>
        </w:rPr>
        <w:t xml:space="preserve">, we value the management of </w:t>
      </w:r>
      <w:r>
        <w:t xml:space="preserve">pre-1990 forests to enhance carbon stocks and deliver other benefits such as biodiversity. </w:t>
      </w:r>
      <w:r>
        <w:rPr>
          <w:bCs/>
        </w:rPr>
        <w:t>W</w:t>
      </w:r>
      <w:r>
        <w:t xml:space="preserve">e urge the </w:t>
      </w:r>
      <w:r w:rsidR="00E455C7">
        <w:t>G</w:t>
      </w:r>
      <w:r>
        <w:t xml:space="preserve">overnment to encourage better management of these forests (see </w:t>
      </w:r>
      <w:r w:rsidR="0085576D">
        <w:t>c</w:t>
      </w:r>
      <w:r w:rsidR="00084F71">
        <w:t>hapter 6</w:t>
      </w:r>
      <w:r>
        <w:t>), even if the carbon impacts are not accounted for in emissions budgets</w:t>
      </w:r>
      <w:r>
        <w:rPr>
          <w:bCs/>
        </w:rPr>
        <w:t>.</w:t>
      </w:r>
    </w:p>
    <w:p w14:paraId="11260AD9" w14:textId="0A6A2E05" w:rsidR="001B273E" w:rsidRPr="00AA3E0B" w:rsidRDefault="00F64EFE" w:rsidP="00AA3E0B">
      <w:pPr>
        <w:pStyle w:val="Heading3"/>
        <w:rPr>
          <w:rStyle w:val="normaltextrun"/>
        </w:rPr>
      </w:pPr>
      <w:bookmarkStart w:id="273" w:name="_Toc58826949"/>
      <w:bookmarkStart w:id="274" w:name="_Toc58857643"/>
      <w:bookmarkStart w:id="275" w:name="_Toc61448700"/>
      <w:bookmarkStart w:id="276" w:name="_Toc62649387"/>
      <w:bookmarkStart w:id="277" w:name="_Toc62650328"/>
      <w:r w:rsidRPr="00DF7D7C">
        <w:rPr>
          <w:rStyle w:val="normaltextrun"/>
        </w:rPr>
        <w:t xml:space="preserve">7.6.2 </w:t>
      </w:r>
      <w:r w:rsidR="001B273E" w:rsidRPr="00AA3E0B">
        <w:rPr>
          <w:rStyle w:val="normaltextrun"/>
        </w:rPr>
        <w:t>Harvested wood products (HWPs)</w:t>
      </w:r>
      <w:bookmarkEnd w:id="273"/>
      <w:bookmarkEnd w:id="274"/>
      <w:bookmarkEnd w:id="275"/>
      <w:bookmarkEnd w:id="276"/>
      <w:bookmarkEnd w:id="277"/>
    </w:p>
    <w:p w14:paraId="7B7ADF8D" w14:textId="7189C573" w:rsidR="001B273E" w:rsidRDefault="001B273E" w:rsidP="00EB74A6">
      <w:r w:rsidRPr="00294C6B">
        <w:t>When</w:t>
      </w:r>
      <w:r>
        <w:t xml:space="preserve"> </w:t>
      </w:r>
      <w:r w:rsidRPr="00294C6B">
        <w:t>a</w:t>
      </w:r>
      <w:r>
        <w:t xml:space="preserve"> </w:t>
      </w:r>
      <w:r w:rsidRPr="00294C6B">
        <w:t>forest</w:t>
      </w:r>
      <w:r>
        <w:t xml:space="preserve"> </w:t>
      </w:r>
      <w:r w:rsidRPr="00294C6B">
        <w:t>is</w:t>
      </w:r>
      <w:r>
        <w:t xml:space="preserve"> </w:t>
      </w:r>
      <w:r w:rsidRPr="00294C6B">
        <w:t>harvested,</w:t>
      </w:r>
      <w:r>
        <w:t xml:space="preserve"> </w:t>
      </w:r>
      <w:r w:rsidRPr="00294C6B">
        <w:t>much</w:t>
      </w:r>
      <w:r>
        <w:t xml:space="preserve"> </w:t>
      </w:r>
      <w:r w:rsidRPr="00294C6B">
        <w:t>of</w:t>
      </w:r>
      <w:r>
        <w:t xml:space="preserve"> </w:t>
      </w:r>
      <w:r w:rsidRPr="00294C6B">
        <w:t>the</w:t>
      </w:r>
      <w:r>
        <w:t xml:space="preserve"> </w:t>
      </w:r>
      <w:r w:rsidRPr="00294C6B">
        <w:t>carbon</w:t>
      </w:r>
      <w:r>
        <w:t xml:space="preserve"> is </w:t>
      </w:r>
      <w:r w:rsidRPr="00294C6B">
        <w:t>stored</w:t>
      </w:r>
      <w:r>
        <w:t xml:space="preserve"> for a time </w:t>
      </w:r>
      <w:r w:rsidRPr="00294C6B">
        <w:t>in</w:t>
      </w:r>
      <w:r>
        <w:t xml:space="preserve"> </w:t>
      </w:r>
      <w:r w:rsidRPr="00294C6B">
        <w:t>wood</w:t>
      </w:r>
      <w:r>
        <w:t xml:space="preserve"> </w:t>
      </w:r>
      <w:r w:rsidRPr="00294C6B">
        <w:t>products</w:t>
      </w:r>
      <w:r>
        <w:t xml:space="preserve">, not </w:t>
      </w:r>
      <w:r w:rsidRPr="00294C6B">
        <w:t>released</w:t>
      </w:r>
      <w:r>
        <w:t xml:space="preserve"> </w:t>
      </w:r>
      <w:r w:rsidRPr="00294C6B">
        <w:t>into</w:t>
      </w:r>
      <w:r>
        <w:t xml:space="preserve"> </w:t>
      </w:r>
      <w:r w:rsidRPr="00294C6B">
        <w:t>the</w:t>
      </w:r>
      <w:r>
        <w:t xml:space="preserve"> </w:t>
      </w:r>
      <w:r w:rsidRPr="00294C6B">
        <w:t>atmosphere</w:t>
      </w:r>
      <w:r>
        <w:t xml:space="preserve"> </w:t>
      </w:r>
      <w:r w:rsidRPr="00294C6B">
        <w:t>immediately.</w:t>
      </w:r>
      <w:r>
        <w:t xml:space="preserve"> </w:t>
      </w:r>
      <w:r w:rsidRPr="00294C6B">
        <w:t>HWPs</w:t>
      </w:r>
      <w:r>
        <w:t xml:space="preserve"> is the part of the accounting system that </w:t>
      </w:r>
      <w:r w:rsidRPr="00294C6B">
        <w:t>capture</w:t>
      </w:r>
      <w:r>
        <w:t xml:space="preserve">s </w:t>
      </w:r>
      <w:r w:rsidRPr="00294C6B">
        <w:t>this</w:t>
      </w:r>
      <w:r>
        <w:t xml:space="preserve"> </w:t>
      </w:r>
      <w:r w:rsidRPr="00294C6B">
        <w:t>effect</w:t>
      </w:r>
      <w:r>
        <w:t xml:space="preserve"> and the benefit of </w:t>
      </w:r>
      <w:r w:rsidRPr="00294C6B">
        <w:t>using</w:t>
      </w:r>
      <w:r>
        <w:t xml:space="preserve"> </w:t>
      </w:r>
      <w:r w:rsidRPr="00294C6B">
        <w:t>timber</w:t>
      </w:r>
      <w:r>
        <w:t xml:space="preserve"> </w:t>
      </w:r>
      <w:r w:rsidRPr="00294C6B">
        <w:t>in</w:t>
      </w:r>
      <w:r>
        <w:t xml:space="preserve"> </w:t>
      </w:r>
      <w:r w:rsidRPr="00294C6B">
        <w:t>the</w:t>
      </w:r>
      <w:r>
        <w:t xml:space="preserve"> </w:t>
      </w:r>
      <w:r w:rsidRPr="00294C6B">
        <w:t>built</w:t>
      </w:r>
      <w:r>
        <w:t xml:space="preserve"> </w:t>
      </w:r>
      <w:r w:rsidRPr="00294C6B">
        <w:t>environment.</w:t>
      </w:r>
      <w:r>
        <w:t xml:space="preserve"> </w:t>
      </w:r>
    </w:p>
    <w:p w14:paraId="33DF1152" w14:textId="7189C573" w:rsidR="001B273E" w:rsidRDefault="001B273E" w:rsidP="00EB74A6">
      <w:r>
        <w:t xml:space="preserve">HWPs for post-1989 forests are likely to be incorporated into averaging through adjusting the long-term average carbon stock. HWPs for </w:t>
      </w:r>
      <w:r w:rsidRPr="00294C6B">
        <w:t>pre-1990</w:t>
      </w:r>
      <w:r>
        <w:t xml:space="preserve"> </w:t>
      </w:r>
      <w:r w:rsidRPr="00294C6B">
        <w:t>forests</w:t>
      </w:r>
      <w:r>
        <w:t xml:space="preserve"> are likely to be accounted for in the </w:t>
      </w:r>
      <w:r w:rsidRPr="00EC1EAE">
        <w:rPr>
          <w:i/>
          <w:iCs/>
        </w:rPr>
        <w:t>forest management</w:t>
      </w:r>
      <w:r>
        <w:t xml:space="preserve"> reference level. As </w:t>
      </w:r>
      <w:r w:rsidRPr="00EC1EAE">
        <w:rPr>
          <w:i/>
          <w:iCs/>
        </w:rPr>
        <w:t>forest management</w:t>
      </w:r>
      <w:r>
        <w:t xml:space="preserve"> cannot be included in emissions budget accounting now, there </w:t>
      </w:r>
      <w:r w:rsidRPr="00294C6B">
        <w:t>is</w:t>
      </w:r>
      <w:r>
        <w:t xml:space="preserve"> </w:t>
      </w:r>
      <w:r w:rsidRPr="00294C6B">
        <w:t>no</w:t>
      </w:r>
      <w:r>
        <w:t xml:space="preserve"> </w:t>
      </w:r>
      <w:r w:rsidRPr="00294C6B">
        <w:t>practical</w:t>
      </w:r>
      <w:r>
        <w:t xml:space="preserve"> way to account for HWPs for pre-1990 forests in emissions budgets either. </w:t>
      </w:r>
    </w:p>
    <w:p w14:paraId="0FA83C40" w14:textId="50645E28" w:rsidR="001B273E" w:rsidRPr="00AA3E0B" w:rsidRDefault="00DF7D7C" w:rsidP="00AA3E0B">
      <w:pPr>
        <w:pStyle w:val="Heading3"/>
        <w:rPr>
          <w:rStyle w:val="normaltextrun"/>
        </w:rPr>
      </w:pPr>
      <w:bookmarkStart w:id="278" w:name="_Toc58826950"/>
      <w:bookmarkStart w:id="279" w:name="_Toc58857644"/>
      <w:bookmarkStart w:id="280" w:name="_Toc61448701"/>
      <w:bookmarkStart w:id="281" w:name="_Toc62649388"/>
      <w:bookmarkStart w:id="282" w:name="_Toc62650329"/>
      <w:r w:rsidRPr="00DF7D7C">
        <w:rPr>
          <w:rStyle w:val="normaltextrun"/>
        </w:rPr>
        <w:t xml:space="preserve">7.6.3 </w:t>
      </w:r>
      <w:r w:rsidR="001B273E" w:rsidRPr="00AA3E0B">
        <w:rPr>
          <w:rStyle w:val="normaltextrun"/>
        </w:rPr>
        <w:t>Carbon equivalent forests</w:t>
      </w:r>
      <w:bookmarkEnd w:id="278"/>
      <w:bookmarkEnd w:id="279"/>
      <w:bookmarkEnd w:id="280"/>
      <w:bookmarkEnd w:id="281"/>
      <w:bookmarkEnd w:id="282"/>
    </w:p>
    <w:p w14:paraId="441C2556" w14:textId="51AA4E85" w:rsidR="001B273E" w:rsidRDefault="001B273E" w:rsidP="00EB74A6">
      <w:r>
        <w:t>This provision allows pre-1990 forests that meet specified conditions to be converted to another land use without being classified as deforestation, if a new forest that w</w:t>
      </w:r>
      <w:r w:rsidR="002C751B">
        <w:t>ould</w:t>
      </w:r>
      <w:r>
        <w:t xml:space="preserve"> reach an equivalent carbon stock is planted elsewhere. We have not identified material integrity risks with this provision. </w:t>
      </w:r>
    </w:p>
    <w:p w14:paraId="06D13607" w14:textId="307336F5" w:rsidR="001B273E" w:rsidRPr="00AA3E0B" w:rsidRDefault="00DF7D7C" w:rsidP="00AA3E0B">
      <w:pPr>
        <w:pStyle w:val="Heading3"/>
        <w:rPr>
          <w:rStyle w:val="normaltextrun"/>
        </w:rPr>
      </w:pPr>
      <w:bookmarkStart w:id="283" w:name="_Toc58826951"/>
      <w:bookmarkStart w:id="284" w:name="_Toc58857645"/>
      <w:bookmarkStart w:id="285" w:name="_Toc61448702"/>
      <w:bookmarkStart w:id="286" w:name="_Toc62649389"/>
      <w:bookmarkStart w:id="287" w:name="_Toc62650330"/>
      <w:r w:rsidRPr="00DF7D7C">
        <w:rPr>
          <w:rStyle w:val="normaltextrun"/>
        </w:rPr>
        <w:t xml:space="preserve">7.6.4 </w:t>
      </w:r>
      <w:r w:rsidR="001B273E" w:rsidRPr="00AA3E0B">
        <w:rPr>
          <w:rStyle w:val="normaltextrun"/>
        </w:rPr>
        <w:t>Natural disturbances</w:t>
      </w:r>
      <w:bookmarkEnd w:id="283"/>
      <w:bookmarkEnd w:id="284"/>
      <w:bookmarkEnd w:id="285"/>
      <w:bookmarkEnd w:id="286"/>
      <w:bookmarkEnd w:id="287"/>
    </w:p>
    <w:p w14:paraId="23125F98" w14:textId="2426BA58" w:rsidR="001B273E" w:rsidRDefault="00B923AD" w:rsidP="00EB74A6">
      <w:pPr>
        <w:rPr>
          <w:rStyle w:val="normaltextrun"/>
          <w:rFonts w:ascii="Calibri" w:hAnsi="Calibri" w:cs="Calibri"/>
          <w:color w:val="000000"/>
          <w:shd w:val="clear" w:color="auto" w:fill="FFFFFF"/>
        </w:rPr>
      </w:pPr>
      <w:r>
        <w:rPr>
          <w:rStyle w:val="normaltextrun"/>
          <w:rFonts w:ascii="Calibri" w:hAnsi="Calibri" w:cs="Calibri"/>
          <w:color w:val="000000" w:themeColor="text1"/>
        </w:rPr>
        <w:t>The country’s</w:t>
      </w:r>
      <w:r w:rsidRPr="20D0F5AB">
        <w:rPr>
          <w:rStyle w:val="normaltextrun"/>
          <w:rFonts w:ascii="Calibri" w:hAnsi="Calibri" w:cs="Calibri"/>
          <w:color w:val="000000" w:themeColor="text1"/>
        </w:rPr>
        <w:t xml:space="preserve"> </w:t>
      </w:r>
      <w:r w:rsidR="00715906">
        <w:rPr>
          <w:rStyle w:val="normaltextrun"/>
          <w:rFonts w:ascii="Calibri" w:hAnsi="Calibri" w:cs="Calibri"/>
          <w:color w:val="000000" w:themeColor="text1"/>
        </w:rPr>
        <w:t>first</w:t>
      </w:r>
      <w:r w:rsidRPr="20D0F5AB">
        <w:rPr>
          <w:rStyle w:val="normaltextrun"/>
          <w:rFonts w:ascii="Calibri" w:hAnsi="Calibri" w:cs="Calibri"/>
          <w:color w:val="000000" w:themeColor="text1"/>
        </w:rPr>
        <w:t xml:space="preserve"> </w:t>
      </w:r>
      <w:r w:rsidR="001B273E" w:rsidRPr="20D0F5AB">
        <w:rPr>
          <w:rStyle w:val="normaltextrun"/>
          <w:rFonts w:ascii="Calibri" w:hAnsi="Calibri" w:cs="Calibri"/>
          <w:color w:val="000000" w:themeColor="text1"/>
        </w:rPr>
        <w:t>NDC will include a ‘natural disturbances’ provision to manage risks of natural events radically affecting land emissions. The provision can be invoked after a natural disturbance, e.g. a volcanic eruption, to allow the emissions from the disturbance to be excluded from accounting.</w:t>
      </w:r>
    </w:p>
    <w:p w14:paraId="12EA14C7" w14:textId="27F02E85" w:rsidR="001B273E" w:rsidRDefault="001B273E" w:rsidP="00EB74A6">
      <w:pPr>
        <w:rPr>
          <w:rStyle w:val="normaltextrun"/>
          <w:rFonts w:ascii="Calibri" w:hAnsi="Calibri" w:cs="Calibri"/>
          <w:color w:val="000000"/>
          <w:shd w:val="clear" w:color="auto" w:fill="FFFFFF"/>
        </w:rPr>
      </w:pPr>
      <w:r w:rsidRPr="20D0F5AB">
        <w:rPr>
          <w:rStyle w:val="normaltextrun"/>
          <w:rFonts w:ascii="Calibri" w:hAnsi="Calibri" w:cs="Calibri"/>
          <w:color w:val="000000" w:themeColor="text1"/>
        </w:rPr>
        <w:t xml:space="preserve">The provision is expected to follow </w:t>
      </w:r>
      <w:r w:rsidRPr="00DF51CF">
        <w:t>the</w:t>
      </w:r>
      <w:r>
        <w:t xml:space="preserve"> IPCC’s</w:t>
      </w:r>
      <w:r w:rsidRPr="00DF51CF">
        <w:t xml:space="preserve"> 2013 </w:t>
      </w:r>
      <w:r w:rsidRPr="007A0330">
        <w:rPr>
          <w:i/>
        </w:rPr>
        <w:t>Revised Supplementary Methods and Good Practice Guidance Arising from the Kyoto Protocol</w:t>
      </w:r>
      <w:r>
        <w:t xml:space="preserve">, but </w:t>
      </w:r>
      <w:r w:rsidRPr="20D0F5AB">
        <w:rPr>
          <w:rStyle w:val="normaltextrun"/>
          <w:rFonts w:ascii="Calibri" w:hAnsi="Calibri" w:cs="Calibri"/>
          <w:color w:val="000000" w:themeColor="text1"/>
        </w:rPr>
        <w:t xml:space="preserve">the details of how it will work are not yet clear. The risks of adopting </w:t>
      </w:r>
      <w:r w:rsidR="00E135D9">
        <w:rPr>
          <w:rStyle w:val="normaltextrun"/>
          <w:rFonts w:ascii="Calibri" w:hAnsi="Calibri" w:cs="Calibri"/>
          <w:color w:val="000000" w:themeColor="text1"/>
        </w:rPr>
        <w:t>the provision</w:t>
      </w:r>
      <w:r w:rsidRPr="20D0F5AB">
        <w:rPr>
          <w:rStyle w:val="normaltextrun"/>
          <w:rFonts w:ascii="Calibri" w:hAnsi="Calibri" w:cs="Calibri"/>
          <w:color w:val="000000" w:themeColor="text1"/>
        </w:rPr>
        <w:t xml:space="preserve"> for emissions budgets before knowing the rules can be managed</w:t>
      </w:r>
      <w:r w:rsidR="007F3149">
        <w:rPr>
          <w:rStyle w:val="normaltextrun"/>
          <w:rFonts w:ascii="Calibri" w:hAnsi="Calibri" w:cs="Calibri"/>
          <w:color w:val="000000" w:themeColor="text1"/>
        </w:rPr>
        <w:t>,</w:t>
      </w:r>
      <w:r w:rsidRPr="20D0F5AB">
        <w:rPr>
          <w:rStyle w:val="normaltextrun"/>
          <w:rFonts w:ascii="Calibri" w:hAnsi="Calibri" w:cs="Calibri"/>
          <w:color w:val="000000" w:themeColor="text1"/>
        </w:rPr>
        <w:t xml:space="preserve"> as we can control whether it is invoked through our annual monitoring reports. </w:t>
      </w:r>
    </w:p>
    <w:p w14:paraId="392BBF81" w14:textId="51D3188A" w:rsidR="001B273E" w:rsidRPr="00AA3E0B" w:rsidRDefault="00DF7D7C" w:rsidP="00AA3E0B">
      <w:pPr>
        <w:pStyle w:val="Heading3"/>
        <w:rPr>
          <w:rStyle w:val="normaltextrun"/>
        </w:rPr>
      </w:pPr>
      <w:bookmarkStart w:id="288" w:name="_Toc58826952"/>
      <w:bookmarkStart w:id="289" w:name="_Toc58857646"/>
      <w:bookmarkStart w:id="290" w:name="_Toc61448703"/>
      <w:bookmarkStart w:id="291" w:name="_Toc62649390"/>
      <w:bookmarkStart w:id="292" w:name="_Toc62650331"/>
      <w:r w:rsidRPr="00DF7D7C">
        <w:rPr>
          <w:rStyle w:val="normaltextrun"/>
        </w:rPr>
        <w:t xml:space="preserve">7.6.5 </w:t>
      </w:r>
      <w:r w:rsidR="001B273E" w:rsidRPr="00AA3E0B">
        <w:rPr>
          <w:rStyle w:val="normaltextrun"/>
        </w:rPr>
        <w:t>Other sources of land emissions and removals</w:t>
      </w:r>
      <w:bookmarkEnd w:id="288"/>
      <w:bookmarkEnd w:id="289"/>
      <w:bookmarkEnd w:id="290"/>
      <w:bookmarkEnd w:id="291"/>
      <w:bookmarkEnd w:id="292"/>
      <w:r w:rsidR="001B273E" w:rsidRPr="00AA3E0B">
        <w:rPr>
          <w:rStyle w:val="normaltextrun"/>
        </w:rPr>
        <w:t xml:space="preserve"> </w:t>
      </w:r>
    </w:p>
    <w:p w14:paraId="5E5E8DF4" w14:textId="6C8600D1" w:rsidR="001B273E" w:rsidRPr="0000662C" w:rsidRDefault="001B273E" w:rsidP="001E7E76">
      <w:r w:rsidRPr="20D0F5AB">
        <w:rPr>
          <w:rStyle w:val="normaltextrun"/>
          <w:rFonts w:ascii="Calibri" w:hAnsi="Calibri" w:cs="Calibri"/>
          <w:color w:val="000000" w:themeColor="text1"/>
        </w:rPr>
        <w:t>The most significant sources of land emissions and removals not yet part of NDC accounting are emissions from organic soils</w:t>
      </w:r>
      <w:r w:rsidR="001E7E76">
        <w:rPr>
          <w:rStyle w:val="normaltextrun"/>
          <w:rFonts w:ascii="Calibri" w:hAnsi="Calibri" w:cs="Calibri"/>
          <w:color w:val="000000" w:themeColor="text1"/>
        </w:rPr>
        <w:t>,</w:t>
      </w:r>
      <w:r w:rsidR="00EB74A6">
        <w:rPr>
          <w:rStyle w:val="normaltextrun"/>
          <w:rFonts w:ascii="Calibri" w:hAnsi="Calibri" w:cs="Calibri"/>
          <w:color w:val="000000" w:themeColor="text1"/>
        </w:rPr>
        <w:t xml:space="preserve"> </w:t>
      </w:r>
      <w:r w:rsidRPr="20D0F5AB">
        <w:rPr>
          <w:rStyle w:val="normaltextrun"/>
          <w:rFonts w:ascii="Calibri" w:hAnsi="Calibri" w:cs="Calibri"/>
          <w:color w:val="000000" w:themeColor="text1"/>
        </w:rPr>
        <w:t>mostly drained wetlands</w:t>
      </w:r>
      <w:r w:rsidR="001E7E76">
        <w:rPr>
          <w:rStyle w:val="normaltextrun"/>
          <w:rFonts w:ascii="Calibri" w:hAnsi="Calibri" w:cs="Calibri"/>
          <w:color w:val="000000" w:themeColor="text1"/>
        </w:rPr>
        <w:t>,</w:t>
      </w:r>
      <w:r w:rsidRPr="20D0F5AB">
        <w:rPr>
          <w:rStyle w:val="normaltextrun"/>
          <w:rFonts w:ascii="Calibri" w:hAnsi="Calibri" w:cs="Calibri"/>
          <w:color w:val="000000" w:themeColor="text1"/>
        </w:rPr>
        <w:t xml:space="preserve"> and removals from biomass on grasslands</w:t>
      </w:r>
      <w:r w:rsidR="001E7E76">
        <w:rPr>
          <w:rStyle w:val="normaltextrun"/>
          <w:rFonts w:ascii="Calibri" w:hAnsi="Calibri" w:cs="Calibri"/>
          <w:color w:val="000000" w:themeColor="text1"/>
        </w:rPr>
        <w:t>,</w:t>
      </w:r>
      <w:r w:rsidRPr="20D0F5AB">
        <w:rPr>
          <w:rStyle w:val="normaltextrun"/>
          <w:rFonts w:ascii="Calibri" w:hAnsi="Calibri" w:cs="Calibri"/>
          <w:color w:val="000000" w:themeColor="text1"/>
        </w:rPr>
        <w:t xml:space="preserve"> mostly small lots of trees. In line with our principle that accounting should aim to cover all material </w:t>
      </w:r>
      <w:r w:rsidR="00301958">
        <w:rPr>
          <w:rStyle w:val="normaltextrun"/>
          <w:rFonts w:ascii="Calibri" w:hAnsi="Calibri" w:cs="Calibri"/>
          <w:color w:val="000000" w:themeColor="text1"/>
        </w:rPr>
        <w:t>human caused</w:t>
      </w:r>
      <w:r w:rsidRPr="20D0F5AB">
        <w:rPr>
          <w:rStyle w:val="normaltextrun"/>
          <w:rFonts w:ascii="Calibri" w:hAnsi="Calibri" w:cs="Calibri"/>
          <w:color w:val="000000" w:themeColor="text1"/>
        </w:rPr>
        <w:t xml:space="preserve"> emissions sources and sinks, the </w:t>
      </w:r>
      <w:r w:rsidR="00301958">
        <w:t>G</w:t>
      </w:r>
      <w:r w:rsidRPr="0000662C">
        <w:t xml:space="preserve">overnment </w:t>
      </w:r>
      <w:r>
        <w:t xml:space="preserve">should </w:t>
      </w:r>
      <w:r w:rsidRPr="0000662C">
        <w:t xml:space="preserve">investigate the feasibility of including these </w:t>
      </w:r>
      <w:r>
        <w:t xml:space="preserve">land areas and uses </w:t>
      </w:r>
      <w:r w:rsidRPr="0000662C">
        <w:t>in target accounting in future.</w:t>
      </w:r>
    </w:p>
    <w:p w14:paraId="6C78BE87" w14:textId="3EE2CE1F" w:rsidR="001B273E" w:rsidRPr="00AA3E0B" w:rsidRDefault="00DF7D7C" w:rsidP="00AA3E0B">
      <w:pPr>
        <w:pStyle w:val="Heading2"/>
      </w:pPr>
      <w:bookmarkStart w:id="293" w:name="_Toc62650332"/>
      <w:r>
        <w:lastRenderedPageBreak/>
        <w:t xml:space="preserve">7.7 </w:t>
      </w:r>
      <w:r w:rsidR="001B273E" w:rsidRPr="00AA3E0B">
        <w:t>Voluntary offsetting and carbon neutrality</w:t>
      </w:r>
      <w:bookmarkEnd w:id="293"/>
      <w:r w:rsidR="001B273E" w:rsidRPr="00AA3E0B">
        <w:t xml:space="preserve"> </w:t>
      </w:r>
    </w:p>
    <w:p w14:paraId="6F3228AB" w14:textId="50B1E79A" w:rsidR="001B273E" w:rsidRDefault="001B273E" w:rsidP="00443CA8">
      <w:r>
        <w:t xml:space="preserve">Voluntary offsetting refers to the purchase and cancellation of emissions units such as NZUs for the purpose of making ‘carbon neutral’ or ‘net zero’ claims. It aims to compensate for the emissions footprint associated with an organisation, product or service such as air travel. </w:t>
      </w:r>
    </w:p>
    <w:p w14:paraId="724F0A0D" w14:textId="4A98D20F" w:rsidR="001B273E" w:rsidRDefault="001B273E" w:rsidP="00443CA8">
      <w:r>
        <w:t xml:space="preserve">There are several </w:t>
      </w:r>
      <w:r w:rsidR="00390261">
        <w:t>requirements</w:t>
      </w:r>
      <w:r>
        <w:t xml:space="preserve"> that are widely recognised as necessary to enable a credible carbon neutral claim. One is that voluntary offsetting should contribute to </w:t>
      </w:r>
      <w:r w:rsidRPr="00641906">
        <w:rPr>
          <w:i/>
          <w:iCs/>
        </w:rPr>
        <w:t>additional</w:t>
      </w:r>
      <w:r>
        <w:t xml:space="preserve"> emission reductions or removals it. This</w:t>
      </w:r>
      <w:r w:rsidR="00390261">
        <w:t xml:space="preserve"> requirement</w:t>
      </w:r>
      <w:r>
        <w:t xml:space="preserve"> means </w:t>
      </w:r>
      <w:r w:rsidR="00D814CD">
        <w:t xml:space="preserve">that </w:t>
      </w:r>
      <w:r w:rsidR="00E90F4A">
        <w:t>voluntary offsetting</w:t>
      </w:r>
      <w:r>
        <w:t xml:space="preserve"> should deliver something extra on top of what would occur anyway due to business-as-usual activities, including </w:t>
      </w:r>
      <w:r w:rsidR="00B336E8">
        <w:t xml:space="preserve">those </w:t>
      </w:r>
      <w:r>
        <w:t xml:space="preserve">due to government policies like the </w:t>
      </w:r>
      <w:r w:rsidR="00F00BC9">
        <w:t xml:space="preserve">NZ </w:t>
      </w:r>
      <w:r>
        <w:t>ETS. Another is the avoidance of double claiming, a type of double counting where more than one entity counts an emission reduction against an emission</w:t>
      </w:r>
      <w:r w:rsidR="00D76EDB">
        <w:t>s</w:t>
      </w:r>
      <w:r>
        <w:t xml:space="preserve"> reduction target. </w:t>
      </w:r>
    </w:p>
    <w:p w14:paraId="5D417E25" w14:textId="5491311F" w:rsidR="001B273E" w:rsidRDefault="001B273E" w:rsidP="00443CA8">
      <w:r>
        <w:t>In Aotearoa the issues of additionality and double claiming are linked. It is not possible to guarantee that an emission</w:t>
      </w:r>
      <w:r w:rsidR="00377316">
        <w:t>s</w:t>
      </w:r>
      <w:r>
        <w:t xml:space="preserve"> reduction or removal is additional, unless it is not double claimed against </w:t>
      </w:r>
      <w:r w:rsidR="00B923AD">
        <w:t xml:space="preserve">the country’s </w:t>
      </w:r>
      <w:r>
        <w:t>emission</w:t>
      </w:r>
      <w:r w:rsidR="00377316">
        <w:t>s</w:t>
      </w:r>
      <w:r>
        <w:t xml:space="preserve"> reduction targets. In practice, this means that to deliver additional mitigation in any sector whose emissions are in scope for target accounting, both an NZU must be cancelled and an adjustment made to the accounting for targets</w:t>
      </w:r>
      <w:r w:rsidR="00443CA8">
        <w:t xml:space="preserve">, </w:t>
      </w:r>
      <w:r>
        <w:t xml:space="preserve">emissions budgets and the NDC. </w:t>
      </w:r>
    </w:p>
    <w:p w14:paraId="34914129" w14:textId="3C40A583" w:rsidR="001B273E" w:rsidRDefault="001B273E" w:rsidP="00443CA8">
      <w:r>
        <w:t>This</w:t>
      </w:r>
      <w:r w:rsidR="002330FD">
        <w:t xml:space="preserve"> requirement</w:t>
      </w:r>
      <w:r>
        <w:t xml:space="preserve"> is due to the NZ ETS, which is managed in way that takes account of emissions from the whole economy, including from agriculture and forests that are not covered by the NZ ETS. If over time</w:t>
      </w:r>
      <w:r w:rsidDel="00B923AD">
        <w:t xml:space="preserve"> </w:t>
      </w:r>
      <w:r w:rsidR="00B923AD">
        <w:t xml:space="preserve">the country’s </w:t>
      </w:r>
      <w:r>
        <w:t>total net emissions recorded in the Inventory are lower than what is needed to meet our emission</w:t>
      </w:r>
      <w:r w:rsidR="00C062C0">
        <w:t>s</w:t>
      </w:r>
      <w:r>
        <w:t xml:space="preserve"> reduction targets, more units will be added to the NZ ETS cap via the annual cap updates. This</w:t>
      </w:r>
      <w:r w:rsidR="000738B5">
        <w:t xml:space="preserve"> adjustment</w:t>
      </w:r>
      <w:r>
        <w:t xml:space="preserve"> is to keep Aotearoa on track to achieve its targets, rather than to overachieve them, to avoid imposing more cost than necessary on the economy and New Zealanders.</w:t>
      </w:r>
    </w:p>
    <w:p w14:paraId="437D9511" w14:textId="468449EF" w:rsidR="001B273E" w:rsidRDefault="00F34734" w:rsidP="00443CA8">
      <w:r>
        <w:t>If</w:t>
      </w:r>
      <w:r w:rsidR="001B273E">
        <w:t xml:space="preserve"> NZUs </w:t>
      </w:r>
      <w:r>
        <w:t>were cancelled</w:t>
      </w:r>
      <w:r w:rsidR="001B273E">
        <w:t xml:space="preserve"> for voluntary offsetting without removing the same volume from </w:t>
      </w:r>
      <w:r w:rsidR="00EC3F38">
        <w:t xml:space="preserve">the </w:t>
      </w:r>
      <w:r w:rsidR="001B273E">
        <w:t>target</w:t>
      </w:r>
      <w:r w:rsidR="000E18EC">
        <w:t>, it would</w:t>
      </w:r>
      <w:r w:rsidR="001B273E">
        <w:t xml:space="preserve"> simply make it appear that the NZ ETS is driving more reductions than necessary to meet the target. The NZ ETS cap </w:t>
      </w:r>
      <w:r w:rsidR="004056CC">
        <w:t>would then</w:t>
      </w:r>
      <w:r w:rsidR="001B273E">
        <w:t xml:space="preserve"> be adjusted upwards, permitting more emissions elsewhere in the economy</w:t>
      </w:r>
      <w:r w:rsidR="009C770F">
        <w:t xml:space="preserve">, </w:t>
      </w:r>
      <w:r w:rsidR="00C60360">
        <w:t>negating the impact of the</w:t>
      </w:r>
      <w:r w:rsidR="001B273E">
        <w:t xml:space="preserve"> voluntary mitigation.</w:t>
      </w:r>
    </w:p>
    <w:p w14:paraId="43CC787B" w14:textId="1B77B8A3" w:rsidR="001B273E" w:rsidRDefault="001B273E" w:rsidP="00443CA8">
      <w:r>
        <w:t>The Government is considering what guidance to provide about voluntary offsetting from 2021 as Aotearoa moves to Paris Agreement accounting practices. It has not yet made any decisions about whether to allow adjustments against targets when NZUs are cancelled for the purpose of voluntary offsetting. Nor has it decided whether carbon neutral claims can be made when an NZU is cancelled.</w:t>
      </w:r>
    </w:p>
    <w:p w14:paraId="1636CF38" w14:textId="62055214" w:rsidR="001B273E" w:rsidRDefault="001B273E" w:rsidP="00443CA8">
      <w:r>
        <w:t>The Government should explore options for enabling voluntary mitigation and clarify the types of claims that can be made about it in Aotearoa. This should aim to encourage the private sector’s desire for voluntary action for the benefit of the climate.</w:t>
      </w:r>
    </w:p>
    <w:p w14:paraId="4FB8443A" w14:textId="7015BF64" w:rsidR="001B273E" w:rsidRDefault="001B273E" w:rsidP="00443CA8">
      <w:r>
        <w:t xml:space="preserve">We consider that, given the way the </w:t>
      </w:r>
      <w:r w:rsidR="002E5F3A">
        <w:t xml:space="preserve">NZ </w:t>
      </w:r>
      <w:r>
        <w:t xml:space="preserve">ETS currently operates, if there is </w:t>
      </w:r>
      <w:r w:rsidRPr="00CF245D">
        <w:t>no adjustment against targets when an NZU is cancelled</w:t>
      </w:r>
      <w:r>
        <w:t>, it is not legitimate to</w:t>
      </w:r>
      <w:r w:rsidRPr="00CF245D">
        <w:t xml:space="preserve"> claim that any additional emission reduction or removal has occurred. </w:t>
      </w:r>
      <w:r>
        <w:t xml:space="preserve">This is in line with our objective and principles for accounting that relate to transparency, consistency and tracking genuine environmental gains. </w:t>
      </w:r>
    </w:p>
    <w:p w14:paraId="6B1E3757" w14:textId="489976BB" w:rsidR="001B273E" w:rsidRPr="00AA3E0B" w:rsidRDefault="000710D5" w:rsidP="00AA3E0B">
      <w:pPr>
        <w:pStyle w:val="Heading2"/>
      </w:pPr>
      <w:bookmarkStart w:id="294" w:name="_Toc62650333"/>
      <w:r>
        <w:t xml:space="preserve">7.8 </w:t>
      </w:r>
      <w:r w:rsidR="001B273E" w:rsidRPr="00AA3E0B">
        <w:t>Legislative requirements</w:t>
      </w:r>
      <w:bookmarkEnd w:id="294"/>
      <w:r w:rsidR="001B273E" w:rsidRPr="00AA3E0B">
        <w:t xml:space="preserve"> </w:t>
      </w:r>
    </w:p>
    <w:p w14:paraId="013DEF62" w14:textId="64A5B953" w:rsidR="001B273E" w:rsidRDefault="001B273E" w:rsidP="001B273E">
      <w:r>
        <w:t xml:space="preserve">The Climate Change Response Act sets out the framework for the system of emissions budgets to set the path to the 2050 target, including some of the parameters for accounting. These include the scope </w:t>
      </w:r>
      <w:r>
        <w:lastRenderedPageBreak/>
        <w:t>of emission</w:t>
      </w:r>
      <w:r w:rsidR="00AF7CA4">
        <w:t>s</w:t>
      </w:r>
      <w:r>
        <w:t xml:space="preserve"> budgets, which excludes emissions from international aviation and </w:t>
      </w:r>
      <w:r w:rsidR="009950A0">
        <w:t xml:space="preserve">international </w:t>
      </w:r>
      <w:r>
        <w:t xml:space="preserve">shipping and from Tokelau, and that emissions budgets be expressed as a net quantity of carbon dioxide equivalent, calculated in accordance with international climate change obligations. </w:t>
      </w:r>
    </w:p>
    <w:p w14:paraId="40152FEF" w14:textId="13E61BDC" w:rsidR="00FE1FC2" w:rsidRPr="00FE1FC2" w:rsidRDefault="001B273E" w:rsidP="00FE1FC2">
      <w:r>
        <w:t xml:space="preserve">We have examined these accounting issues on their merits, in keeping with our independent role. We do not consider that any changes to legislation are warranted at this stage, given the high bar for recommending legislative change. A more detailed explanation of these issues is provided in </w:t>
      </w:r>
      <w:r w:rsidR="0085576D">
        <w:t>c</w:t>
      </w:r>
      <w:r w:rsidRPr="00084F71">
        <w:t xml:space="preserve">hapter </w:t>
      </w:r>
      <w:r w:rsidR="00084F71" w:rsidRPr="00084F71">
        <w:t>3</w:t>
      </w:r>
      <w:r w:rsidRPr="00084F71">
        <w:t xml:space="preserve"> in the </w:t>
      </w:r>
      <w:r w:rsidR="00084F71" w:rsidRPr="00084F71">
        <w:t>E</w:t>
      </w:r>
      <w:r w:rsidRPr="00084F71">
        <w:t xml:space="preserve">vidence </w:t>
      </w:r>
      <w:r w:rsidR="00084F71" w:rsidRPr="00084F71">
        <w:t>R</w:t>
      </w:r>
      <w:r w:rsidRPr="00084F71">
        <w:t>eport</w:t>
      </w:r>
      <w:r>
        <w:t>.</w:t>
      </w:r>
    </w:p>
    <w:tbl>
      <w:tblPr>
        <w:tblStyle w:val="GridTable4-Accent2"/>
        <w:tblW w:w="0" w:type="auto"/>
        <w:tblCellMar>
          <w:bottom w:w="57" w:type="dxa"/>
        </w:tblCellMar>
        <w:tblLook w:val="04A0" w:firstRow="1" w:lastRow="0" w:firstColumn="1" w:lastColumn="0" w:noHBand="0" w:noVBand="1"/>
      </w:tblPr>
      <w:tblGrid>
        <w:gridCol w:w="9016"/>
      </w:tblGrid>
      <w:tr w:rsidR="00A57D35" w:rsidRPr="002520DA" w14:paraId="6DA26BB9" w14:textId="77777777" w:rsidTr="00475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7385960" w14:textId="790C6145" w:rsidR="00A57D35" w:rsidRPr="002520DA" w:rsidRDefault="00A57D35" w:rsidP="004753FC">
            <w:pPr>
              <w:spacing w:before="0" w:after="0"/>
              <w:jc w:val="center"/>
              <w:rPr>
                <w:color w:val="000000" w:themeColor="text1"/>
                <w:sz w:val="24"/>
                <w:szCs w:val="24"/>
                <w:lang w:val="en-US"/>
              </w:rPr>
            </w:pPr>
            <w:r>
              <w:rPr>
                <w:sz w:val="28"/>
                <w:szCs w:val="28"/>
              </w:rPr>
              <w:t>Budget</w:t>
            </w:r>
            <w:r w:rsidRPr="002520DA">
              <w:rPr>
                <w:sz w:val="28"/>
                <w:szCs w:val="28"/>
              </w:rPr>
              <w:t xml:space="preserve"> recommendation </w:t>
            </w:r>
            <w:r w:rsidR="007467E1">
              <w:rPr>
                <w:sz w:val="28"/>
                <w:szCs w:val="28"/>
              </w:rPr>
              <w:t>5</w:t>
            </w:r>
          </w:p>
          <w:p w14:paraId="57C9A3EC" w14:textId="0A0FE080" w:rsidR="00A57D35" w:rsidRPr="003E0AB3" w:rsidRDefault="003E0AB3" w:rsidP="004753FC">
            <w:pPr>
              <w:spacing w:before="0" w:after="0"/>
              <w:jc w:val="center"/>
              <w:rPr>
                <w:b w:val="0"/>
                <w:sz w:val="28"/>
                <w:szCs w:val="28"/>
              </w:rPr>
            </w:pPr>
            <w:r w:rsidRPr="003E0AB3">
              <w:rPr>
                <w:b w:val="0"/>
                <w:bCs w:val="0"/>
                <w:sz w:val="28"/>
                <w:szCs w:val="28"/>
              </w:rPr>
              <w:t xml:space="preserve">The rules for measuring progress towards </w:t>
            </w:r>
            <w:r w:rsidRPr="003E0AB3">
              <w:rPr>
                <w:b w:val="0"/>
                <w:bCs w:val="0"/>
                <w:sz w:val="28"/>
                <w:szCs w:val="28"/>
              </w:rPr>
              <w:br/>
              <w:t>emissions budgets and the 2050 target</w:t>
            </w:r>
          </w:p>
        </w:tc>
      </w:tr>
      <w:tr w:rsidR="00A57D35" w:rsidRPr="002520DA" w14:paraId="0ECF3A8F" w14:textId="77777777" w:rsidTr="00475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F9F965E" w14:textId="77777777" w:rsidR="003E0AB3" w:rsidRPr="003E0AB3" w:rsidRDefault="003E0AB3" w:rsidP="003E0AB3">
            <w:pPr>
              <w:rPr>
                <w:lang w:val="en-US"/>
              </w:rPr>
            </w:pPr>
            <w:r w:rsidRPr="003E0AB3">
              <w:rPr>
                <w:lang w:val="en-US"/>
              </w:rPr>
              <w:t xml:space="preserve">We recommend the following package of rules for measuring progress: </w:t>
            </w:r>
          </w:p>
          <w:p w14:paraId="48584A19" w14:textId="7C366EF1" w:rsidR="003E0AB3" w:rsidRPr="003E0AB3" w:rsidRDefault="003E0AB3" w:rsidP="00655722">
            <w:pPr>
              <w:pStyle w:val="ListParagraph"/>
              <w:numPr>
                <w:ilvl w:val="0"/>
                <w:numId w:val="76"/>
              </w:numPr>
              <w:spacing w:before="120"/>
              <w:contextualSpacing w:val="0"/>
              <w:rPr>
                <w:lang w:val="en-US"/>
              </w:rPr>
            </w:pPr>
            <w:r w:rsidRPr="003E0AB3">
              <w:rPr>
                <w:lang w:val="en-US"/>
              </w:rPr>
              <w:t xml:space="preserve">To use the production-based approach from </w:t>
            </w:r>
            <w:r w:rsidR="00B923AD">
              <w:rPr>
                <w:lang w:val="en-US"/>
              </w:rPr>
              <w:t>the</w:t>
            </w:r>
            <w:r w:rsidRPr="003E0AB3">
              <w:rPr>
                <w:lang w:val="en-US"/>
              </w:rPr>
              <w:t xml:space="preserve"> national G</w:t>
            </w:r>
            <w:r w:rsidR="007A0330">
              <w:rPr>
                <w:lang w:val="en-US"/>
              </w:rPr>
              <w:t xml:space="preserve">reenhouse </w:t>
            </w:r>
            <w:r w:rsidRPr="003E0AB3">
              <w:rPr>
                <w:lang w:val="en-US"/>
              </w:rPr>
              <w:t>G</w:t>
            </w:r>
            <w:r w:rsidR="007A0330">
              <w:rPr>
                <w:lang w:val="en-US"/>
              </w:rPr>
              <w:t>as</w:t>
            </w:r>
            <w:r w:rsidRPr="003E0AB3">
              <w:rPr>
                <w:lang w:val="en-US"/>
              </w:rPr>
              <w:t xml:space="preserve"> Inventory as the basis for accounting for emissions budgets and the 2050 target. </w:t>
            </w:r>
          </w:p>
          <w:p w14:paraId="7E1F7287" w14:textId="40C765DC" w:rsidR="003E0AB3" w:rsidRPr="003E0AB3" w:rsidRDefault="003E0AB3" w:rsidP="00655722">
            <w:pPr>
              <w:pStyle w:val="ListParagraph"/>
              <w:numPr>
                <w:ilvl w:val="0"/>
                <w:numId w:val="76"/>
              </w:numPr>
              <w:spacing w:before="120"/>
              <w:contextualSpacing w:val="0"/>
              <w:rPr>
                <w:lang w:val="en-US"/>
              </w:rPr>
            </w:pPr>
            <w:r w:rsidRPr="003E0AB3">
              <w:rPr>
                <w:lang w:val="en-US"/>
              </w:rPr>
              <w:t xml:space="preserve">To use a modified activity-based framework for land emissions accounting, with a 1990 base year and ‘averaging’ for post-1989 forests, substantially aligning emissions budget accounting with the approach used for accounting for </w:t>
            </w:r>
            <w:r w:rsidR="00B923AD">
              <w:rPr>
                <w:lang w:val="en-US"/>
              </w:rPr>
              <w:t>the</w:t>
            </w:r>
            <w:r w:rsidR="00B923AD" w:rsidRPr="003E0AB3">
              <w:rPr>
                <w:lang w:val="en-US"/>
              </w:rPr>
              <w:t xml:space="preserve"> </w:t>
            </w:r>
            <w:r w:rsidRPr="003E0AB3">
              <w:rPr>
                <w:lang w:val="en-US"/>
              </w:rPr>
              <w:t xml:space="preserve">first NDC. </w:t>
            </w:r>
          </w:p>
          <w:p w14:paraId="0E054F5C" w14:textId="51E6274E" w:rsidR="003E0AB3" w:rsidRPr="003E0AB3" w:rsidRDefault="003E0AB3" w:rsidP="00655722">
            <w:pPr>
              <w:pStyle w:val="ListParagraph"/>
              <w:numPr>
                <w:ilvl w:val="0"/>
                <w:numId w:val="76"/>
              </w:numPr>
              <w:spacing w:before="120"/>
              <w:contextualSpacing w:val="0"/>
              <w:rPr>
                <w:lang w:val="en-US"/>
              </w:rPr>
            </w:pPr>
            <w:r w:rsidRPr="003E0AB3">
              <w:rPr>
                <w:lang w:val="en-US"/>
              </w:rPr>
              <w:t xml:space="preserve">Within the modified activity-based land emissions accounting framework, to: </w:t>
            </w:r>
          </w:p>
          <w:p w14:paraId="1386088B" w14:textId="1F46CD3C" w:rsidR="003E0AB3" w:rsidRPr="003E0AB3" w:rsidRDefault="003E0AB3" w:rsidP="00655722">
            <w:pPr>
              <w:pStyle w:val="ListParagraph"/>
              <w:numPr>
                <w:ilvl w:val="1"/>
                <w:numId w:val="41"/>
              </w:numPr>
              <w:spacing w:before="120"/>
              <w:ind w:hanging="357"/>
              <w:contextualSpacing w:val="0"/>
              <w:rPr>
                <w:lang w:val="en-US"/>
              </w:rPr>
            </w:pPr>
            <w:r w:rsidRPr="003E0AB3">
              <w:rPr>
                <w:lang w:val="en-US"/>
              </w:rPr>
              <w:t xml:space="preserve">Include the land areas and uses corresponding to afforestation, reforestation, and deforestation, as confirmed for </w:t>
            </w:r>
            <w:r w:rsidR="00B923AD">
              <w:rPr>
                <w:lang w:val="en-US"/>
              </w:rPr>
              <w:t xml:space="preserve">the </w:t>
            </w:r>
            <w:r w:rsidRPr="003E0AB3">
              <w:rPr>
                <w:lang w:val="en-US"/>
              </w:rPr>
              <w:t>first NDC</w:t>
            </w:r>
            <w:r w:rsidR="00EF4D13">
              <w:rPr>
                <w:lang w:val="en-US"/>
              </w:rPr>
              <w:t>.</w:t>
            </w:r>
            <w:r w:rsidRPr="003E0AB3">
              <w:rPr>
                <w:lang w:val="en-US"/>
              </w:rPr>
              <w:t xml:space="preserve"> </w:t>
            </w:r>
          </w:p>
          <w:p w14:paraId="53D3F9EA" w14:textId="75F723DC" w:rsidR="003E0AB3" w:rsidRPr="003E0AB3" w:rsidRDefault="003E0AB3" w:rsidP="00655722">
            <w:pPr>
              <w:pStyle w:val="ListParagraph"/>
              <w:numPr>
                <w:ilvl w:val="1"/>
                <w:numId w:val="41"/>
              </w:numPr>
              <w:spacing w:before="120"/>
              <w:ind w:hanging="357"/>
              <w:contextualSpacing w:val="0"/>
              <w:rPr>
                <w:lang w:val="en-US"/>
              </w:rPr>
            </w:pPr>
            <w:r w:rsidRPr="003E0AB3">
              <w:rPr>
                <w:lang w:val="en-US"/>
              </w:rPr>
              <w:t xml:space="preserve">Exclude forest management, the activity relating to the impact of management practices on pre-1990 forest carbon stocks, despite its inclusion in NDC accounting because the forest management reference level has not yet been set for the period through to 2030 and we have been unable to assess how it manages accuracy and uncertainty risks. Improved management of pre-1990 forests nevertheless remains important and should be encouraged through policy. </w:t>
            </w:r>
          </w:p>
          <w:p w14:paraId="31F3C68F" w14:textId="1C4972B7" w:rsidR="003E0AB3" w:rsidRPr="003E0AB3" w:rsidRDefault="003E0AB3" w:rsidP="00655722">
            <w:pPr>
              <w:pStyle w:val="ListParagraph"/>
              <w:numPr>
                <w:ilvl w:val="1"/>
                <w:numId w:val="41"/>
              </w:numPr>
              <w:spacing w:before="120"/>
              <w:ind w:hanging="357"/>
              <w:contextualSpacing w:val="0"/>
              <w:rPr>
                <w:lang w:val="en-US"/>
              </w:rPr>
            </w:pPr>
            <w:r w:rsidRPr="003E0AB3">
              <w:rPr>
                <w:lang w:val="en-US"/>
              </w:rPr>
              <w:t xml:space="preserve">Include harvested wood products (HWPs) from post-1989 forests, but not HWPs from pre-1990 forests because they are accounted for as part of forest management which is excluded from emissions budget accounting. </w:t>
            </w:r>
          </w:p>
          <w:p w14:paraId="01FA3B57" w14:textId="749B1EB2" w:rsidR="003E0AB3" w:rsidRPr="003E0AB3" w:rsidRDefault="003E0AB3" w:rsidP="00655722">
            <w:pPr>
              <w:pStyle w:val="ListParagraph"/>
              <w:numPr>
                <w:ilvl w:val="1"/>
                <w:numId w:val="41"/>
              </w:numPr>
              <w:spacing w:before="120"/>
              <w:ind w:hanging="357"/>
              <w:contextualSpacing w:val="0"/>
              <w:rPr>
                <w:lang w:val="en-US"/>
              </w:rPr>
            </w:pPr>
            <w:r w:rsidRPr="003E0AB3">
              <w:rPr>
                <w:lang w:val="en-US"/>
              </w:rPr>
              <w:t xml:space="preserve">Include a natural disturbances provision, aligned with </w:t>
            </w:r>
            <w:r w:rsidR="00B923AD">
              <w:rPr>
                <w:lang w:val="en-US"/>
              </w:rPr>
              <w:t>the</w:t>
            </w:r>
            <w:r w:rsidR="00B923AD" w:rsidRPr="003E0AB3">
              <w:rPr>
                <w:lang w:val="en-US"/>
              </w:rPr>
              <w:t xml:space="preserve"> </w:t>
            </w:r>
            <w:r w:rsidRPr="003E0AB3">
              <w:rPr>
                <w:lang w:val="en-US"/>
              </w:rPr>
              <w:t xml:space="preserve">first NDC and the 2013 IPCC Kyoto Protocol Supplement. The Commission will judge whether to invoke the provision in its reports that monitor progress </w:t>
            </w:r>
            <w:r w:rsidR="00DE055A">
              <w:rPr>
                <w:lang w:val="en-US"/>
              </w:rPr>
              <w:t xml:space="preserve">each year </w:t>
            </w:r>
            <w:r w:rsidRPr="003E0AB3">
              <w:rPr>
                <w:lang w:val="en-US"/>
              </w:rPr>
              <w:t xml:space="preserve">and at the end of an emissions budget period. </w:t>
            </w:r>
          </w:p>
          <w:p w14:paraId="0ACA10E2" w14:textId="7DF57A83" w:rsidR="00084F71" w:rsidRPr="003E0AB3" w:rsidRDefault="003E0AB3" w:rsidP="00655722">
            <w:pPr>
              <w:pStyle w:val="ListParagraph"/>
              <w:numPr>
                <w:ilvl w:val="1"/>
                <w:numId w:val="41"/>
              </w:numPr>
              <w:spacing w:before="120"/>
              <w:ind w:hanging="357"/>
              <w:contextualSpacing w:val="0"/>
              <w:rPr>
                <w:lang w:val="en-US"/>
              </w:rPr>
            </w:pPr>
            <w:r w:rsidRPr="003E0AB3">
              <w:rPr>
                <w:lang w:val="en-US"/>
              </w:rPr>
              <w:t xml:space="preserve">Encourage the </w:t>
            </w:r>
            <w:r w:rsidR="00EC0ED5">
              <w:rPr>
                <w:lang w:val="en-US"/>
              </w:rPr>
              <w:t>G</w:t>
            </w:r>
            <w:r w:rsidRPr="003E0AB3">
              <w:rPr>
                <w:lang w:val="en-US"/>
              </w:rPr>
              <w:t xml:space="preserve">overnment to develop methods for tracking emissions and removals by sources and sinks not yet included in </w:t>
            </w:r>
            <w:r w:rsidR="00B923AD">
              <w:rPr>
                <w:lang w:val="en-US"/>
              </w:rPr>
              <w:t>the country’s</w:t>
            </w:r>
            <w:r w:rsidR="00B923AD" w:rsidRPr="003E0AB3">
              <w:rPr>
                <w:lang w:val="en-US"/>
              </w:rPr>
              <w:t xml:space="preserve"> </w:t>
            </w:r>
            <w:r w:rsidRPr="003E0AB3">
              <w:rPr>
                <w:lang w:val="en-US"/>
              </w:rPr>
              <w:t>domestic or international target accounting, such as organic soils and biomass (including small lots of trees and regenerating vegetation), with a view to allowing them to be included in future</w:t>
            </w:r>
            <w:r w:rsidR="00E2347C">
              <w:rPr>
                <w:lang w:val="en-US"/>
              </w:rPr>
              <w:t xml:space="preserve"> target accounting</w:t>
            </w:r>
            <w:r w:rsidRPr="003E0AB3">
              <w:rPr>
                <w:lang w:val="en-US"/>
              </w:rPr>
              <w:t>.</w:t>
            </w:r>
          </w:p>
          <w:p w14:paraId="288EF163" w14:textId="47D4C011" w:rsidR="00A57D35" w:rsidRPr="003E0AB3" w:rsidRDefault="002E3F43" w:rsidP="00655722">
            <w:pPr>
              <w:pStyle w:val="ListParagraph"/>
              <w:numPr>
                <w:ilvl w:val="0"/>
                <w:numId w:val="76"/>
              </w:numPr>
              <w:spacing w:before="120"/>
              <w:contextualSpacing w:val="0"/>
              <w:rPr>
                <w:lang w:val="en-US"/>
              </w:rPr>
            </w:pPr>
            <w:r>
              <w:rPr>
                <w:lang w:val="en-US"/>
              </w:rPr>
              <w:t>F</w:t>
            </w:r>
            <w:r w:rsidR="003E0AB3" w:rsidRPr="00084F71">
              <w:rPr>
                <w:lang w:val="en-US"/>
              </w:rPr>
              <w:t>rom</w:t>
            </w:r>
            <w:r w:rsidR="003E0AB3" w:rsidRPr="003E0AB3">
              <w:rPr>
                <w:lang w:val="en-US"/>
              </w:rPr>
              <w:t xml:space="preserve"> 2021, if the Government allows voluntary offsetting for carbon neutral claims to take place in Aotearoa through cancelling NZUs, adjustments corresponding to the amount of NZUs cancelled must be made to the relevant emissions budget, or to the inventory, to avoid the emissions reductions claimed from being negated by increases to the </w:t>
            </w:r>
            <w:r w:rsidR="00B7352D">
              <w:rPr>
                <w:lang w:val="en-US"/>
              </w:rPr>
              <w:t xml:space="preserve">NZ </w:t>
            </w:r>
            <w:r w:rsidR="003E0AB3" w:rsidRPr="003E0AB3">
              <w:rPr>
                <w:lang w:val="en-US"/>
              </w:rPr>
              <w:t>ETS cap.</w:t>
            </w:r>
          </w:p>
        </w:tc>
      </w:tr>
    </w:tbl>
    <w:p w14:paraId="08EE2BDF" w14:textId="77777777" w:rsidR="001B273E" w:rsidRPr="007B4DBD" w:rsidRDefault="001B273E" w:rsidP="001B273E">
      <w:pPr>
        <w:rPr>
          <w:sz w:val="4"/>
          <w:szCs w:val="4"/>
        </w:rPr>
      </w:pPr>
    </w:p>
    <w:tbl>
      <w:tblPr>
        <w:tblStyle w:val="GridTable4-Accent2"/>
        <w:tblW w:w="0" w:type="auto"/>
        <w:shd w:val="clear" w:color="auto" w:fill="C6B1D1"/>
        <w:tblCellMar>
          <w:top w:w="57" w:type="dxa"/>
          <w:bottom w:w="57" w:type="dxa"/>
        </w:tblCellMar>
        <w:tblLook w:val="04A0" w:firstRow="1" w:lastRow="0" w:firstColumn="1" w:lastColumn="0" w:noHBand="0" w:noVBand="1"/>
      </w:tblPr>
      <w:tblGrid>
        <w:gridCol w:w="9016"/>
      </w:tblGrid>
      <w:tr w:rsidR="00D203FC" w:rsidRPr="00EA4071" w14:paraId="1765F32C" w14:textId="77777777" w:rsidTr="00D20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9E76B3"/>
          </w:tcPr>
          <w:p w14:paraId="3415B10D" w14:textId="77777777" w:rsidR="00D203FC" w:rsidRPr="00BA7CD8" w:rsidRDefault="00D203FC" w:rsidP="00D203FC">
            <w:pPr>
              <w:pStyle w:val="Content"/>
              <w:spacing w:before="0" w:after="0"/>
              <w:jc w:val="center"/>
              <w:rPr>
                <w:bCs w:val="0"/>
                <w:color w:val="000000" w:themeColor="text1"/>
                <w:sz w:val="24"/>
                <w:szCs w:val="24"/>
                <w:lang w:val="en-US"/>
              </w:rPr>
            </w:pPr>
            <w:r>
              <w:rPr>
                <w:bCs w:val="0"/>
                <w:sz w:val="28"/>
                <w:szCs w:val="28"/>
              </w:rPr>
              <w:t>Consultation question 20</w:t>
            </w:r>
          </w:p>
          <w:p w14:paraId="3F360B8D" w14:textId="77777777" w:rsidR="00D203FC" w:rsidRPr="00EA4071" w:rsidRDefault="00D203FC" w:rsidP="00D203FC">
            <w:pPr>
              <w:pStyle w:val="Content"/>
              <w:spacing w:before="0" w:after="0"/>
              <w:jc w:val="center"/>
              <w:rPr>
                <w:b w:val="0"/>
                <w:sz w:val="28"/>
                <w:szCs w:val="28"/>
              </w:rPr>
            </w:pPr>
            <w:r>
              <w:rPr>
                <w:b w:val="0"/>
                <w:sz w:val="28"/>
                <w:szCs w:val="28"/>
                <w:lang w:val="en-US"/>
              </w:rPr>
              <w:t>Rules for measuring progress</w:t>
            </w:r>
          </w:p>
        </w:tc>
      </w:tr>
      <w:tr w:rsidR="00D203FC" w:rsidRPr="00EA4071" w14:paraId="3F25A57F" w14:textId="77777777" w:rsidTr="00D20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E76B3"/>
              <w:left w:val="single" w:sz="4" w:space="0" w:color="9E76B3"/>
              <w:bottom w:val="single" w:sz="4" w:space="0" w:color="9E76B3"/>
              <w:right w:val="single" w:sz="4" w:space="0" w:color="9E76B3"/>
            </w:tcBorders>
            <w:shd w:val="clear" w:color="auto" w:fill="C6B1D1"/>
          </w:tcPr>
          <w:p w14:paraId="3D2E9562" w14:textId="3FDF8BB6" w:rsidR="00D203FC" w:rsidRPr="00E5673C" w:rsidRDefault="00D203FC" w:rsidP="00D203FC">
            <w:r w:rsidRPr="00856D2D">
              <w:t>Do you agree with Budget recommendation 5</w:t>
            </w:r>
            <w:r>
              <w:t>?</w:t>
            </w:r>
            <w:r w:rsidR="003B1D0E">
              <w:t xml:space="preserve"> Is there anything </w:t>
            </w:r>
            <w:r w:rsidR="00F90C30">
              <w:t xml:space="preserve">we should change, any why? </w:t>
            </w:r>
          </w:p>
        </w:tc>
      </w:tr>
    </w:tbl>
    <w:p w14:paraId="56196C71" w14:textId="3543E67D" w:rsidR="00EA5B73" w:rsidRDefault="00EA5B73">
      <w:pPr>
        <w:sectPr w:rsidR="00EA5B73" w:rsidSect="007D68B1">
          <w:footerReference w:type="default" r:id="rId60"/>
          <w:pgSz w:w="11906" w:h="16838" w:code="9"/>
          <w:pgMar w:top="1361" w:right="1361" w:bottom="1361" w:left="1361" w:header="709" w:footer="709" w:gutter="0"/>
          <w:cols w:space="708"/>
          <w:docGrid w:linePitch="360"/>
        </w:sectPr>
      </w:pPr>
    </w:p>
    <w:p w14:paraId="3A698911" w14:textId="56F289AA" w:rsidR="00394CF0" w:rsidRDefault="00F03A47" w:rsidP="00394CF0">
      <w:pPr>
        <w:rPr>
          <w:rFonts w:asciiTheme="majorHAnsi" w:hAnsiTheme="majorHAnsi"/>
          <w:sz w:val="56"/>
          <w:szCs w:val="56"/>
        </w:rPr>
      </w:pPr>
      <w:r w:rsidRPr="009B3744">
        <w:rPr>
          <w:rFonts w:asciiTheme="majorHAnsi" w:eastAsiaTheme="majorEastAsia" w:hAnsiTheme="majorHAnsi" w:cstheme="majorBidi"/>
          <w:spacing w:val="-10"/>
          <w:kern w:val="28"/>
          <w:sz w:val="56"/>
          <w:szCs w:val="56"/>
        </w:rPr>
        <w:lastRenderedPageBreak/>
        <w:t>Part B:</w:t>
      </w:r>
      <w:r w:rsidRPr="00372C27">
        <w:rPr>
          <w:rFonts w:asciiTheme="majorHAnsi" w:hAnsiTheme="majorHAnsi"/>
          <w:sz w:val="56"/>
          <w:szCs w:val="56"/>
        </w:rPr>
        <w:t xml:space="preserve"> </w:t>
      </w:r>
      <w:r w:rsidR="0065250E">
        <w:rPr>
          <w:rFonts w:asciiTheme="majorHAnsi" w:hAnsiTheme="majorHAnsi"/>
          <w:sz w:val="56"/>
          <w:szCs w:val="56"/>
        </w:rPr>
        <w:t>The</w:t>
      </w:r>
      <w:r w:rsidR="009C1E8B">
        <w:rPr>
          <w:rFonts w:asciiTheme="majorHAnsi" w:hAnsiTheme="majorHAnsi"/>
          <w:sz w:val="56"/>
          <w:szCs w:val="56"/>
        </w:rPr>
        <w:t xml:space="preserve"> Nationally Determined Contribution </w:t>
      </w:r>
      <w:r w:rsidR="00C42CBF">
        <w:rPr>
          <w:rFonts w:asciiTheme="majorHAnsi" w:hAnsiTheme="majorHAnsi"/>
          <w:sz w:val="56"/>
          <w:szCs w:val="56"/>
        </w:rPr>
        <w:t xml:space="preserve">for </w:t>
      </w:r>
      <w:r w:rsidR="009C1E8B">
        <w:rPr>
          <w:rFonts w:asciiTheme="majorHAnsi" w:hAnsiTheme="majorHAnsi"/>
          <w:sz w:val="56"/>
          <w:szCs w:val="56"/>
        </w:rPr>
        <w:t>Aotearoa</w:t>
      </w:r>
      <w:bookmarkStart w:id="295" w:name="_Toc62052775"/>
      <w:bookmarkStart w:id="296" w:name="_Toc62052776"/>
      <w:r w:rsidR="0065250E">
        <w:rPr>
          <w:rFonts w:asciiTheme="majorHAnsi" w:hAnsiTheme="majorHAnsi"/>
          <w:sz w:val="56"/>
          <w:szCs w:val="56"/>
        </w:rPr>
        <w:t>, and</w:t>
      </w:r>
      <w:r w:rsidR="007300E4">
        <w:rPr>
          <w:rFonts w:asciiTheme="majorHAnsi" w:hAnsiTheme="majorHAnsi"/>
          <w:sz w:val="56"/>
          <w:szCs w:val="56"/>
        </w:rPr>
        <w:t xml:space="preserve"> potential further</w:t>
      </w:r>
      <w:r w:rsidR="0039563D">
        <w:rPr>
          <w:rFonts w:asciiTheme="majorHAnsi" w:hAnsiTheme="majorHAnsi"/>
          <w:sz w:val="56"/>
          <w:szCs w:val="56"/>
        </w:rPr>
        <w:t xml:space="preserve"> </w:t>
      </w:r>
      <w:r w:rsidR="005C6071">
        <w:rPr>
          <w:rFonts w:asciiTheme="majorHAnsi" w:hAnsiTheme="majorHAnsi"/>
          <w:sz w:val="56"/>
          <w:szCs w:val="56"/>
        </w:rPr>
        <w:t>biogenic methane</w:t>
      </w:r>
      <w:r w:rsidR="007F3315">
        <w:rPr>
          <w:rFonts w:asciiTheme="majorHAnsi" w:hAnsiTheme="majorHAnsi"/>
          <w:sz w:val="56"/>
          <w:szCs w:val="56"/>
        </w:rPr>
        <w:t xml:space="preserve"> reduct</w:t>
      </w:r>
      <w:r w:rsidR="008B76AD">
        <w:rPr>
          <w:rFonts w:asciiTheme="majorHAnsi" w:hAnsiTheme="majorHAnsi"/>
          <w:sz w:val="56"/>
          <w:szCs w:val="56"/>
        </w:rPr>
        <w:t>ions</w:t>
      </w:r>
    </w:p>
    <w:p w14:paraId="365211CB" w14:textId="74917003" w:rsidR="009C1E8B" w:rsidRPr="00A45950" w:rsidRDefault="0037372E" w:rsidP="00394CF0">
      <w:pPr>
        <w:pStyle w:val="Heading1"/>
      </w:pPr>
      <w:bookmarkStart w:id="297" w:name="_Toc62650334"/>
      <w:r>
        <w:t>C</w:t>
      </w:r>
      <w:r w:rsidR="009C1E8B" w:rsidRPr="00A45950">
        <w:t>hapter 8: The global 1.5°C goal and Nationally Determined Contribution</w:t>
      </w:r>
      <w:bookmarkEnd w:id="295"/>
      <w:r w:rsidR="003D5A6D">
        <w:t xml:space="preserve"> for Aotearoa</w:t>
      </w:r>
      <w:bookmarkEnd w:id="297"/>
    </w:p>
    <w:p w14:paraId="045B4C3D" w14:textId="77777777" w:rsidR="00F03A47" w:rsidRDefault="00F03A47" w:rsidP="00F03A47">
      <w:pPr>
        <w:pStyle w:val="Heading2"/>
      </w:pPr>
      <w:bookmarkStart w:id="298" w:name="_Toc62650335"/>
      <w:r>
        <w:t>8.1 Introduction</w:t>
      </w:r>
      <w:bookmarkEnd w:id="296"/>
      <w:bookmarkEnd w:id="298"/>
      <w:r>
        <w:t xml:space="preserve"> </w:t>
      </w:r>
    </w:p>
    <w:p w14:paraId="3D8881BE" w14:textId="77777777" w:rsidR="00F03A47" w:rsidRDefault="00F03A47" w:rsidP="00F03A47">
      <w:r>
        <w:t xml:space="preserve">Under the Paris Agreement, </w:t>
      </w:r>
      <w:r w:rsidRPr="00911F87">
        <w:t>Nationally Determined Contribution</w:t>
      </w:r>
      <w:r>
        <w:t>s</w:t>
      </w:r>
      <w:r w:rsidRPr="00911F87">
        <w:t xml:space="preserve"> (NDC</w:t>
      </w:r>
      <w:r>
        <w:t>s</w:t>
      </w:r>
      <w:r w:rsidRPr="00911F87">
        <w:t xml:space="preserve">) </w:t>
      </w:r>
      <w:r>
        <w:t>are countries’ contributions to the global effort to reduce emissions to limit the impacts of climate change. In its first NDC, Aotearoa</w:t>
      </w:r>
      <w:r w:rsidRPr="00911F87">
        <w:t xml:space="preserve"> </w:t>
      </w:r>
      <w:r>
        <w:t>committed</w:t>
      </w:r>
      <w:r w:rsidRPr="00911F87">
        <w:t xml:space="preserve"> to </w:t>
      </w:r>
      <w:r w:rsidRPr="00DB4A70">
        <w:t>reduce</w:t>
      </w:r>
      <w:r>
        <w:t xml:space="preserve"> net </w:t>
      </w:r>
      <w:r w:rsidRPr="00DB4A70">
        <w:t>greenhouse</w:t>
      </w:r>
      <w:r>
        <w:t xml:space="preserve"> </w:t>
      </w:r>
      <w:r w:rsidRPr="00DB4A70">
        <w:t>gas</w:t>
      </w:r>
      <w:r>
        <w:t xml:space="preserve"> </w:t>
      </w:r>
      <w:r w:rsidRPr="00DB4A70">
        <w:t>emissions</w:t>
      </w:r>
      <w:r>
        <w:t xml:space="preserve"> </w:t>
      </w:r>
      <w:r w:rsidRPr="00DB4A70">
        <w:t>to</w:t>
      </w:r>
      <w:r>
        <w:t xml:space="preserve"> </w:t>
      </w:r>
      <w:r w:rsidRPr="00DB4A70">
        <w:t>30%</w:t>
      </w:r>
      <w:r>
        <w:t xml:space="preserve"> </w:t>
      </w:r>
      <w:r w:rsidRPr="00DB4A70">
        <w:t>below</w:t>
      </w:r>
      <w:r>
        <w:t xml:space="preserve"> </w:t>
      </w:r>
      <w:r w:rsidRPr="00DB4A70">
        <w:t>2005</w:t>
      </w:r>
      <w:r>
        <w:t xml:space="preserve"> </w:t>
      </w:r>
      <w:r w:rsidRPr="00DB4A70">
        <w:t>levels</w:t>
      </w:r>
      <w:r>
        <w:t xml:space="preserve"> </w:t>
      </w:r>
      <w:r w:rsidRPr="00DB4A70">
        <w:t>by</w:t>
      </w:r>
      <w:r>
        <w:t xml:space="preserve"> </w:t>
      </w:r>
      <w:r w:rsidRPr="00DB4A70">
        <w:t>2030.</w:t>
      </w:r>
      <w:r>
        <w:t xml:space="preserve"> This means </w:t>
      </w:r>
      <w:r w:rsidRPr="00DB4A70">
        <w:t>Aotearoa</w:t>
      </w:r>
      <w:r>
        <w:t xml:space="preserve"> </w:t>
      </w:r>
      <w:r w:rsidRPr="00DB4A70">
        <w:t>can</w:t>
      </w:r>
      <w:r>
        <w:t xml:space="preserve"> </w:t>
      </w:r>
      <w:r w:rsidRPr="00DB4A70">
        <w:t>emit</w:t>
      </w:r>
      <w:r>
        <w:t xml:space="preserve"> </w:t>
      </w:r>
      <w:r w:rsidRPr="00DB4A70">
        <w:t>no</w:t>
      </w:r>
      <w:r>
        <w:t xml:space="preserve"> </w:t>
      </w:r>
      <w:r w:rsidRPr="00DB4A70">
        <w:t>more</w:t>
      </w:r>
      <w:r>
        <w:t xml:space="preserve"> </w:t>
      </w:r>
      <w:r w:rsidRPr="005D0CAB">
        <w:t>than 585</w:t>
      </w:r>
      <w:r w:rsidRPr="00684D2C">
        <w:t xml:space="preserve"> M</w:t>
      </w:r>
      <w:r w:rsidRPr="00DB4A70">
        <w:t>t</w:t>
      </w:r>
      <w:r>
        <w:t xml:space="preserve"> </w:t>
      </w:r>
      <w:r w:rsidRPr="00DB4A70">
        <w:t>CO</w:t>
      </w:r>
      <w:r w:rsidRPr="00DB4A70">
        <w:rPr>
          <w:vertAlign w:val="subscript"/>
        </w:rPr>
        <w:t>2</w:t>
      </w:r>
      <w:r w:rsidRPr="00DB4A70">
        <w:t>e</w:t>
      </w:r>
      <w:r>
        <w:t xml:space="preserve"> </w:t>
      </w:r>
      <w:r w:rsidRPr="00DB4A70">
        <w:t>from</w:t>
      </w:r>
      <w:r>
        <w:t xml:space="preserve"> </w:t>
      </w:r>
      <w:r w:rsidRPr="00DB4A70">
        <w:t>2021-2030.</w:t>
      </w:r>
      <w:r>
        <w:t xml:space="preserve"> </w:t>
      </w:r>
    </w:p>
    <w:p w14:paraId="38E6258B" w14:textId="77777777" w:rsidR="00F03A47" w:rsidRDefault="00F03A47" w:rsidP="00F03A47">
      <w:pPr>
        <w:rPr>
          <w:rFonts w:ascii="Calibri" w:hAnsi="Calibri" w:cs="Calibri"/>
        </w:rPr>
      </w:pPr>
      <w:r>
        <w:t xml:space="preserve">Under section 5K of the </w:t>
      </w:r>
      <w:r>
        <w:rPr>
          <w:rStyle w:val="normaltextrun"/>
          <w:rFonts w:ascii="Calibri" w:hAnsi="Calibri" w:cs="Calibri"/>
          <w:color w:val="000000"/>
          <w:shd w:val="clear" w:color="auto" w:fill="FFFFFF"/>
        </w:rPr>
        <w:t xml:space="preserve">Climate Change Response </w:t>
      </w:r>
      <w:r>
        <w:t xml:space="preserve">Act 2002 (the Act), the Minister of Climate Change asked the Commission to provide </w:t>
      </w:r>
      <w:r w:rsidRPr="003C786C">
        <w:rPr>
          <w:rStyle w:val="normaltextrun"/>
          <w:rFonts w:ascii="Calibri" w:hAnsi="Calibri" w:cs="Calibri"/>
        </w:rPr>
        <w:t>a</w:t>
      </w:r>
      <w:r w:rsidRPr="00612DE4">
        <w:rPr>
          <w:rStyle w:val="normaltextrun"/>
          <w:rFonts w:ascii="Calibri" w:hAnsi="Calibri" w:cs="Calibri"/>
        </w:rPr>
        <w:t xml:space="preserve"> report on </w:t>
      </w:r>
      <w:r>
        <w:rPr>
          <w:rStyle w:val="normaltextrun"/>
          <w:rFonts w:ascii="Calibri" w:hAnsi="Calibri" w:cs="Calibri"/>
        </w:rPr>
        <w:t>the country’s</w:t>
      </w:r>
      <w:r w:rsidRPr="00612DE4">
        <w:rPr>
          <w:rStyle w:val="normaltextrun"/>
          <w:rFonts w:ascii="Calibri" w:hAnsi="Calibri" w:cs="Calibri"/>
        </w:rPr>
        <w:t xml:space="preserve"> first </w:t>
      </w:r>
      <w:r>
        <w:rPr>
          <w:rStyle w:val="normaltextrun"/>
          <w:rFonts w:ascii="Calibri" w:hAnsi="Calibri" w:cs="Calibri"/>
        </w:rPr>
        <w:t>NDC</w:t>
      </w:r>
      <w:r w:rsidRPr="00F51DF5">
        <w:rPr>
          <w:rStyle w:val="normaltextrun"/>
          <w:rFonts w:ascii="Calibri" w:hAnsi="Calibri" w:cs="Calibri"/>
        </w:rPr>
        <w:t xml:space="preserve"> </w:t>
      </w:r>
      <w:r w:rsidRPr="003F6B2C">
        <w:rPr>
          <w:rStyle w:val="normaltextrun"/>
          <w:rFonts w:ascii="Calibri" w:hAnsi="Calibri" w:cs="Calibri"/>
        </w:rPr>
        <w:t>under the Paris Agreement,</w:t>
      </w:r>
      <w:r w:rsidRPr="00612DE4">
        <w:rPr>
          <w:rStyle w:val="normaltextrun"/>
          <w:rFonts w:ascii="Calibri" w:hAnsi="Calibri" w:cs="Calibri"/>
        </w:rPr>
        <w:t xml:space="preserve"> </w:t>
      </w:r>
      <w:r>
        <w:rPr>
          <w:rStyle w:val="normaltextrun"/>
          <w:rFonts w:ascii="Calibri" w:hAnsi="Calibri" w:cs="Calibri"/>
        </w:rPr>
        <w:t>that includes</w:t>
      </w:r>
      <w:r w:rsidRPr="00612DE4">
        <w:rPr>
          <w:rStyle w:val="normaltextrun"/>
          <w:rFonts w:ascii="Calibri" w:hAnsi="Calibri" w:cs="Calibri"/>
        </w:rPr>
        <w:t>:</w:t>
      </w:r>
    </w:p>
    <w:p w14:paraId="703B0CC0" w14:textId="77777777" w:rsidR="00F03A47" w:rsidRPr="00F51DF5" w:rsidRDefault="00F03A47" w:rsidP="009B509E">
      <w:pPr>
        <w:pStyle w:val="ListParagraph"/>
        <w:numPr>
          <w:ilvl w:val="0"/>
          <w:numId w:val="78"/>
        </w:numPr>
        <w:spacing w:before="0" w:after="160"/>
        <w:rPr>
          <w:rFonts w:ascii="Calibri" w:hAnsi="Calibri" w:cs="Calibri"/>
        </w:rPr>
      </w:pPr>
      <w:r w:rsidRPr="00F51DF5">
        <w:rPr>
          <w:rStyle w:val="normaltextrun"/>
          <w:rFonts w:ascii="Calibri" w:hAnsi="Calibri" w:cs="Calibri"/>
        </w:rPr>
        <w:t>advice</w:t>
      </w:r>
      <w:r w:rsidRPr="00612DE4">
        <w:rPr>
          <w:rStyle w:val="normaltextrun"/>
          <w:rFonts w:ascii="Calibri" w:hAnsi="Calibri" w:cs="Calibri"/>
        </w:rPr>
        <w:t xml:space="preserve"> on whether the NDC is compatible with contributing to the global effort under the Paris Agreement to limit the global average temperature increase to 1.</w:t>
      </w:r>
      <w:r w:rsidRPr="00F51DF5">
        <w:rPr>
          <w:rStyle w:val="normaltextrun"/>
          <w:rFonts w:ascii="Calibri" w:hAnsi="Calibri" w:cs="Calibri"/>
        </w:rPr>
        <w:t>5°</w:t>
      </w:r>
      <w:r w:rsidRPr="00934BC2">
        <w:rPr>
          <w:rStyle w:val="normaltextrun"/>
          <w:rFonts w:ascii="Calibri" w:hAnsi="Calibri" w:cs="Calibri"/>
        </w:rPr>
        <w:t>C</w:t>
      </w:r>
      <w:r w:rsidRPr="00612DE4">
        <w:rPr>
          <w:rStyle w:val="normaltextrun"/>
          <w:rFonts w:ascii="Calibri" w:hAnsi="Calibri" w:cs="Calibri"/>
        </w:rPr>
        <w:t xml:space="preserve"> above pre-industrial levels</w:t>
      </w:r>
    </w:p>
    <w:p w14:paraId="246517FD" w14:textId="77777777" w:rsidR="00F03A47" w:rsidRPr="00CF3729" w:rsidRDefault="00F03A47" w:rsidP="009B509E">
      <w:pPr>
        <w:pStyle w:val="ListParagraph"/>
        <w:numPr>
          <w:ilvl w:val="0"/>
          <w:numId w:val="78"/>
        </w:numPr>
        <w:spacing w:before="0" w:after="160"/>
        <w:rPr>
          <w:rStyle w:val="normaltextrun"/>
        </w:rPr>
      </w:pPr>
      <w:r w:rsidRPr="003C786C">
        <w:rPr>
          <w:rStyle w:val="normaltextrun"/>
          <w:rFonts w:ascii="Calibri" w:hAnsi="Calibri" w:cs="Calibri"/>
        </w:rPr>
        <w:t>recommendations</w:t>
      </w:r>
      <w:r>
        <w:rPr>
          <w:rStyle w:val="normaltextrun"/>
          <w:rFonts w:ascii="Calibri" w:hAnsi="Calibri" w:cs="Calibri"/>
        </w:rPr>
        <w:t xml:space="preserve"> </w:t>
      </w:r>
      <w:r w:rsidRPr="003C786C">
        <w:rPr>
          <w:rStyle w:val="normaltextrun"/>
          <w:rFonts w:ascii="Calibri" w:hAnsi="Calibri" w:cs="Calibri"/>
        </w:rPr>
        <w:t>on</w:t>
      </w:r>
      <w:r>
        <w:rPr>
          <w:rStyle w:val="normaltextrun"/>
          <w:rFonts w:ascii="Calibri" w:hAnsi="Calibri" w:cs="Calibri"/>
        </w:rPr>
        <w:t xml:space="preserve"> </w:t>
      </w:r>
      <w:r w:rsidRPr="003C786C">
        <w:rPr>
          <w:rStyle w:val="normaltextrun"/>
          <w:rFonts w:ascii="Calibri" w:hAnsi="Calibri" w:cs="Calibri"/>
        </w:rPr>
        <w:t>any</w:t>
      </w:r>
      <w:r>
        <w:rPr>
          <w:rStyle w:val="normaltextrun"/>
          <w:rFonts w:ascii="Calibri" w:hAnsi="Calibri" w:cs="Calibri"/>
        </w:rPr>
        <w:t xml:space="preserve"> </w:t>
      </w:r>
      <w:r w:rsidRPr="003C786C">
        <w:rPr>
          <w:rStyle w:val="normaltextrun"/>
          <w:rFonts w:ascii="Calibri" w:hAnsi="Calibri" w:cs="Calibri"/>
        </w:rPr>
        <w:t>changes</w:t>
      </w:r>
      <w:r>
        <w:rPr>
          <w:rStyle w:val="normaltextrun"/>
          <w:rFonts w:ascii="Calibri" w:hAnsi="Calibri" w:cs="Calibri"/>
        </w:rPr>
        <w:t xml:space="preserve"> </w:t>
      </w:r>
      <w:r w:rsidRPr="003C786C">
        <w:rPr>
          <w:rStyle w:val="normaltextrun"/>
          <w:rFonts w:ascii="Calibri" w:hAnsi="Calibri" w:cs="Calibri"/>
        </w:rPr>
        <w:t>to</w:t>
      </w:r>
      <w:r>
        <w:rPr>
          <w:rStyle w:val="normaltextrun"/>
          <w:rFonts w:ascii="Calibri" w:hAnsi="Calibri" w:cs="Calibri"/>
        </w:rPr>
        <w:t xml:space="preserve"> </w:t>
      </w:r>
      <w:r w:rsidRPr="003C786C">
        <w:rPr>
          <w:rStyle w:val="normaltextrun"/>
          <w:rFonts w:ascii="Calibri" w:hAnsi="Calibri" w:cs="Calibri"/>
        </w:rPr>
        <w:t>the</w:t>
      </w:r>
      <w:r>
        <w:rPr>
          <w:rStyle w:val="normaltextrun"/>
          <w:rFonts w:ascii="Calibri" w:hAnsi="Calibri" w:cs="Calibri"/>
        </w:rPr>
        <w:t xml:space="preserve"> </w:t>
      </w:r>
      <w:r w:rsidRPr="003C786C">
        <w:rPr>
          <w:rStyle w:val="normaltextrun"/>
          <w:rFonts w:ascii="Calibri" w:hAnsi="Calibri" w:cs="Calibri"/>
        </w:rPr>
        <w:t>NDC</w:t>
      </w:r>
      <w:r>
        <w:rPr>
          <w:rStyle w:val="normaltextrun"/>
          <w:rFonts w:ascii="Calibri" w:hAnsi="Calibri" w:cs="Calibri"/>
        </w:rPr>
        <w:t xml:space="preserve"> </w:t>
      </w:r>
      <w:r w:rsidRPr="003C786C">
        <w:rPr>
          <w:rStyle w:val="normaltextrun"/>
          <w:rFonts w:ascii="Calibri" w:hAnsi="Calibri" w:cs="Calibri"/>
        </w:rPr>
        <w:t>required</w:t>
      </w:r>
      <w:r>
        <w:rPr>
          <w:rStyle w:val="normaltextrun"/>
          <w:rFonts w:ascii="Calibri" w:hAnsi="Calibri" w:cs="Calibri"/>
        </w:rPr>
        <w:t xml:space="preserve"> </w:t>
      </w:r>
      <w:r w:rsidRPr="003C786C">
        <w:rPr>
          <w:rStyle w:val="normaltextrun"/>
          <w:rFonts w:ascii="Calibri" w:hAnsi="Calibri" w:cs="Calibri"/>
        </w:rPr>
        <w:t>to</w:t>
      </w:r>
      <w:r>
        <w:rPr>
          <w:rStyle w:val="normaltextrun"/>
          <w:rFonts w:ascii="Calibri" w:hAnsi="Calibri" w:cs="Calibri"/>
        </w:rPr>
        <w:t xml:space="preserve"> </w:t>
      </w:r>
      <w:r w:rsidRPr="003C786C">
        <w:rPr>
          <w:rStyle w:val="normaltextrun"/>
          <w:rFonts w:ascii="Calibri" w:hAnsi="Calibri" w:cs="Calibri"/>
        </w:rPr>
        <w:t>ensure</w:t>
      </w:r>
      <w:r>
        <w:rPr>
          <w:rStyle w:val="normaltextrun"/>
          <w:rFonts w:ascii="Calibri" w:hAnsi="Calibri" w:cs="Calibri"/>
        </w:rPr>
        <w:t xml:space="preserve"> </w:t>
      </w:r>
      <w:r w:rsidRPr="003C786C">
        <w:rPr>
          <w:rStyle w:val="normaltextrun"/>
          <w:rFonts w:ascii="Calibri" w:hAnsi="Calibri" w:cs="Calibri"/>
        </w:rPr>
        <w:t>it</w:t>
      </w:r>
      <w:r>
        <w:rPr>
          <w:rStyle w:val="normaltextrun"/>
          <w:rFonts w:ascii="Calibri" w:hAnsi="Calibri" w:cs="Calibri"/>
        </w:rPr>
        <w:t xml:space="preserve"> </w:t>
      </w:r>
      <w:r w:rsidRPr="003C786C">
        <w:rPr>
          <w:rStyle w:val="normaltextrun"/>
          <w:rFonts w:ascii="Calibri" w:hAnsi="Calibri" w:cs="Calibri"/>
        </w:rPr>
        <w:t>is</w:t>
      </w:r>
      <w:r>
        <w:rPr>
          <w:rStyle w:val="normaltextrun"/>
          <w:rFonts w:ascii="Calibri" w:hAnsi="Calibri" w:cs="Calibri"/>
        </w:rPr>
        <w:t xml:space="preserve"> </w:t>
      </w:r>
      <w:r w:rsidRPr="003C786C">
        <w:rPr>
          <w:rStyle w:val="normaltextrun"/>
          <w:rFonts w:ascii="Calibri" w:hAnsi="Calibri" w:cs="Calibri"/>
        </w:rPr>
        <w:t>compatible</w:t>
      </w:r>
      <w:r>
        <w:rPr>
          <w:rStyle w:val="normaltextrun"/>
          <w:rFonts w:ascii="Calibri" w:hAnsi="Calibri" w:cs="Calibri"/>
        </w:rPr>
        <w:t xml:space="preserve"> </w:t>
      </w:r>
      <w:r w:rsidRPr="003C786C">
        <w:rPr>
          <w:rStyle w:val="normaltextrun"/>
          <w:rFonts w:ascii="Calibri" w:hAnsi="Calibri" w:cs="Calibri"/>
        </w:rPr>
        <w:t>with</w:t>
      </w:r>
      <w:r>
        <w:rPr>
          <w:rStyle w:val="normaltextrun"/>
          <w:rFonts w:ascii="Calibri" w:hAnsi="Calibri" w:cs="Calibri"/>
        </w:rPr>
        <w:t xml:space="preserve"> </w:t>
      </w:r>
      <w:r w:rsidRPr="003C786C">
        <w:rPr>
          <w:rStyle w:val="normaltextrun"/>
          <w:rFonts w:ascii="Calibri" w:hAnsi="Calibri" w:cs="Calibri"/>
        </w:rPr>
        <w:t>global</w:t>
      </w:r>
      <w:r>
        <w:rPr>
          <w:rStyle w:val="normaltextrun"/>
          <w:rFonts w:ascii="Calibri" w:hAnsi="Calibri" w:cs="Calibri"/>
        </w:rPr>
        <w:t xml:space="preserve"> </w:t>
      </w:r>
      <w:r w:rsidRPr="003C786C">
        <w:rPr>
          <w:rStyle w:val="normaltextrun"/>
          <w:rFonts w:ascii="Calibri" w:hAnsi="Calibri" w:cs="Calibri"/>
        </w:rPr>
        <w:t>efforts</w:t>
      </w:r>
      <w:r>
        <w:rPr>
          <w:rStyle w:val="normaltextrun"/>
          <w:rFonts w:ascii="Calibri" w:hAnsi="Calibri" w:cs="Calibri"/>
        </w:rPr>
        <w:t xml:space="preserve"> </w:t>
      </w:r>
      <w:r w:rsidRPr="003C786C">
        <w:rPr>
          <w:rStyle w:val="normaltextrun"/>
          <w:rFonts w:ascii="Calibri" w:hAnsi="Calibri" w:cs="Calibri"/>
        </w:rPr>
        <w:t>under</w:t>
      </w:r>
      <w:r>
        <w:rPr>
          <w:rStyle w:val="normaltextrun"/>
          <w:rFonts w:ascii="Calibri" w:hAnsi="Calibri" w:cs="Calibri"/>
        </w:rPr>
        <w:t xml:space="preserve"> </w:t>
      </w:r>
      <w:r w:rsidRPr="003C786C">
        <w:rPr>
          <w:rStyle w:val="normaltextrun"/>
          <w:rFonts w:ascii="Calibri" w:hAnsi="Calibri" w:cs="Calibri"/>
        </w:rPr>
        <w:t>the</w:t>
      </w:r>
      <w:r>
        <w:rPr>
          <w:rStyle w:val="normaltextrun"/>
          <w:rFonts w:ascii="Calibri" w:hAnsi="Calibri" w:cs="Calibri"/>
        </w:rPr>
        <w:t xml:space="preserve"> </w:t>
      </w:r>
      <w:r w:rsidRPr="003C786C">
        <w:rPr>
          <w:rStyle w:val="normaltextrun"/>
          <w:rFonts w:ascii="Calibri" w:hAnsi="Calibri" w:cs="Calibri"/>
        </w:rPr>
        <w:t>Paris</w:t>
      </w:r>
      <w:r>
        <w:rPr>
          <w:rStyle w:val="normaltextrun"/>
          <w:rFonts w:ascii="Calibri" w:hAnsi="Calibri" w:cs="Calibri"/>
        </w:rPr>
        <w:t xml:space="preserve"> </w:t>
      </w:r>
      <w:r w:rsidRPr="003C786C">
        <w:rPr>
          <w:rStyle w:val="normaltextrun"/>
          <w:rFonts w:ascii="Calibri" w:hAnsi="Calibri" w:cs="Calibri"/>
        </w:rPr>
        <w:t>Agreement</w:t>
      </w:r>
      <w:r>
        <w:rPr>
          <w:rStyle w:val="normaltextrun"/>
          <w:rFonts w:ascii="Calibri" w:hAnsi="Calibri" w:cs="Calibri"/>
        </w:rPr>
        <w:t xml:space="preserve"> </w:t>
      </w:r>
      <w:r w:rsidRPr="003C786C">
        <w:rPr>
          <w:rStyle w:val="normaltextrun"/>
          <w:rFonts w:ascii="Calibri" w:hAnsi="Calibri" w:cs="Calibri"/>
        </w:rPr>
        <w:t>to</w:t>
      </w:r>
      <w:r>
        <w:rPr>
          <w:rStyle w:val="normaltextrun"/>
          <w:rFonts w:ascii="Calibri" w:hAnsi="Calibri" w:cs="Calibri"/>
        </w:rPr>
        <w:t xml:space="preserve"> </w:t>
      </w:r>
      <w:r w:rsidRPr="003C786C">
        <w:rPr>
          <w:rStyle w:val="normaltextrun"/>
          <w:rFonts w:ascii="Calibri" w:hAnsi="Calibri" w:cs="Calibri"/>
        </w:rPr>
        <w:t>limit</w:t>
      </w:r>
      <w:r>
        <w:rPr>
          <w:rStyle w:val="normaltextrun"/>
          <w:rFonts w:ascii="Calibri" w:hAnsi="Calibri" w:cs="Calibri"/>
        </w:rPr>
        <w:t xml:space="preserve"> </w:t>
      </w:r>
      <w:r w:rsidRPr="003C786C">
        <w:rPr>
          <w:rStyle w:val="normaltextrun"/>
          <w:rFonts w:ascii="Calibri" w:hAnsi="Calibri" w:cs="Calibri"/>
        </w:rPr>
        <w:t>the</w:t>
      </w:r>
      <w:r>
        <w:rPr>
          <w:rStyle w:val="normaltextrun"/>
          <w:rFonts w:ascii="Calibri" w:hAnsi="Calibri" w:cs="Calibri"/>
        </w:rPr>
        <w:t xml:space="preserve"> </w:t>
      </w:r>
      <w:r w:rsidRPr="003C786C">
        <w:rPr>
          <w:rStyle w:val="normaltextrun"/>
          <w:rFonts w:ascii="Calibri" w:hAnsi="Calibri" w:cs="Calibri"/>
        </w:rPr>
        <w:t>global</w:t>
      </w:r>
      <w:r>
        <w:rPr>
          <w:rStyle w:val="normaltextrun"/>
          <w:rFonts w:ascii="Calibri" w:hAnsi="Calibri" w:cs="Calibri"/>
        </w:rPr>
        <w:t xml:space="preserve"> </w:t>
      </w:r>
      <w:r w:rsidRPr="003C786C">
        <w:rPr>
          <w:rStyle w:val="normaltextrun"/>
          <w:rFonts w:ascii="Calibri" w:hAnsi="Calibri" w:cs="Calibri"/>
        </w:rPr>
        <w:t>average</w:t>
      </w:r>
      <w:r>
        <w:rPr>
          <w:rStyle w:val="normaltextrun"/>
          <w:rFonts w:ascii="Calibri" w:hAnsi="Calibri" w:cs="Calibri"/>
        </w:rPr>
        <w:t xml:space="preserve"> </w:t>
      </w:r>
      <w:r w:rsidRPr="003C786C">
        <w:rPr>
          <w:rStyle w:val="normaltextrun"/>
          <w:rFonts w:ascii="Calibri" w:hAnsi="Calibri" w:cs="Calibri"/>
        </w:rPr>
        <w:t>temperature</w:t>
      </w:r>
      <w:r>
        <w:rPr>
          <w:rStyle w:val="normaltextrun"/>
          <w:rFonts w:ascii="Calibri" w:hAnsi="Calibri" w:cs="Calibri"/>
        </w:rPr>
        <w:t xml:space="preserve"> </w:t>
      </w:r>
      <w:r w:rsidRPr="003C786C">
        <w:rPr>
          <w:rStyle w:val="normaltextrun"/>
          <w:rFonts w:ascii="Calibri" w:hAnsi="Calibri" w:cs="Calibri"/>
        </w:rPr>
        <w:t>increase</w:t>
      </w:r>
      <w:r>
        <w:rPr>
          <w:rStyle w:val="normaltextrun"/>
          <w:rFonts w:ascii="Calibri" w:hAnsi="Calibri" w:cs="Calibri"/>
        </w:rPr>
        <w:t xml:space="preserve"> </w:t>
      </w:r>
      <w:r w:rsidRPr="003C786C">
        <w:rPr>
          <w:rStyle w:val="normaltextrun"/>
          <w:rFonts w:ascii="Calibri" w:hAnsi="Calibri" w:cs="Calibri"/>
        </w:rPr>
        <w:t>to</w:t>
      </w:r>
      <w:r>
        <w:rPr>
          <w:rStyle w:val="normaltextrun"/>
          <w:rFonts w:ascii="Calibri" w:hAnsi="Calibri" w:cs="Calibri"/>
        </w:rPr>
        <w:t xml:space="preserve"> </w:t>
      </w:r>
      <w:r w:rsidRPr="003C786C">
        <w:rPr>
          <w:rStyle w:val="normaltextrun"/>
          <w:rFonts w:ascii="Calibri" w:hAnsi="Calibri" w:cs="Calibri"/>
        </w:rPr>
        <w:t>1.</w:t>
      </w:r>
      <w:r>
        <w:rPr>
          <w:rStyle w:val="normaltextrun"/>
          <w:rFonts w:ascii="Calibri" w:hAnsi="Calibri" w:cs="Calibri"/>
        </w:rPr>
        <w:t xml:space="preserve">5°C </w:t>
      </w:r>
      <w:r w:rsidRPr="003C786C">
        <w:rPr>
          <w:rStyle w:val="normaltextrun"/>
          <w:rFonts w:ascii="Calibri" w:hAnsi="Calibri" w:cs="Calibri"/>
        </w:rPr>
        <w:t>above</w:t>
      </w:r>
      <w:r>
        <w:rPr>
          <w:rStyle w:val="normaltextrun"/>
          <w:rFonts w:ascii="Calibri" w:hAnsi="Calibri" w:cs="Calibri"/>
        </w:rPr>
        <w:t xml:space="preserve"> </w:t>
      </w:r>
      <w:r w:rsidRPr="003C786C">
        <w:rPr>
          <w:rStyle w:val="normaltextrun"/>
          <w:rFonts w:ascii="Calibri" w:hAnsi="Calibri" w:cs="Calibri"/>
        </w:rPr>
        <w:t>pre-industrial</w:t>
      </w:r>
      <w:r>
        <w:rPr>
          <w:rStyle w:val="normaltextrun"/>
          <w:rFonts w:ascii="Calibri" w:hAnsi="Calibri" w:cs="Calibri"/>
        </w:rPr>
        <w:t xml:space="preserve"> </w:t>
      </w:r>
      <w:r w:rsidRPr="003C786C">
        <w:rPr>
          <w:rStyle w:val="normaltextrun"/>
          <w:rFonts w:ascii="Calibri" w:hAnsi="Calibri" w:cs="Calibri"/>
        </w:rPr>
        <w:t>levels.</w:t>
      </w:r>
    </w:p>
    <w:p w14:paraId="555610A9" w14:textId="2C1734B8" w:rsidR="00F03A47" w:rsidRPr="00655722" w:rsidRDefault="00F03A47" w:rsidP="00F03A47">
      <w:pPr>
        <w:rPr>
          <w:rStyle w:val="normaltextrun"/>
        </w:rPr>
      </w:pPr>
      <w:r>
        <w:rPr>
          <w:rStyle w:val="normaltextrun"/>
        </w:rPr>
        <w:t>The full text of the request and the terms of reference can be found on our website at</w:t>
      </w:r>
      <w:r w:rsidR="00D54015">
        <w:rPr>
          <w:rStyle w:val="normaltextrun"/>
        </w:rPr>
        <w:t>:</w:t>
      </w:r>
      <w:r>
        <w:rPr>
          <w:rStyle w:val="normaltextrun"/>
        </w:rPr>
        <w:t xml:space="preserve"> </w:t>
      </w:r>
      <w:hyperlink r:id="rId61" w:history="1">
        <w:r w:rsidRPr="000448A9">
          <w:rPr>
            <w:rStyle w:val="Hyperlink"/>
          </w:rPr>
          <w:t>https://www.climatecommission.govt.nz/our-work/advice-to-government-topic/reviewing-new-zealands-nationally-determined-contribution-and-biogenic-methane/</w:t>
        </w:r>
      </w:hyperlink>
      <w:r>
        <w:rPr>
          <w:rStyle w:val="normaltextrun"/>
        </w:rPr>
        <w:t xml:space="preserve"> </w:t>
      </w:r>
    </w:p>
    <w:p w14:paraId="61CA15BC" w14:textId="43F6A67B" w:rsidR="00F03A47" w:rsidRDefault="00F03A47" w:rsidP="00F03A47">
      <w:r>
        <w:t xml:space="preserve">This </w:t>
      </w:r>
      <w:r w:rsidRPr="00934BC2">
        <w:t>chapter</w:t>
      </w:r>
      <w:r>
        <w:t xml:space="preserve"> responds to that request. In this </w:t>
      </w:r>
      <w:r w:rsidRPr="00934BC2">
        <w:t>chapter</w:t>
      </w:r>
      <w:r>
        <w:t xml:space="preserve">, we cover the global emissions reductions modelled for the world to keep warming below </w:t>
      </w:r>
      <w:r w:rsidRPr="003C786C">
        <w:rPr>
          <w:rStyle w:val="normaltextrun"/>
          <w:rFonts w:ascii="Calibri" w:hAnsi="Calibri" w:cs="Calibri"/>
        </w:rPr>
        <w:t>1.</w:t>
      </w:r>
      <w:r>
        <w:rPr>
          <w:rStyle w:val="normaltextrun"/>
          <w:rFonts w:ascii="Calibri" w:hAnsi="Calibri" w:cs="Calibri"/>
        </w:rPr>
        <w:t>5°C, describe what those emissions reductions would mean for the country’s contribution and reconsider</w:t>
      </w:r>
      <w:r w:rsidR="003D5A6D">
        <w:t xml:space="preserve"> the</w:t>
      </w:r>
      <w:r>
        <w:t xml:space="preserve"> NDC as a result. </w:t>
      </w:r>
    </w:p>
    <w:p w14:paraId="20B0AE2E" w14:textId="77777777" w:rsidR="00F03A47" w:rsidRPr="00790771" w:rsidRDefault="00F03A47" w:rsidP="00F03A47">
      <w:r>
        <w:t xml:space="preserve">In addition, this chapter also discusses potential changes to the form of the NDC and some issues around how the </w:t>
      </w:r>
      <w:r w:rsidRPr="00934BC2">
        <w:t>Government</w:t>
      </w:r>
      <w:r>
        <w:t xml:space="preserve"> should plan to meet it. </w:t>
      </w:r>
    </w:p>
    <w:p w14:paraId="3516EF3B" w14:textId="77777777" w:rsidR="00F03A47" w:rsidRPr="004A027A" w:rsidRDefault="00F03A47" w:rsidP="00F03A47">
      <w:pPr>
        <w:pStyle w:val="Heading2"/>
      </w:pPr>
      <w:bookmarkStart w:id="299" w:name="_Toc62052777"/>
      <w:bookmarkStart w:id="300" w:name="_Toc62650336"/>
      <w:r>
        <w:t>8.2 Global pathways to 1.5</w:t>
      </w:r>
      <w:r>
        <w:rPr>
          <w:rFonts w:cstheme="majorHAnsi"/>
        </w:rPr>
        <w:t>°</w:t>
      </w:r>
      <w:r>
        <w:t>C</w:t>
      </w:r>
      <w:bookmarkEnd w:id="299"/>
      <w:bookmarkEnd w:id="300"/>
    </w:p>
    <w:p w14:paraId="4BE48014" w14:textId="77777777" w:rsidR="00F03A47" w:rsidRDefault="00F03A47" w:rsidP="00F03A47">
      <w:r w:rsidRPr="00581FBF">
        <w:t>The</w:t>
      </w:r>
      <w:r>
        <w:t xml:space="preserve"> </w:t>
      </w:r>
      <w:r w:rsidRPr="00581FBF">
        <w:t>world</w:t>
      </w:r>
      <w:r>
        <w:t xml:space="preserve"> </w:t>
      </w:r>
      <w:r w:rsidRPr="00581FBF">
        <w:t>has</w:t>
      </w:r>
      <w:r>
        <w:t xml:space="preserve"> </w:t>
      </w:r>
      <w:r w:rsidRPr="00581FBF">
        <w:t>already</w:t>
      </w:r>
      <w:r>
        <w:t xml:space="preserve"> </w:t>
      </w:r>
      <w:r w:rsidRPr="00581FBF">
        <w:t>warmed</w:t>
      </w:r>
      <w:r>
        <w:t xml:space="preserve"> </w:t>
      </w:r>
      <w:r w:rsidRPr="00581FBF">
        <w:t>1.0</w:t>
      </w:r>
      <w:r>
        <w:rPr>
          <w:rFonts w:cstheme="minorHAnsi"/>
        </w:rPr>
        <w:t>°</w:t>
      </w:r>
      <w:r w:rsidRPr="00581FBF">
        <w:t>C</w:t>
      </w:r>
      <w:r>
        <w:t xml:space="preserve"> </w:t>
      </w:r>
      <w:r w:rsidRPr="00581FBF">
        <w:t>above</w:t>
      </w:r>
      <w:r>
        <w:t xml:space="preserve"> </w:t>
      </w:r>
      <w:r w:rsidRPr="00581FBF">
        <w:t>pre-industrial</w:t>
      </w:r>
      <w:r>
        <w:t xml:space="preserve"> </w:t>
      </w:r>
      <w:r w:rsidRPr="00581FBF">
        <w:t>levels</w:t>
      </w:r>
      <w:r>
        <w:t xml:space="preserve"> </w:t>
      </w:r>
      <w:r w:rsidRPr="00581FBF">
        <w:t>and</w:t>
      </w:r>
      <w:r w:rsidRPr="00934BC2">
        <w:t>,</w:t>
      </w:r>
      <w:r>
        <w:t xml:space="preserve"> </w:t>
      </w:r>
      <w:r w:rsidRPr="00581FBF">
        <w:t>without</w:t>
      </w:r>
      <w:r>
        <w:t xml:space="preserve"> </w:t>
      </w:r>
      <w:r w:rsidRPr="00581FBF">
        <w:t>action</w:t>
      </w:r>
      <w:r>
        <w:t xml:space="preserve"> </w:t>
      </w:r>
      <w:r w:rsidRPr="00581FBF">
        <w:t>to</w:t>
      </w:r>
      <w:r>
        <w:t xml:space="preserve"> </w:t>
      </w:r>
      <w:r w:rsidRPr="00581FBF">
        <w:t>reduce</w:t>
      </w:r>
      <w:r>
        <w:t xml:space="preserve"> </w:t>
      </w:r>
      <w:r w:rsidRPr="00581FBF">
        <w:t>emissions,</w:t>
      </w:r>
      <w:r>
        <w:t xml:space="preserve"> </w:t>
      </w:r>
      <w:r w:rsidRPr="00581FBF">
        <w:t>average</w:t>
      </w:r>
      <w:r>
        <w:t xml:space="preserve"> </w:t>
      </w:r>
      <w:r w:rsidRPr="00581FBF">
        <w:t>warming</w:t>
      </w:r>
      <w:r>
        <w:t xml:space="preserve"> is expected to </w:t>
      </w:r>
      <w:r w:rsidRPr="00581FBF">
        <w:t>exceed</w:t>
      </w:r>
      <w:r>
        <w:t xml:space="preserve"> </w:t>
      </w:r>
      <w:r w:rsidRPr="00581FBF">
        <w:t>1.5</w:t>
      </w:r>
      <w:r>
        <w:rPr>
          <w:rFonts w:cstheme="minorHAnsi"/>
        </w:rPr>
        <w:t>°</w:t>
      </w:r>
      <w:r>
        <w:t xml:space="preserve">C </w:t>
      </w:r>
      <w:r w:rsidRPr="00581FBF">
        <w:t>around</w:t>
      </w:r>
      <w:r>
        <w:t xml:space="preserve"> </w:t>
      </w:r>
      <w:r w:rsidRPr="00581FBF">
        <w:t>2040.</w:t>
      </w:r>
    </w:p>
    <w:p w14:paraId="18124A59" w14:textId="77777777" w:rsidR="00F03A47" w:rsidRPr="0016766B" w:rsidRDefault="00F03A47" w:rsidP="00F03A47">
      <w:pPr>
        <w:jc w:val="center"/>
      </w:pPr>
      <w:r>
        <w:rPr>
          <w:noProof/>
        </w:rPr>
        <w:lastRenderedPageBreak/>
        <w:drawing>
          <wp:inline distT="0" distB="0" distL="0" distR="0" wp14:anchorId="49E491C9" wp14:editId="60B9972C">
            <wp:extent cx="4933950" cy="2511766"/>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2">
                      <a:extLst>
                        <a:ext uri="{28A0092B-C50C-407E-A947-70E740481C1C}">
                          <a14:useLocalDpi xmlns:a14="http://schemas.microsoft.com/office/drawing/2010/main" val="0"/>
                        </a:ext>
                      </a:extLst>
                    </a:blip>
                    <a:srcRect t="5831" b="41111"/>
                    <a:stretch/>
                  </pic:blipFill>
                  <pic:spPr bwMode="auto">
                    <a:xfrm>
                      <a:off x="0" y="0"/>
                      <a:ext cx="4949594" cy="2519730"/>
                    </a:xfrm>
                    <a:prstGeom prst="rect">
                      <a:avLst/>
                    </a:prstGeom>
                    <a:noFill/>
                    <a:ln>
                      <a:noFill/>
                    </a:ln>
                    <a:extLst>
                      <a:ext uri="{53640926-AAD7-44D8-BBD7-CCE9431645EC}">
                        <a14:shadowObscured xmlns:a14="http://schemas.microsoft.com/office/drawing/2010/main"/>
                      </a:ext>
                    </a:extLst>
                  </pic:spPr>
                </pic:pic>
              </a:graphicData>
            </a:graphic>
          </wp:inline>
        </w:drawing>
      </w:r>
    </w:p>
    <w:p w14:paraId="10BAEBF6" w14:textId="415609B7" w:rsidR="00F03A47" w:rsidRPr="00AF1D74" w:rsidRDefault="00F03A47" w:rsidP="00F03A47">
      <w:pPr>
        <w:pStyle w:val="Caption"/>
      </w:pPr>
      <w:r w:rsidRPr="00AF1D74">
        <w:t>Figure 8</w:t>
      </w:r>
      <w:r w:rsidR="00937B4D">
        <w:t>.1</w:t>
      </w:r>
      <w:r w:rsidRPr="00AF1D74">
        <w:t>: Observed and modelled global temperature change 1960-2100</w:t>
      </w:r>
    </w:p>
    <w:p w14:paraId="6DFAF59C" w14:textId="77777777" w:rsidR="00F03A47" w:rsidRPr="003F36F8" w:rsidRDefault="00F03A47" w:rsidP="00F03A47">
      <w:pPr>
        <w:pStyle w:val="Caption"/>
        <w:jc w:val="right"/>
        <w:rPr>
          <w:i w:val="0"/>
        </w:rPr>
      </w:pPr>
      <w:r w:rsidRPr="003F36F8">
        <w:rPr>
          <w:i w:val="0"/>
        </w:rPr>
        <w:t>Source: IPCC Special Report on 1.5</w:t>
      </w:r>
      <w:r>
        <w:rPr>
          <w:rFonts w:cstheme="minorHAnsi"/>
          <w:i w:val="0"/>
        </w:rPr>
        <w:t>°C</w:t>
      </w:r>
      <w:r w:rsidRPr="003F36F8">
        <w:rPr>
          <w:rFonts w:cstheme="minorHAnsi"/>
          <w:i w:val="0"/>
        </w:rPr>
        <w:t xml:space="preserve"> Summary for Policymakers</w:t>
      </w:r>
      <w:r w:rsidRPr="003F36F8">
        <w:rPr>
          <w:i w:val="0"/>
        </w:rPr>
        <w:t>, Figure SPM.1</w:t>
      </w:r>
    </w:p>
    <w:p w14:paraId="4FAD592F" w14:textId="25F79BB9" w:rsidR="00F03A47" w:rsidRPr="00571B85" w:rsidRDefault="00F03A47" w:rsidP="00F03A47">
      <w:r w:rsidRPr="00571B85">
        <w:t>The</w:t>
      </w:r>
      <w:r>
        <w:t xml:space="preserve"> </w:t>
      </w:r>
      <w:r w:rsidRPr="00571B85">
        <w:t>Intergovernmental</w:t>
      </w:r>
      <w:r>
        <w:t xml:space="preserve"> </w:t>
      </w:r>
      <w:r w:rsidRPr="00571B85">
        <w:t>Panel</w:t>
      </w:r>
      <w:r>
        <w:t xml:space="preserve"> </w:t>
      </w:r>
      <w:r w:rsidRPr="00571B85">
        <w:t>on</w:t>
      </w:r>
      <w:r>
        <w:t xml:space="preserve"> </w:t>
      </w:r>
      <w:r w:rsidRPr="00571B85">
        <w:t>Clima</w:t>
      </w:r>
      <w:r w:rsidRPr="00571B85">
        <w:rPr>
          <w:rStyle w:val="normaltextrun"/>
          <w:rFonts w:ascii="Calibri" w:hAnsi="Calibri" w:cs="Calibri"/>
        </w:rPr>
        <w:t>te</w:t>
      </w:r>
      <w:r>
        <w:rPr>
          <w:rStyle w:val="normaltextrun"/>
          <w:rFonts w:ascii="Calibri" w:hAnsi="Calibri" w:cs="Calibri"/>
        </w:rPr>
        <w:t xml:space="preserve"> </w:t>
      </w:r>
      <w:r w:rsidRPr="00571B85">
        <w:rPr>
          <w:rStyle w:val="normaltextrun"/>
          <w:rFonts w:ascii="Calibri" w:hAnsi="Calibri" w:cs="Calibri"/>
        </w:rPr>
        <w:t>Change</w:t>
      </w:r>
      <w:r>
        <w:rPr>
          <w:rStyle w:val="normaltextrun"/>
          <w:rFonts w:ascii="Calibri" w:hAnsi="Calibri" w:cs="Calibri"/>
        </w:rPr>
        <w:t xml:space="preserve"> </w:t>
      </w:r>
      <w:r w:rsidRPr="00571B85">
        <w:rPr>
          <w:rStyle w:val="normaltextrun"/>
          <w:rFonts w:ascii="Calibri" w:hAnsi="Calibri" w:cs="Calibri"/>
        </w:rPr>
        <w:t>(IPCC)</w:t>
      </w:r>
      <w:r>
        <w:rPr>
          <w:rStyle w:val="normaltextrun"/>
          <w:rFonts w:ascii="Calibri" w:hAnsi="Calibri" w:cs="Calibri"/>
        </w:rPr>
        <w:t xml:space="preserve"> has </w:t>
      </w:r>
      <w:r w:rsidRPr="00571B85">
        <w:rPr>
          <w:rStyle w:val="normaltextrun"/>
          <w:rFonts w:ascii="Calibri" w:hAnsi="Calibri" w:cs="Calibri"/>
        </w:rPr>
        <w:t>outlined</w:t>
      </w:r>
      <w:r>
        <w:rPr>
          <w:rStyle w:val="normaltextrun"/>
          <w:rFonts w:ascii="Calibri" w:hAnsi="Calibri" w:cs="Calibri"/>
        </w:rPr>
        <w:t xml:space="preserve"> </w:t>
      </w:r>
      <w:r w:rsidRPr="00571B85">
        <w:rPr>
          <w:rStyle w:val="normaltextrun"/>
          <w:rFonts w:ascii="Calibri" w:hAnsi="Calibri" w:cs="Calibri"/>
        </w:rPr>
        <w:t>different</w:t>
      </w:r>
      <w:r>
        <w:rPr>
          <w:rStyle w:val="normaltextrun"/>
          <w:rFonts w:ascii="Calibri" w:hAnsi="Calibri" w:cs="Calibri"/>
        </w:rPr>
        <w:t xml:space="preserve"> </w:t>
      </w:r>
      <w:r w:rsidRPr="00571B85">
        <w:rPr>
          <w:rStyle w:val="normaltextrun"/>
          <w:rFonts w:ascii="Calibri" w:hAnsi="Calibri" w:cs="Calibri"/>
        </w:rPr>
        <w:t>global</w:t>
      </w:r>
      <w:r>
        <w:rPr>
          <w:rStyle w:val="normaltextrun"/>
          <w:rFonts w:ascii="Calibri" w:hAnsi="Calibri" w:cs="Calibri"/>
        </w:rPr>
        <w:t xml:space="preserve"> </w:t>
      </w:r>
      <w:r w:rsidRPr="00571B85">
        <w:rPr>
          <w:rStyle w:val="normaltextrun"/>
          <w:rFonts w:ascii="Calibri" w:hAnsi="Calibri" w:cs="Calibri"/>
        </w:rPr>
        <w:t>pathways</w:t>
      </w:r>
      <w:r>
        <w:rPr>
          <w:rStyle w:val="normaltextrun"/>
          <w:rFonts w:ascii="Calibri" w:hAnsi="Calibri" w:cs="Calibri"/>
        </w:rPr>
        <w:t xml:space="preserve"> of greenhouse emissions </w:t>
      </w:r>
      <w:r w:rsidRPr="00571B85">
        <w:rPr>
          <w:rStyle w:val="normaltextrun"/>
          <w:rFonts w:ascii="Calibri" w:hAnsi="Calibri" w:cs="Calibri"/>
        </w:rPr>
        <w:t>that</w:t>
      </w:r>
      <w:r>
        <w:rPr>
          <w:rStyle w:val="normaltextrun"/>
          <w:rFonts w:ascii="Calibri" w:hAnsi="Calibri" w:cs="Calibri"/>
        </w:rPr>
        <w:t xml:space="preserve"> </w:t>
      </w:r>
      <w:r w:rsidRPr="00571B85">
        <w:rPr>
          <w:rStyle w:val="normaltextrun"/>
          <w:rFonts w:ascii="Calibri" w:hAnsi="Calibri" w:cs="Calibri"/>
        </w:rPr>
        <w:t>would</w:t>
      </w:r>
      <w:r>
        <w:rPr>
          <w:rStyle w:val="normaltextrun"/>
          <w:rFonts w:ascii="Calibri" w:hAnsi="Calibri" w:cs="Calibri"/>
        </w:rPr>
        <w:t xml:space="preserve"> </w:t>
      </w:r>
      <w:r w:rsidRPr="00571B85">
        <w:rPr>
          <w:rStyle w:val="normaltextrun"/>
          <w:rFonts w:ascii="Calibri" w:hAnsi="Calibri" w:cs="Calibri"/>
        </w:rPr>
        <w:t>limit</w:t>
      </w:r>
      <w:r>
        <w:rPr>
          <w:rStyle w:val="normaltextrun"/>
          <w:rFonts w:ascii="Calibri" w:hAnsi="Calibri" w:cs="Calibri"/>
        </w:rPr>
        <w:t xml:space="preserve"> </w:t>
      </w:r>
      <w:r w:rsidRPr="00571B85">
        <w:rPr>
          <w:rStyle w:val="normaltextrun"/>
          <w:rFonts w:ascii="Calibri" w:hAnsi="Calibri" w:cs="Calibri"/>
        </w:rPr>
        <w:t>warming</w:t>
      </w:r>
      <w:r>
        <w:rPr>
          <w:rStyle w:val="normaltextrun"/>
          <w:rFonts w:ascii="Calibri" w:hAnsi="Calibri" w:cs="Calibri"/>
        </w:rPr>
        <w:t xml:space="preserve"> </w:t>
      </w:r>
      <w:r w:rsidRPr="00571B85">
        <w:rPr>
          <w:rStyle w:val="normaltextrun"/>
          <w:rFonts w:ascii="Calibri" w:hAnsi="Calibri" w:cs="Calibri"/>
        </w:rPr>
        <w:t>to</w:t>
      </w:r>
      <w:r>
        <w:rPr>
          <w:rStyle w:val="normaltextrun"/>
          <w:rFonts w:ascii="Calibri" w:hAnsi="Calibri" w:cs="Calibri"/>
        </w:rPr>
        <w:t xml:space="preserve"> </w:t>
      </w:r>
      <w:r w:rsidRPr="00571B85">
        <w:rPr>
          <w:rStyle w:val="normaltextrun"/>
          <w:rFonts w:ascii="Calibri" w:hAnsi="Calibri" w:cs="Calibri"/>
        </w:rPr>
        <w:t>within</w:t>
      </w:r>
      <w:r>
        <w:rPr>
          <w:rStyle w:val="normaltextrun"/>
          <w:rFonts w:ascii="Calibri" w:hAnsi="Calibri" w:cs="Calibri"/>
        </w:rPr>
        <w:t xml:space="preserve"> </w:t>
      </w:r>
      <w:r w:rsidRPr="00571B85">
        <w:rPr>
          <w:rStyle w:val="normaltextrun"/>
          <w:rFonts w:ascii="Calibri" w:hAnsi="Calibri" w:cs="Calibri"/>
        </w:rPr>
        <w:t>1.5°C</w:t>
      </w:r>
      <w:r>
        <w:rPr>
          <w:rStyle w:val="normaltextrun"/>
          <w:rFonts w:ascii="Calibri" w:hAnsi="Calibri" w:cs="Calibri"/>
        </w:rPr>
        <w:t xml:space="preserve"> </w:t>
      </w:r>
      <w:r w:rsidRPr="00571B85">
        <w:rPr>
          <w:rStyle w:val="normaltextrun"/>
          <w:rFonts w:ascii="Calibri" w:hAnsi="Calibri" w:cs="Calibri"/>
        </w:rPr>
        <w:t>of</w:t>
      </w:r>
      <w:r>
        <w:rPr>
          <w:rStyle w:val="normaltextrun"/>
          <w:rFonts w:ascii="Calibri" w:hAnsi="Calibri" w:cs="Calibri"/>
        </w:rPr>
        <w:t xml:space="preserve"> </w:t>
      </w:r>
      <w:r w:rsidRPr="00571B85">
        <w:rPr>
          <w:rStyle w:val="normaltextrun"/>
          <w:rFonts w:ascii="Calibri" w:hAnsi="Calibri" w:cs="Calibri"/>
        </w:rPr>
        <w:t>pre-industrial</w:t>
      </w:r>
      <w:r>
        <w:rPr>
          <w:rStyle w:val="normaltextrun"/>
          <w:rFonts w:ascii="Calibri" w:hAnsi="Calibri" w:cs="Calibri"/>
        </w:rPr>
        <w:t xml:space="preserve"> </w:t>
      </w:r>
      <w:r w:rsidRPr="00571B85">
        <w:rPr>
          <w:rStyle w:val="normaltextrun"/>
          <w:rFonts w:ascii="Calibri" w:hAnsi="Calibri" w:cs="Calibri"/>
        </w:rPr>
        <w:t>levels.</w:t>
      </w:r>
      <w:r>
        <w:rPr>
          <w:rStyle w:val="normaltextrun"/>
          <w:rFonts w:ascii="Calibri" w:hAnsi="Calibri" w:cs="Calibri"/>
        </w:rPr>
        <w:t xml:space="preserve"> </w:t>
      </w:r>
      <w:r w:rsidRPr="00571B85">
        <w:rPr>
          <w:rStyle w:val="normaltextrun"/>
          <w:rFonts w:ascii="Calibri" w:hAnsi="Calibri" w:cs="Calibri"/>
        </w:rPr>
        <w:t>These</w:t>
      </w:r>
      <w:r>
        <w:rPr>
          <w:rStyle w:val="normaltextrun"/>
          <w:rFonts w:ascii="Calibri" w:hAnsi="Calibri" w:cs="Calibri"/>
        </w:rPr>
        <w:t xml:space="preserve"> </w:t>
      </w:r>
      <w:r w:rsidRPr="00571B85">
        <w:rPr>
          <w:rStyle w:val="normaltextrun"/>
          <w:rFonts w:ascii="Calibri" w:hAnsi="Calibri" w:cs="Calibri"/>
        </w:rPr>
        <w:t>pathways</w:t>
      </w:r>
      <w:r>
        <w:rPr>
          <w:rStyle w:val="normaltextrun"/>
          <w:rFonts w:ascii="Calibri" w:hAnsi="Calibri" w:cs="Calibri"/>
        </w:rPr>
        <w:t xml:space="preserve"> </w:t>
      </w:r>
      <w:r w:rsidRPr="00571B85">
        <w:rPr>
          <w:rStyle w:val="normaltextrun"/>
          <w:rFonts w:ascii="Calibri" w:hAnsi="Calibri" w:cs="Calibri"/>
        </w:rPr>
        <w:t>all</w:t>
      </w:r>
      <w:r>
        <w:rPr>
          <w:rStyle w:val="normaltextrun"/>
          <w:rFonts w:ascii="Calibri" w:hAnsi="Calibri" w:cs="Calibri"/>
        </w:rPr>
        <w:t xml:space="preserve"> </w:t>
      </w:r>
      <w:r w:rsidRPr="00571B85">
        <w:rPr>
          <w:rStyle w:val="normaltextrun"/>
          <w:rFonts w:ascii="Calibri" w:hAnsi="Calibri" w:cs="Calibri"/>
        </w:rPr>
        <w:t>have</w:t>
      </w:r>
      <w:r>
        <w:rPr>
          <w:rStyle w:val="normaltextrun"/>
          <w:rFonts w:ascii="Calibri" w:hAnsi="Calibri" w:cs="Calibri"/>
        </w:rPr>
        <w:t xml:space="preserve"> </w:t>
      </w:r>
      <w:r w:rsidRPr="00571B85">
        <w:rPr>
          <w:rStyle w:val="normaltextrun"/>
          <w:rFonts w:ascii="Calibri" w:hAnsi="Calibri" w:cs="Calibri"/>
        </w:rPr>
        <w:t>differing</w:t>
      </w:r>
      <w:r>
        <w:rPr>
          <w:rStyle w:val="normaltextrun"/>
          <w:rFonts w:ascii="Calibri" w:hAnsi="Calibri" w:cs="Calibri"/>
        </w:rPr>
        <w:t xml:space="preserve"> </w:t>
      </w:r>
      <w:r w:rsidRPr="00571B85">
        <w:rPr>
          <w:rStyle w:val="normaltextrun"/>
          <w:rFonts w:ascii="Calibri" w:hAnsi="Calibri" w:cs="Calibri"/>
        </w:rPr>
        <w:t>rates</w:t>
      </w:r>
      <w:r>
        <w:rPr>
          <w:rStyle w:val="normaltextrun"/>
          <w:rFonts w:ascii="Calibri" w:hAnsi="Calibri" w:cs="Calibri"/>
        </w:rPr>
        <w:t xml:space="preserve"> </w:t>
      </w:r>
      <w:r w:rsidRPr="00571B85">
        <w:rPr>
          <w:rStyle w:val="normaltextrun"/>
          <w:rFonts w:ascii="Calibri" w:hAnsi="Calibri" w:cs="Calibri"/>
        </w:rPr>
        <w:t>of</w:t>
      </w:r>
      <w:r>
        <w:rPr>
          <w:rStyle w:val="normaltextrun"/>
          <w:rFonts w:ascii="Calibri" w:hAnsi="Calibri" w:cs="Calibri"/>
        </w:rPr>
        <w:t xml:space="preserve"> </w:t>
      </w:r>
      <w:r w:rsidRPr="00571B85">
        <w:rPr>
          <w:rStyle w:val="normaltextrun"/>
          <w:rFonts w:ascii="Calibri" w:hAnsi="Calibri" w:cs="Calibri"/>
        </w:rPr>
        <w:t>reduction</w:t>
      </w:r>
      <w:r>
        <w:rPr>
          <w:rStyle w:val="normaltextrun"/>
          <w:rFonts w:ascii="Calibri" w:hAnsi="Calibri" w:cs="Calibri"/>
        </w:rPr>
        <w:t xml:space="preserve"> </w:t>
      </w:r>
      <w:r w:rsidRPr="00571B85">
        <w:rPr>
          <w:rStyle w:val="normaltextrun"/>
          <w:rFonts w:ascii="Calibri" w:hAnsi="Calibri" w:cs="Calibri"/>
        </w:rPr>
        <w:t>for</w:t>
      </w:r>
      <w:r>
        <w:rPr>
          <w:rStyle w:val="normaltextrun"/>
          <w:rFonts w:ascii="Calibri" w:hAnsi="Calibri" w:cs="Calibri"/>
        </w:rPr>
        <w:t xml:space="preserve"> </w:t>
      </w:r>
      <w:r w:rsidRPr="00571B85">
        <w:rPr>
          <w:rStyle w:val="normaltextrun"/>
          <w:rFonts w:ascii="Calibri" w:hAnsi="Calibri" w:cs="Calibri"/>
        </w:rPr>
        <w:t>each</w:t>
      </w:r>
      <w:r>
        <w:rPr>
          <w:rStyle w:val="normaltextrun"/>
          <w:rFonts w:ascii="Calibri" w:hAnsi="Calibri" w:cs="Calibri"/>
        </w:rPr>
        <w:t xml:space="preserve"> </w:t>
      </w:r>
      <w:r w:rsidRPr="00571B85">
        <w:rPr>
          <w:rStyle w:val="normaltextrun"/>
          <w:rFonts w:ascii="Calibri" w:hAnsi="Calibri" w:cs="Calibri"/>
        </w:rPr>
        <w:t>greenhouse</w:t>
      </w:r>
      <w:r>
        <w:rPr>
          <w:rStyle w:val="normaltextrun"/>
          <w:rFonts w:ascii="Calibri" w:hAnsi="Calibri" w:cs="Calibri"/>
        </w:rPr>
        <w:t xml:space="preserve"> </w:t>
      </w:r>
      <w:r w:rsidRPr="00571B85">
        <w:rPr>
          <w:rStyle w:val="normaltextrun"/>
          <w:rFonts w:ascii="Calibri" w:hAnsi="Calibri" w:cs="Calibri"/>
        </w:rPr>
        <w:t>gas.</w:t>
      </w:r>
      <w:r>
        <w:rPr>
          <w:rStyle w:val="normaltextrun"/>
          <w:rFonts w:ascii="Calibri" w:hAnsi="Calibri" w:cs="Calibri"/>
        </w:rPr>
        <w:t xml:space="preserve"> </w:t>
      </w:r>
    </w:p>
    <w:p w14:paraId="48432F20" w14:textId="77777777" w:rsidR="00F03A47" w:rsidRDefault="00F03A47" w:rsidP="00F03A47">
      <w:pPr>
        <w:spacing w:after="240" w:line="276" w:lineRule="auto"/>
      </w:pPr>
      <w:r>
        <w:t xml:space="preserve">The IPCC pathways share some common underlying features. However, they differ in whether they always stay within the </w:t>
      </w:r>
      <w:r w:rsidRPr="009E4E23">
        <w:t>1.5</w:t>
      </w:r>
      <w:r w:rsidRPr="009E4E23">
        <w:rPr>
          <w:rFonts w:cstheme="minorHAnsi"/>
        </w:rPr>
        <w:t>°</w:t>
      </w:r>
      <w:r w:rsidRPr="009E4E23">
        <w:t>C</w:t>
      </w:r>
      <w:r>
        <w:t xml:space="preserve"> goal. Some allow the temperature to exceed </w:t>
      </w:r>
      <w:r w:rsidRPr="009E4E23">
        <w:t>1.5</w:t>
      </w:r>
      <w:r w:rsidRPr="009E4E23">
        <w:rPr>
          <w:rFonts w:cstheme="minorHAnsi"/>
        </w:rPr>
        <w:t>°</w:t>
      </w:r>
      <w:r w:rsidRPr="009E4E23">
        <w:t>C</w:t>
      </w:r>
      <w:r>
        <w:t xml:space="preserve"> before cooling down again later in the century. This is termed ‘overshoot’ by climate scientists. </w:t>
      </w:r>
    </w:p>
    <w:p w14:paraId="5473AA4D" w14:textId="77777777" w:rsidR="00F03A47" w:rsidRDefault="00F03A47" w:rsidP="00F03A47">
      <w:pPr>
        <w:spacing w:after="240" w:line="276" w:lineRule="auto"/>
      </w:pPr>
      <w:r>
        <w:t>T</w:t>
      </w:r>
      <w:r w:rsidRPr="00586D2D">
        <w:t>he</w:t>
      </w:r>
      <w:r>
        <w:t xml:space="preserve"> </w:t>
      </w:r>
      <w:r w:rsidRPr="00586D2D">
        <w:t>pathways</w:t>
      </w:r>
      <w:r>
        <w:t xml:space="preserve"> </w:t>
      </w:r>
      <w:r w:rsidRPr="00586D2D">
        <w:t>with</w:t>
      </w:r>
      <w:r>
        <w:t xml:space="preserve"> </w:t>
      </w:r>
      <w:r w:rsidRPr="00586D2D">
        <w:t>little</w:t>
      </w:r>
      <w:r>
        <w:t xml:space="preserve"> </w:t>
      </w:r>
      <w:r w:rsidRPr="00586D2D">
        <w:t>or</w:t>
      </w:r>
      <w:r>
        <w:t xml:space="preserve"> </w:t>
      </w:r>
      <w:r w:rsidRPr="00586D2D">
        <w:t>no</w:t>
      </w:r>
      <w:r>
        <w:t xml:space="preserve"> </w:t>
      </w:r>
      <w:r w:rsidRPr="00586D2D">
        <w:t>overshoot</w:t>
      </w:r>
      <w:r>
        <w:t xml:space="preserve"> are </w:t>
      </w:r>
      <w:r w:rsidRPr="00586D2D">
        <w:t>the</w:t>
      </w:r>
      <w:r>
        <w:t xml:space="preserve"> </w:t>
      </w:r>
      <w:r w:rsidRPr="00586D2D">
        <w:t>most</w:t>
      </w:r>
      <w:r>
        <w:t xml:space="preserve"> </w:t>
      </w:r>
      <w:r w:rsidRPr="00586D2D">
        <w:t>likely</w:t>
      </w:r>
      <w:r>
        <w:t xml:space="preserve"> </w:t>
      </w:r>
      <w:r w:rsidRPr="00586D2D">
        <w:t>to</w:t>
      </w:r>
      <w:r>
        <w:t xml:space="preserve"> deliver </w:t>
      </w:r>
      <w:r w:rsidRPr="00586D2D">
        <w:t>the</w:t>
      </w:r>
      <w:r>
        <w:t xml:space="preserve"> </w:t>
      </w:r>
      <w:r w:rsidRPr="00586D2D">
        <w:t>best</w:t>
      </w:r>
      <w:r>
        <w:t xml:space="preserve"> </w:t>
      </w:r>
      <w:r w:rsidRPr="00586D2D">
        <w:t>overall</w:t>
      </w:r>
      <w:r>
        <w:t xml:space="preserve"> </w:t>
      </w:r>
      <w:r w:rsidRPr="00586D2D">
        <w:t>social,</w:t>
      </w:r>
      <w:r>
        <w:t xml:space="preserve"> </w:t>
      </w:r>
      <w:r w:rsidRPr="00586D2D">
        <w:t>economic</w:t>
      </w:r>
      <w:r>
        <w:t xml:space="preserve"> </w:t>
      </w:r>
      <w:r w:rsidRPr="00586D2D">
        <w:t>and</w:t>
      </w:r>
      <w:r>
        <w:t xml:space="preserve"> </w:t>
      </w:r>
      <w:r w:rsidRPr="00586D2D">
        <w:t>environmental</w:t>
      </w:r>
      <w:r>
        <w:t xml:space="preserve"> </w:t>
      </w:r>
      <w:r w:rsidRPr="00586D2D">
        <w:t>outcomes.</w:t>
      </w:r>
      <w:r>
        <w:t xml:space="preserve"> Higher levels of overshoot are associated with more significant climate impacts and adaptation needs. Pathways with higher overshoot also rely on high levels of emissions removal technologies such as carbon capture and storage that may not be feasible</w:t>
      </w:r>
      <w:r w:rsidRPr="00586D2D">
        <w:t>.</w:t>
      </w:r>
      <w:r>
        <w:t xml:space="preserve"> We have therefore chosen to only consider pathways with no or limited overshoot.</w:t>
      </w:r>
    </w:p>
    <w:p w14:paraId="74593758" w14:textId="77777777" w:rsidR="00F03A47" w:rsidRDefault="00F03A47" w:rsidP="00F03A47">
      <w:pPr>
        <w:spacing w:after="240" w:line="276" w:lineRule="auto"/>
      </w:pPr>
      <w:r>
        <w:t>Following these pathways is not a guarantee of limiting warming to 1.5</w:t>
      </w:r>
      <w:r>
        <w:rPr>
          <w:rFonts w:cstheme="minorHAnsi"/>
        </w:rPr>
        <w:t>°C.</w:t>
      </w:r>
      <w:r>
        <w:t xml:space="preserve"> The IPCC selected these pathways as the ones that have a 50-66% chance to limit warming to 1.5</w:t>
      </w:r>
      <w:r>
        <w:rPr>
          <w:rFonts w:cstheme="minorHAnsi"/>
        </w:rPr>
        <w:t>°C. This point is explained further in the following section.</w:t>
      </w:r>
    </w:p>
    <w:p w14:paraId="1DAD0FF9" w14:textId="77777777" w:rsidR="00F03A47" w:rsidRDefault="00F03A47" w:rsidP="00F03A47">
      <w:r>
        <w:t xml:space="preserve">For all these pathways, </w:t>
      </w:r>
      <w:r w:rsidRPr="009E4E23">
        <w:t>limiting</w:t>
      </w:r>
      <w:r>
        <w:t xml:space="preserve"> </w:t>
      </w:r>
      <w:r w:rsidRPr="009E4E23">
        <w:t>warming</w:t>
      </w:r>
      <w:r>
        <w:t xml:space="preserve"> </w:t>
      </w:r>
      <w:r w:rsidRPr="009E4E23">
        <w:t>to</w:t>
      </w:r>
      <w:r>
        <w:t xml:space="preserve"> </w:t>
      </w:r>
      <w:r w:rsidRPr="009E4E23">
        <w:t>1.5</w:t>
      </w:r>
      <w:r w:rsidRPr="27EC8C5A">
        <w:t>°</w:t>
      </w:r>
      <w:r w:rsidRPr="009E4E23">
        <w:t>C</w:t>
      </w:r>
      <w:r>
        <w:t xml:space="preserve"> </w:t>
      </w:r>
      <w:r w:rsidRPr="009E4E23">
        <w:t>require</w:t>
      </w:r>
      <w:r>
        <w:t xml:space="preserve">s </w:t>
      </w:r>
      <w:r w:rsidRPr="009E4E23">
        <w:t>rapid</w:t>
      </w:r>
      <w:r>
        <w:t xml:space="preserve"> </w:t>
      </w:r>
      <w:r w:rsidRPr="009E4E23">
        <w:t>emission</w:t>
      </w:r>
      <w:r>
        <w:t xml:space="preserve"> reductions </w:t>
      </w:r>
      <w:r w:rsidRPr="009E4E23">
        <w:t>of</w:t>
      </w:r>
      <w:r>
        <w:t xml:space="preserve"> all </w:t>
      </w:r>
      <w:r w:rsidRPr="009E4E23">
        <w:t>greenhouse</w:t>
      </w:r>
      <w:r>
        <w:t xml:space="preserve"> </w:t>
      </w:r>
      <w:r w:rsidRPr="009E4E23">
        <w:t>gases</w:t>
      </w:r>
      <w:r>
        <w:t xml:space="preserve"> </w:t>
      </w:r>
      <w:r w:rsidRPr="009E4E23">
        <w:t>between</w:t>
      </w:r>
      <w:r>
        <w:t xml:space="preserve"> </w:t>
      </w:r>
      <w:r w:rsidRPr="009E4E23">
        <w:t>now</w:t>
      </w:r>
      <w:r>
        <w:t xml:space="preserve"> </w:t>
      </w:r>
      <w:r w:rsidRPr="009E4E23">
        <w:t>and</w:t>
      </w:r>
      <w:r>
        <w:t xml:space="preserve"> </w:t>
      </w:r>
      <w:r w:rsidRPr="009E4E23">
        <w:t>2030</w:t>
      </w:r>
      <w:r>
        <w:t xml:space="preserve">. They then need somewhat </w:t>
      </w:r>
      <w:r w:rsidRPr="009E4E23">
        <w:t>slower</w:t>
      </w:r>
      <w:r>
        <w:t xml:space="preserve"> </w:t>
      </w:r>
      <w:r w:rsidRPr="009E4E23">
        <w:t>reductions</w:t>
      </w:r>
      <w:r>
        <w:t xml:space="preserve"> out to the end of the century</w:t>
      </w:r>
      <w:r w:rsidRPr="009E4E23">
        <w:t>.</w:t>
      </w:r>
      <w:r>
        <w:t xml:space="preserve"> All these pathways have several other features in common:</w:t>
      </w:r>
    </w:p>
    <w:p w14:paraId="134A979B" w14:textId="77777777" w:rsidR="00F03A47" w:rsidRDefault="00F03A47" w:rsidP="009B509E">
      <w:pPr>
        <w:pStyle w:val="ListParagraph"/>
        <w:numPr>
          <w:ilvl w:val="0"/>
          <w:numId w:val="82"/>
        </w:numPr>
        <w:spacing w:before="0" w:after="160"/>
      </w:pPr>
      <w:r>
        <w:t xml:space="preserve">Emissions of carbon dioxide and other greenhouse gases are modelled to peak in the 2020s and then rapidly reduce through the 2030s and 2040s. </w:t>
      </w:r>
    </w:p>
    <w:p w14:paraId="2FA6C81C" w14:textId="77777777" w:rsidR="00F03A47" w:rsidRPr="00071040" w:rsidRDefault="00F03A47" w:rsidP="009B509E">
      <w:pPr>
        <w:pStyle w:val="ListParagraph"/>
        <w:numPr>
          <w:ilvl w:val="0"/>
          <w:numId w:val="82"/>
        </w:numPr>
        <w:spacing w:before="0" w:after="160"/>
      </w:pPr>
      <w:r>
        <w:t>Nitrous oxide emissions are modelled to have relatively smaller reductions. This reflects fewer options to reduce this gas, as the majority of nitrous oxide emissions come from food production and ongoing emissions are unavoidable as part of feeding the world’s population.</w:t>
      </w:r>
    </w:p>
    <w:p w14:paraId="2C57B9DB" w14:textId="77777777" w:rsidR="00F03A47" w:rsidRDefault="00F03A47" w:rsidP="009B509E">
      <w:pPr>
        <w:pStyle w:val="ListParagraph"/>
        <w:numPr>
          <w:ilvl w:val="0"/>
          <w:numId w:val="82"/>
        </w:numPr>
        <w:spacing w:before="0" w:after="160"/>
      </w:pPr>
      <w:r>
        <w:t>Emissions of methane are modelled to reduce significantly through the next 20 years, but do not reach zero by 2050 or 2100, reflecting the short-lived nature of the gas.</w:t>
      </w:r>
    </w:p>
    <w:p w14:paraId="3C81DEAD" w14:textId="77777777" w:rsidR="00F03A47" w:rsidRDefault="00F03A47" w:rsidP="009B509E">
      <w:pPr>
        <w:pStyle w:val="ListParagraph"/>
        <w:numPr>
          <w:ilvl w:val="0"/>
          <w:numId w:val="82"/>
        </w:numPr>
        <w:spacing w:before="0" w:after="160"/>
      </w:pPr>
      <w:r>
        <w:lastRenderedPageBreak/>
        <w:t>Gross emissions of long-lived greenhouse gases reduce to be near zero by 2050. Most pathways have some remaining gross emissions in 2050 from hard to abate sectors, for example carbon dioxide from cement manufacturing. As a result, carbon dioxide removals are required to ensure net emissions reach and remain at net</w:t>
      </w:r>
      <w:r w:rsidRPr="00934BC2">
        <w:t xml:space="preserve"> </w:t>
      </w:r>
      <w:r>
        <w:t>zero.</w:t>
      </w:r>
    </w:p>
    <w:p w14:paraId="5D485DB3" w14:textId="77777777" w:rsidR="00F03A47" w:rsidRDefault="00F03A47" w:rsidP="00F03A47">
      <w:r>
        <w:t>Most 1.5</w:t>
      </w:r>
      <w:r>
        <w:rPr>
          <w:rFonts w:cstheme="minorHAnsi"/>
        </w:rPr>
        <w:t>°C</w:t>
      </w:r>
      <w:r>
        <w:t xml:space="preserve"> global scenarios also require ongoing levels of carbon dioxide removals beyond keeping emissions to net</w:t>
      </w:r>
      <w:r w:rsidRPr="00934BC2">
        <w:t xml:space="preserve"> </w:t>
      </w:r>
      <w:r>
        <w:t>zero to bring temperatures back to 1.5</w:t>
      </w:r>
      <w:r>
        <w:rPr>
          <w:rFonts w:cstheme="minorHAnsi"/>
        </w:rPr>
        <w:t>°C</w:t>
      </w:r>
      <w:r>
        <w:t xml:space="preserve"> after a temporary overshoot.</w:t>
      </w:r>
    </w:p>
    <w:p w14:paraId="76101C8D" w14:textId="77777777" w:rsidR="006369C8" w:rsidRDefault="00F03A47" w:rsidP="00D54015">
      <w:r w:rsidRPr="00D67598">
        <w:fldChar w:fldCharType="begin"/>
      </w:r>
      <w:r w:rsidRPr="00D67598">
        <w:instrText xml:space="preserve"> REF _Ref54773340 \h  \* MERGEFORMAT </w:instrText>
      </w:r>
      <w:r w:rsidRPr="00D67598">
        <w:fldChar w:fldCharType="separate"/>
      </w:r>
    </w:p>
    <w:p w14:paraId="2F71666A" w14:textId="7F42E861" w:rsidR="00F03A47" w:rsidRDefault="006369C8" w:rsidP="00D54015">
      <w:r w:rsidRPr="00CE7447">
        <w:t>Table 8</w:t>
      </w:r>
      <w:r w:rsidR="00F03A47" w:rsidRPr="00D67598">
        <w:fldChar w:fldCharType="end"/>
      </w:r>
      <w:r w:rsidR="00773656">
        <w:t>1</w:t>
      </w:r>
      <w:r w:rsidR="00F03A47">
        <w:t xml:space="preserve"> </w:t>
      </w:r>
      <w:r w:rsidR="00F03A47" w:rsidRPr="00D67598">
        <w:fldChar w:fldCharType="begin"/>
      </w:r>
      <w:r w:rsidR="00F03A47" w:rsidRPr="00D67598">
        <w:instrText xml:space="preserve"> REF _Ref54773343 \p \h  \* MERGEFORMAT </w:instrText>
      </w:r>
      <w:r w:rsidR="00F03A47" w:rsidRPr="00D67598">
        <w:fldChar w:fldCharType="separate"/>
      </w:r>
      <w:r w:rsidR="00A22B54">
        <w:t>below</w:t>
      </w:r>
      <w:r w:rsidR="00F03A47" w:rsidRPr="00D67598">
        <w:fldChar w:fldCharType="end"/>
      </w:r>
      <w:r w:rsidR="00F03A47">
        <w:t xml:space="preserve"> </w:t>
      </w:r>
      <w:r w:rsidR="00F03A47" w:rsidRPr="00D67598">
        <w:t>shows</w:t>
      </w:r>
      <w:r w:rsidR="00F03A47">
        <w:t xml:space="preserve"> </w:t>
      </w:r>
      <w:r w:rsidR="00F03A47" w:rsidRPr="00D67598">
        <w:t>the</w:t>
      </w:r>
      <w:r w:rsidR="00F03A47">
        <w:t xml:space="preserve"> </w:t>
      </w:r>
      <w:r w:rsidR="00F03A47" w:rsidRPr="00D67598">
        <w:t>modelled</w:t>
      </w:r>
      <w:r w:rsidR="00F03A47">
        <w:t xml:space="preserve"> </w:t>
      </w:r>
      <w:r w:rsidR="00F03A47" w:rsidRPr="00D67598">
        <w:t>global</w:t>
      </w:r>
      <w:r w:rsidR="00F03A47">
        <w:t xml:space="preserve"> </w:t>
      </w:r>
      <w:r w:rsidR="00F03A47" w:rsidRPr="00D67598">
        <w:t>reductions</w:t>
      </w:r>
      <w:r w:rsidR="00F03A47">
        <w:t xml:space="preserve"> </w:t>
      </w:r>
      <w:r w:rsidR="00F03A47" w:rsidRPr="00D67598">
        <w:t>for</w:t>
      </w:r>
      <w:r w:rsidR="00F03A47">
        <w:t xml:space="preserve"> </w:t>
      </w:r>
      <w:r w:rsidR="00F03A47" w:rsidRPr="00D67598">
        <w:t>carbon</w:t>
      </w:r>
      <w:r w:rsidR="00F03A47">
        <w:t xml:space="preserve"> </w:t>
      </w:r>
      <w:r w:rsidR="00F03A47" w:rsidRPr="00D67598">
        <w:t>dioxide</w:t>
      </w:r>
      <w:r w:rsidR="00F03A47">
        <w:t xml:space="preserve"> emissions</w:t>
      </w:r>
      <w:r w:rsidR="00F03A47" w:rsidRPr="00D67598">
        <w:t>,</w:t>
      </w:r>
      <w:r w:rsidR="00F03A47">
        <w:t xml:space="preserve"> </w:t>
      </w:r>
      <w:r w:rsidR="00F03A47" w:rsidRPr="00D67598">
        <w:t>as</w:t>
      </w:r>
      <w:r w:rsidR="00F03A47">
        <w:t xml:space="preserve"> </w:t>
      </w:r>
      <w:r w:rsidR="00F03A47" w:rsidRPr="00D67598">
        <w:t>well</w:t>
      </w:r>
      <w:r w:rsidR="00F03A47">
        <w:t xml:space="preserve"> </w:t>
      </w:r>
      <w:r w:rsidR="00F03A47" w:rsidRPr="00D67598">
        <w:t>as</w:t>
      </w:r>
      <w:r w:rsidR="00F03A47">
        <w:t xml:space="preserve"> </w:t>
      </w:r>
      <w:r w:rsidR="00F03A47" w:rsidRPr="00D67598">
        <w:t>agricultural</w:t>
      </w:r>
      <w:r w:rsidR="00F03A47">
        <w:t xml:space="preserve"> </w:t>
      </w:r>
      <w:r w:rsidR="00F03A47" w:rsidRPr="00D67598">
        <w:t>methane</w:t>
      </w:r>
      <w:r w:rsidR="00F03A47">
        <w:t xml:space="preserve"> </w:t>
      </w:r>
      <w:r w:rsidR="00F03A47" w:rsidRPr="00D67598">
        <w:t>and</w:t>
      </w:r>
      <w:r w:rsidR="00F03A47">
        <w:t xml:space="preserve"> </w:t>
      </w:r>
      <w:r w:rsidR="00F03A47" w:rsidRPr="00D67598">
        <w:t>nitrous</w:t>
      </w:r>
      <w:r w:rsidR="00F03A47">
        <w:t xml:space="preserve"> </w:t>
      </w:r>
      <w:r w:rsidR="00F03A47" w:rsidRPr="00D67598">
        <w:t>oxide</w:t>
      </w:r>
      <w:r w:rsidR="00F03A47">
        <w:t xml:space="preserve"> emissions </w:t>
      </w:r>
      <w:r w:rsidR="00F03A47" w:rsidRPr="00D67598">
        <w:t>in</w:t>
      </w:r>
      <w:r w:rsidR="00F03A47">
        <w:t xml:space="preserve"> </w:t>
      </w:r>
      <w:r w:rsidR="00F03A47" w:rsidRPr="00D67598">
        <w:t>2030,</w:t>
      </w:r>
      <w:r w:rsidR="00F03A47">
        <w:t xml:space="preserve"> </w:t>
      </w:r>
      <w:r w:rsidR="00F03A47" w:rsidRPr="00D67598">
        <w:t>2050</w:t>
      </w:r>
      <w:r w:rsidR="00F03A47">
        <w:t xml:space="preserve"> </w:t>
      </w:r>
      <w:r w:rsidR="00F03A47" w:rsidRPr="00D67598">
        <w:t>and</w:t>
      </w:r>
      <w:r w:rsidR="00F03A47">
        <w:t xml:space="preserve"> </w:t>
      </w:r>
      <w:r w:rsidR="00F03A47" w:rsidRPr="00D67598">
        <w:t>2100.</w:t>
      </w:r>
      <w:r w:rsidR="00F03A47">
        <w:t xml:space="preserve"> </w:t>
      </w:r>
      <w:r w:rsidR="00F03A47" w:rsidRPr="00D67598">
        <w:t>The</w:t>
      </w:r>
      <w:r w:rsidR="00F03A47">
        <w:t xml:space="preserve">se </w:t>
      </w:r>
      <w:r w:rsidR="00F03A47" w:rsidRPr="00D67598">
        <w:t>modelled</w:t>
      </w:r>
      <w:r w:rsidR="00F03A47">
        <w:t xml:space="preserve"> </w:t>
      </w:r>
      <w:r w:rsidR="00F03A47" w:rsidRPr="00D67598">
        <w:t>reductions</w:t>
      </w:r>
      <w:r w:rsidR="00F03A47">
        <w:t xml:space="preserve"> </w:t>
      </w:r>
      <w:r w:rsidR="00F03A47" w:rsidRPr="00D67598">
        <w:t>are</w:t>
      </w:r>
      <w:r w:rsidR="00F03A47">
        <w:t xml:space="preserve"> </w:t>
      </w:r>
      <w:r w:rsidR="00F03A47" w:rsidRPr="00D67598">
        <w:t>averages</w:t>
      </w:r>
      <w:r w:rsidR="00F03A47">
        <w:t xml:space="preserve"> </w:t>
      </w:r>
      <w:r w:rsidR="00F03A47" w:rsidRPr="00D67598">
        <w:t>of</w:t>
      </w:r>
      <w:r w:rsidR="00F03A47">
        <w:t xml:space="preserve"> </w:t>
      </w:r>
      <w:r w:rsidR="00F03A47" w:rsidRPr="00D67598">
        <w:t>the</w:t>
      </w:r>
      <w:r w:rsidR="00F03A47">
        <w:t xml:space="preserve"> </w:t>
      </w:r>
      <w:r w:rsidR="00F03A47" w:rsidRPr="00D67598">
        <w:t>reductions</w:t>
      </w:r>
      <w:r w:rsidR="00F03A47">
        <w:t xml:space="preserve"> </w:t>
      </w:r>
      <w:r w:rsidR="00F03A47" w:rsidRPr="00D67598">
        <w:t>needed</w:t>
      </w:r>
      <w:r w:rsidR="00F03A47">
        <w:t xml:space="preserve"> </w:t>
      </w:r>
      <w:r w:rsidR="00F03A47" w:rsidRPr="00D67598">
        <w:t>by</w:t>
      </w:r>
      <w:r w:rsidR="00F03A47">
        <w:t xml:space="preserve"> </w:t>
      </w:r>
      <w:r w:rsidR="00F03A47" w:rsidRPr="00D67598">
        <w:t>the</w:t>
      </w:r>
      <w:r w:rsidR="00F03A47">
        <w:t xml:space="preserve"> </w:t>
      </w:r>
      <w:r w:rsidR="00F03A47" w:rsidRPr="00D67598">
        <w:t>whole</w:t>
      </w:r>
      <w:r w:rsidR="00F03A47">
        <w:t xml:space="preserve"> </w:t>
      </w:r>
      <w:r w:rsidR="00F03A47" w:rsidRPr="00D67598">
        <w:t>world</w:t>
      </w:r>
      <w:r w:rsidR="00F03A47">
        <w:t xml:space="preserve"> to keep global warming within the 1.5</w:t>
      </w:r>
      <w:r w:rsidR="00F03A47" w:rsidRPr="217C6CC3">
        <w:t>°</w:t>
      </w:r>
      <w:r w:rsidR="00F03A47">
        <w:t>C target with no or limited overshoot</w:t>
      </w:r>
      <w:r w:rsidR="00F03A47" w:rsidRPr="00D67598">
        <w:t>.</w:t>
      </w:r>
      <w:r w:rsidR="00F03A47" w:rsidRPr="00422F03">
        <w:t xml:space="preserve"> </w:t>
      </w:r>
      <w:r w:rsidR="00F03A47">
        <w:t xml:space="preserve">We have used the interquartile range as it excludes more extreme model results that are less likely to be feasible. Note that ‘biogenic methane’ used to specify 2030 and 2050 methane targets for Aotearoa differs from ‘agricultural methane’ as modelled by the IPCC. Biogenic methane also includes emissions from the waste sector. </w:t>
      </w:r>
      <w:bookmarkStart w:id="301" w:name="_Ref50895394"/>
      <w:bookmarkStart w:id="302" w:name="_Ref54773340"/>
      <w:bookmarkStart w:id="303" w:name="_Ref54773343"/>
      <w:bookmarkStart w:id="304" w:name="_Hlk54004699"/>
    </w:p>
    <w:p w14:paraId="2C72B91D" w14:textId="29543E83" w:rsidR="00F03A47" w:rsidRPr="00CE7447" w:rsidRDefault="00F03A47" w:rsidP="00F03A47">
      <w:pPr>
        <w:pStyle w:val="Caption"/>
      </w:pPr>
      <w:r w:rsidRPr="00CE7447">
        <w:t>Table 8</w:t>
      </w:r>
      <w:bookmarkEnd w:id="301"/>
      <w:bookmarkEnd w:id="302"/>
      <w:r w:rsidRPr="00CE7447">
        <w:t>.</w:t>
      </w:r>
      <w:r w:rsidR="00773656">
        <w:t>1</w:t>
      </w:r>
      <w:r w:rsidRPr="00CE7447">
        <w:t>: Reductions in greenhouse gas emissions in IPCC model pathways with no or limited overshoot (interquartile range)</w:t>
      </w:r>
      <w:bookmarkEnd w:id="303"/>
    </w:p>
    <w:tbl>
      <w:tblPr>
        <w:tblStyle w:val="GridTable1Light"/>
        <w:tblW w:w="5000" w:type="pct"/>
        <w:tblLook w:val="04A0" w:firstRow="1" w:lastRow="0" w:firstColumn="1" w:lastColumn="0" w:noHBand="0" w:noVBand="1"/>
      </w:tblPr>
      <w:tblGrid>
        <w:gridCol w:w="3779"/>
        <w:gridCol w:w="1705"/>
        <w:gridCol w:w="1734"/>
        <w:gridCol w:w="1956"/>
      </w:tblGrid>
      <w:tr w:rsidR="00F03A47" w:rsidRPr="007C7A63" w14:paraId="5F4BA8B3" w14:textId="77777777" w:rsidTr="007602C9">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060" w:type="pct"/>
            <w:vMerge w:val="restart"/>
            <w:tcBorders>
              <w:bottom w:val="single" w:sz="12" w:space="0" w:color="auto"/>
              <w:right w:val="single" w:sz="4" w:space="0" w:color="auto"/>
            </w:tcBorders>
          </w:tcPr>
          <w:p w14:paraId="483467C0" w14:textId="77777777" w:rsidR="00F03A47" w:rsidRPr="007C7A63" w:rsidRDefault="00F03A47" w:rsidP="007602C9">
            <w:pPr>
              <w:keepNext/>
              <w:spacing w:after="120" w:line="259" w:lineRule="auto"/>
            </w:pPr>
          </w:p>
        </w:tc>
        <w:tc>
          <w:tcPr>
            <w:tcW w:w="2940" w:type="pct"/>
            <w:gridSpan w:val="3"/>
            <w:tcBorders>
              <w:top w:val="single" w:sz="4" w:space="0" w:color="auto"/>
              <w:left w:val="single" w:sz="4" w:space="0" w:color="auto"/>
              <w:bottom w:val="single" w:sz="4" w:space="0" w:color="auto"/>
              <w:right w:val="single" w:sz="4" w:space="0" w:color="auto"/>
            </w:tcBorders>
          </w:tcPr>
          <w:p w14:paraId="1D7CFEE7" w14:textId="77777777" w:rsidR="00F03A47" w:rsidRPr="007C7A63" w:rsidRDefault="00F03A47" w:rsidP="007602C9">
            <w:pPr>
              <w:keepNext/>
              <w:spacing w:after="120"/>
              <w:jc w:val="center"/>
              <w:cnfStyle w:val="100000000000" w:firstRow="1" w:lastRow="0" w:firstColumn="0" w:lastColumn="0" w:oddVBand="0" w:evenVBand="0" w:oddHBand="0" w:evenHBand="0" w:firstRowFirstColumn="0" w:firstRowLastColumn="0" w:lastRowFirstColumn="0" w:lastRowLastColumn="0"/>
            </w:pPr>
            <w:r w:rsidRPr="007C7A63">
              <w:t>Percentage change relative to 2010</w:t>
            </w:r>
          </w:p>
        </w:tc>
      </w:tr>
      <w:tr w:rsidR="00F03A47" w:rsidRPr="007C7A63" w14:paraId="7971A8E5" w14:textId="77777777" w:rsidTr="007602C9">
        <w:trPr>
          <w:trHeight w:val="311"/>
        </w:trPr>
        <w:tc>
          <w:tcPr>
            <w:cnfStyle w:val="001000000000" w:firstRow="0" w:lastRow="0" w:firstColumn="1" w:lastColumn="0" w:oddVBand="0" w:evenVBand="0" w:oddHBand="0" w:evenHBand="0" w:firstRowFirstColumn="0" w:firstRowLastColumn="0" w:lastRowFirstColumn="0" w:lastRowLastColumn="0"/>
            <w:tcW w:w="2060" w:type="pct"/>
            <w:vMerge/>
            <w:tcBorders>
              <w:top w:val="single" w:sz="12" w:space="0" w:color="666666" w:themeColor="text1" w:themeTint="99"/>
              <w:bottom w:val="single" w:sz="12" w:space="0" w:color="auto"/>
              <w:right w:val="single" w:sz="4" w:space="0" w:color="auto"/>
            </w:tcBorders>
          </w:tcPr>
          <w:p w14:paraId="7493D17C" w14:textId="77777777" w:rsidR="00F03A47" w:rsidRPr="007C7A63" w:rsidRDefault="00F03A47" w:rsidP="007602C9">
            <w:pPr>
              <w:keepNext/>
              <w:spacing w:after="120" w:line="259" w:lineRule="auto"/>
            </w:pPr>
          </w:p>
        </w:tc>
        <w:tc>
          <w:tcPr>
            <w:tcW w:w="929" w:type="pct"/>
            <w:tcBorders>
              <w:top w:val="single" w:sz="4" w:space="0" w:color="auto"/>
              <w:left w:val="single" w:sz="4" w:space="0" w:color="auto"/>
              <w:bottom w:val="single" w:sz="12" w:space="0" w:color="auto"/>
              <w:right w:val="single" w:sz="4" w:space="0" w:color="auto"/>
            </w:tcBorders>
          </w:tcPr>
          <w:p w14:paraId="65D888EA" w14:textId="77777777" w:rsidR="00F03A47" w:rsidRPr="007C7A63" w:rsidRDefault="00F03A47" w:rsidP="007602C9">
            <w:pPr>
              <w:keepNext/>
              <w:spacing w:after="120" w:line="259" w:lineRule="auto"/>
              <w:jc w:val="center"/>
              <w:cnfStyle w:val="000000000000" w:firstRow="0" w:lastRow="0" w:firstColumn="0" w:lastColumn="0" w:oddVBand="0" w:evenVBand="0" w:oddHBand="0" w:evenHBand="0" w:firstRowFirstColumn="0" w:firstRowLastColumn="0" w:lastRowFirstColumn="0" w:lastRowLastColumn="0"/>
            </w:pPr>
            <w:r w:rsidRPr="007C7A63">
              <w:t>2030</w:t>
            </w:r>
          </w:p>
        </w:tc>
        <w:tc>
          <w:tcPr>
            <w:tcW w:w="945" w:type="pct"/>
            <w:tcBorders>
              <w:top w:val="single" w:sz="4" w:space="0" w:color="auto"/>
              <w:left w:val="single" w:sz="4" w:space="0" w:color="auto"/>
              <w:bottom w:val="single" w:sz="12" w:space="0" w:color="auto"/>
              <w:right w:val="single" w:sz="4" w:space="0" w:color="auto"/>
            </w:tcBorders>
          </w:tcPr>
          <w:p w14:paraId="3F09776A" w14:textId="77777777" w:rsidR="00F03A47" w:rsidRPr="007C7A63" w:rsidRDefault="00F03A47" w:rsidP="007602C9">
            <w:pPr>
              <w:keepNext/>
              <w:spacing w:after="120" w:line="259" w:lineRule="auto"/>
              <w:jc w:val="center"/>
              <w:cnfStyle w:val="000000000000" w:firstRow="0" w:lastRow="0" w:firstColumn="0" w:lastColumn="0" w:oddVBand="0" w:evenVBand="0" w:oddHBand="0" w:evenHBand="0" w:firstRowFirstColumn="0" w:firstRowLastColumn="0" w:lastRowFirstColumn="0" w:lastRowLastColumn="0"/>
            </w:pPr>
            <w:r w:rsidRPr="007C7A63">
              <w:t>2050</w:t>
            </w:r>
          </w:p>
        </w:tc>
        <w:tc>
          <w:tcPr>
            <w:tcW w:w="1066" w:type="pct"/>
            <w:tcBorders>
              <w:top w:val="single" w:sz="4" w:space="0" w:color="auto"/>
              <w:left w:val="single" w:sz="4" w:space="0" w:color="auto"/>
              <w:bottom w:val="single" w:sz="12" w:space="0" w:color="auto"/>
              <w:right w:val="single" w:sz="4" w:space="0" w:color="auto"/>
            </w:tcBorders>
          </w:tcPr>
          <w:p w14:paraId="6936E164" w14:textId="77777777" w:rsidR="00F03A47" w:rsidRPr="007C7A63" w:rsidRDefault="00F03A47" w:rsidP="007602C9">
            <w:pPr>
              <w:keepNext/>
              <w:spacing w:after="120"/>
              <w:jc w:val="center"/>
              <w:cnfStyle w:val="000000000000" w:firstRow="0" w:lastRow="0" w:firstColumn="0" w:lastColumn="0" w:oddVBand="0" w:evenVBand="0" w:oddHBand="0" w:evenHBand="0" w:firstRowFirstColumn="0" w:firstRowLastColumn="0" w:lastRowFirstColumn="0" w:lastRowLastColumn="0"/>
            </w:pPr>
            <w:r w:rsidRPr="007C7A63">
              <w:t>2100</w:t>
            </w:r>
          </w:p>
        </w:tc>
      </w:tr>
      <w:tr w:rsidR="00F03A47" w:rsidRPr="007C7A63" w14:paraId="29A692C2" w14:textId="77777777" w:rsidTr="007602C9">
        <w:tc>
          <w:tcPr>
            <w:cnfStyle w:val="001000000000" w:firstRow="0" w:lastRow="0" w:firstColumn="1" w:lastColumn="0" w:oddVBand="0" w:evenVBand="0" w:oddHBand="0" w:evenHBand="0" w:firstRowFirstColumn="0" w:firstRowLastColumn="0" w:lastRowFirstColumn="0" w:lastRowLastColumn="0"/>
            <w:tcW w:w="2060" w:type="pct"/>
            <w:tcBorders>
              <w:top w:val="single" w:sz="12" w:space="0" w:color="auto"/>
            </w:tcBorders>
          </w:tcPr>
          <w:p w14:paraId="186944CB" w14:textId="77777777" w:rsidR="00F03A47" w:rsidRPr="007C7A63" w:rsidRDefault="00F03A47" w:rsidP="007602C9">
            <w:pPr>
              <w:keepNext/>
              <w:spacing w:after="120" w:line="259" w:lineRule="auto"/>
            </w:pPr>
            <w:r w:rsidRPr="007C7A63">
              <w:t>Net carbon dioxide emissions</w:t>
            </w:r>
          </w:p>
        </w:tc>
        <w:tc>
          <w:tcPr>
            <w:tcW w:w="929" w:type="pct"/>
            <w:tcBorders>
              <w:top w:val="single" w:sz="12" w:space="0" w:color="auto"/>
            </w:tcBorders>
          </w:tcPr>
          <w:p w14:paraId="1980CCEE" w14:textId="77777777" w:rsidR="00F03A47" w:rsidRPr="007C7A63" w:rsidRDefault="00F03A47" w:rsidP="007602C9">
            <w:pPr>
              <w:keepNext/>
              <w:spacing w:after="120" w:line="259" w:lineRule="auto"/>
              <w:jc w:val="center"/>
              <w:cnfStyle w:val="000000000000" w:firstRow="0" w:lastRow="0" w:firstColumn="0" w:lastColumn="0" w:oddVBand="0" w:evenVBand="0" w:oddHBand="0" w:evenHBand="0" w:firstRowFirstColumn="0" w:firstRowLastColumn="0" w:lastRowFirstColumn="0" w:lastRowLastColumn="0"/>
            </w:pPr>
            <w:r w:rsidRPr="007C7A63">
              <w:t>-40 to -58%</w:t>
            </w:r>
          </w:p>
        </w:tc>
        <w:tc>
          <w:tcPr>
            <w:tcW w:w="945" w:type="pct"/>
            <w:tcBorders>
              <w:top w:val="single" w:sz="12" w:space="0" w:color="auto"/>
            </w:tcBorders>
          </w:tcPr>
          <w:p w14:paraId="7D428E3D" w14:textId="77777777" w:rsidR="00F03A47" w:rsidRPr="007C7A63" w:rsidRDefault="00F03A47" w:rsidP="007602C9">
            <w:pPr>
              <w:keepNext/>
              <w:spacing w:after="120" w:line="259" w:lineRule="auto"/>
              <w:jc w:val="center"/>
              <w:cnfStyle w:val="000000000000" w:firstRow="0" w:lastRow="0" w:firstColumn="0" w:lastColumn="0" w:oddVBand="0" w:evenVBand="0" w:oddHBand="0" w:evenHBand="0" w:firstRowFirstColumn="0" w:firstRowLastColumn="0" w:lastRowFirstColumn="0" w:lastRowLastColumn="0"/>
            </w:pPr>
            <w:r w:rsidRPr="007C7A63">
              <w:t>-94 to -107%</w:t>
            </w:r>
          </w:p>
        </w:tc>
        <w:tc>
          <w:tcPr>
            <w:tcW w:w="1066" w:type="pct"/>
            <w:tcBorders>
              <w:top w:val="single" w:sz="12" w:space="0" w:color="auto"/>
            </w:tcBorders>
          </w:tcPr>
          <w:p w14:paraId="7D57BACF" w14:textId="77777777" w:rsidR="00F03A47" w:rsidRPr="007C7A63" w:rsidRDefault="00F03A47" w:rsidP="007602C9">
            <w:pPr>
              <w:keepNext/>
              <w:spacing w:after="120"/>
              <w:jc w:val="center"/>
              <w:cnfStyle w:val="000000000000" w:firstRow="0" w:lastRow="0" w:firstColumn="0" w:lastColumn="0" w:oddVBand="0" w:evenVBand="0" w:oddHBand="0" w:evenHBand="0" w:firstRowFirstColumn="0" w:firstRowLastColumn="0" w:lastRowFirstColumn="0" w:lastRowLastColumn="0"/>
            </w:pPr>
            <w:r w:rsidRPr="007C7A63">
              <w:t>-121 to -136%</w:t>
            </w:r>
          </w:p>
        </w:tc>
      </w:tr>
      <w:tr w:rsidR="00F03A47" w:rsidRPr="007C7A63" w14:paraId="50A46687" w14:textId="77777777" w:rsidTr="007602C9">
        <w:tc>
          <w:tcPr>
            <w:cnfStyle w:val="001000000000" w:firstRow="0" w:lastRow="0" w:firstColumn="1" w:lastColumn="0" w:oddVBand="0" w:evenVBand="0" w:oddHBand="0" w:evenHBand="0" w:firstRowFirstColumn="0" w:firstRowLastColumn="0" w:lastRowFirstColumn="0" w:lastRowLastColumn="0"/>
            <w:tcW w:w="2060" w:type="pct"/>
          </w:tcPr>
          <w:p w14:paraId="7658E42E" w14:textId="77777777" w:rsidR="00F03A47" w:rsidRPr="007C7A63" w:rsidRDefault="00F03A47" w:rsidP="007602C9">
            <w:pPr>
              <w:keepNext/>
              <w:spacing w:after="120" w:line="259" w:lineRule="auto"/>
            </w:pPr>
            <w:r w:rsidRPr="007C7A63">
              <w:t>Agricultural methane emissions</w:t>
            </w:r>
          </w:p>
        </w:tc>
        <w:tc>
          <w:tcPr>
            <w:tcW w:w="929" w:type="pct"/>
          </w:tcPr>
          <w:p w14:paraId="4B36B265" w14:textId="77777777" w:rsidR="00F03A47" w:rsidRPr="007C7A63" w:rsidRDefault="00F03A47" w:rsidP="007602C9">
            <w:pPr>
              <w:keepNext/>
              <w:spacing w:after="120" w:line="259" w:lineRule="auto"/>
              <w:jc w:val="center"/>
              <w:cnfStyle w:val="000000000000" w:firstRow="0" w:lastRow="0" w:firstColumn="0" w:lastColumn="0" w:oddVBand="0" w:evenVBand="0" w:oddHBand="0" w:evenHBand="0" w:firstRowFirstColumn="0" w:firstRowLastColumn="0" w:lastRowFirstColumn="0" w:lastRowLastColumn="0"/>
            </w:pPr>
            <w:r w:rsidRPr="007C7A63">
              <w:t>-11 to -30%</w:t>
            </w:r>
          </w:p>
        </w:tc>
        <w:tc>
          <w:tcPr>
            <w:tcW w:w="945" w:type="pct"/>
          </w:tcPr>
          <w:p w14:paraId="0C66A5EF" w14:textId="77777777" w:rsidR="00F03A47" w:rsidRPr="007C7A63" w:rsidRDefault="00F03A47" w:rsidP="007602C9">
            <w:pPr>
              <w:keepNext/>
              <w:spacing w:after="120" w:line="259" w:lineRule="auto"/>
              <w:jc w:val="center"/>
              <w:cnfStyle w:val="000000000000" w:firstRow="0" w:lastRow="0" w:firstColumn="0" w:lastColumn="0" w:oddVBand="0" w:evenVBand="0" w:oddHBand="0" w:evenHBand="0" w:firstRowFirstColumn="0" w:firstRowLastColumn="0" w:lastRowFirstColumn="0" w:lastRowLastColumn="0"/>
            </w:pPr>
            <w:r w:rsidRPr="007C7A63">
              <w:t>-24 to -47%</w:t>
            </w:r>
          </w:p>
        </w:tc>
        <w:tc>
          <w:tcPr>
            <w:tcW w:w="1066" w:type="pct"/>
          </w:tcPr>
          <w:p w14:paraId="58F8821D" w14:textId="77777777" w:rsidR="00F03A47" w:rsidRPr="007C7A63" w:rsidRDefault="00F03A47" w:rsidP="007602C9">
            <w:pPr>
              <w:keepNext/>
              <w:spacing w:after="120"/>
              <w:jc w:val="center"/>
              <w:cnfStyle w:val="000000000000" w:firstRow="0" w:lastRow="0" w:firstColumn="0" w:lastColumn="0" w:oddVBand="0" w:evenVBand="0" w:oddHBand="0" w:evenHBand="0" w:firstRowFirstColumn="0" w:firstRowLastColumn="0" w:lastRowFirstColumn="0" w:lastRowLastColumn="0"/>
            </w:pPr>
            <w:r w:rsidRPr="007C7A63">
              <w:t>-37 to -60%</w:t>
            </w:r>
          </w:p>
        </w:tc>
      </w:tr>
      <w:tr w:rsidR="00F03A47" w:rsidRPr="007C7A63" w14:paraId="3F42672D" w14:textId="77777777" w:rsidTr="007602C9">
        <w:tc>
          <w:tcPr>
            <w:cnfStyle w:val="001000000000" w:firstRow="0" w:lastRow="0" w:firstColumn="1" w:lastColumn="0" w:oddVBand="0" w:evenVBand="0" w:oddHBand="0" w:evenHBand="0" w:firstRowFirstColumn="0" w:firstRowLastColumn="0" w:lastRowFirstColumn="0" w:lastRowLastColumn="0"/>
            <w:tcW w:w="2060" w:type="pct"/>
          </w:tcPr>
          <w:p w14:paraId="4DFE3AA2" w14:textId="77777777" w:rsidR="00F03A47" w:rsidRPr="007C7A63" w:rsidRDefault="00F03A47" w:rsidP="007602C9">
            <w:pPr>
              <w:spacing w:after="120" w:line="259" w:lineRule="auto"/>
            </w:pPr>
            <w:r w:rsidRPr="007C7A63">
              <w:t>Agricultural nitrous oxide emissions</w:t>
            </w:r>
          </w:p>
        </w:tc>
        <w:tc>
          <w:tcPr>
            <w:tcW w:w="929" w:type="pct"/>
          </w:tcPr>
          <w:p w14:paraId="2D1C40C7" w14:textId="77777777" w:rsidR="00F03A47" w:rsidRPr="007C7A63" w:rsidRDefault="00F03A47" w:rsidP="007602C9">
            <w:pPr>
              <w:spacing w:after="120" w:line="259" w:lineRule="auto"/>
              <w:jc w:val="center"/>
              <w:cnfStyle w:val="000000000000" w:firstRow="0" w:lastRow="0" w:firstColumn="0" w:lastColumn="0" w:oddVBand="0" w:evenVBand="0" w:oddHBand="0" w:evenHBand="0" w:firstRowFirstColumn="0" w:firstRowLastColumn="0" w:lastRowFirstColumn="0" w:lastRowLastColumn="0"/>
            </w:pPr>
            <w:r w:rsidRPr="007C7A63">
              <w:t>+3% to -21%</w:t>
            </w:r>
          </w:p>
        </w:tc>
        <w:tc>
          <w:tcPr>
            <w:tcW w:w="945" w:type="pct"/>
          </w:tcPr>
          <w:p w14:paraId="2FEDE9A9" w14:textId="77777777" w:rsidR="00F03A47" w:rsidRPr="007C7A63" w:rsidRDefault="00F03A47" w:rsidP="007602C9">
            <w:pPr>
              <w:spacing w:after="120" w:line="259" w:lineRule="auto"/>
              <w:jc w:val="center"/>
              <w:cnfStyle w:val="000000000000" w:firstRow="0" w:lastRow="0" w:firstColumn="0" w:lastColumn="0" w:oddVBand="0" w:evenVBand="0" w:oddHBand="0" w:evenHBand="0" w:firstRowFirstColumn="0" w:firstRowLastColumn="0" w:lastRowFirstColumn="0" w:lastRowLastColumn="0"/>
            </w:pPr>
            <w:r w:rsidRPr="007C7A63">
              <w:t>+1% to -26%</w:t>
            </w:r>
          </w:p>
        </w:tc>
        <w:tc>
          <w:tcPr>
            <w:tcW w:w="1066" w:type="pct"/>
          </w:tcPr>
          <w:p w14:paraId="5529CA4A" w14:textId="77777777" w:rsidR="00F03A47" w:rsidRPr="007C7A63" w:rsidRDefault="00F03A47" w:rsidP="007602C9">
            <w:pPr>
              <w:keepNext/>
              <w:spacing w:after="120"/>
              <w:jc w:val="center"/>
              <w:cnfStyle w:val="000000000000" w:firstRow="0" w:lastRow="0" w:firstColumn="0" w:lastColumn="0" w:oddVBand="0" w:evenVBand="0" w:oddHBand="0" w:evenHBand="0" w:firstRowFirstColumn="0" w:firstRowLastColumn="0" w:lastRowFirstColumn="0" w:lastRowLastColumn="0"/>
            </w:pPr>
            <w:r w:rsidRPr="007C7A63">
              <w:t>-6 to -39%</w:t>
            </w:r>
          </w:p>
        </w:tc>
      </w:tr>
    </w:tbl>
    <w:bookmarkEnd w:id="304"/>
    <w:p w14:paraId="717D1192" w14:textId="77777777" w:rsidR="00F03A47" w:rsidRPr="00CD1431" w:rsidRDefault="00F03A47" w:rsidP="00F03A47">
      <w:pPr>
        <w:pStyle w:val="Caption"/>
        <w:jc w:val="right"/>
        <w:rPr>
          <w:i w:val="0"/>
        </w:rPr>
      </w:pPr>
      <w:r w:rsidRPr="00CD1431">
        <w:rPr>
          <w:i w:val="0"/>
        </w:rPr>
        <w:t>Source: IPCC, Special Report on 1.5ᵒC, Summary for Policymakers, Table SPM.3b. IPCC model results.</w:t>
      </w:r>
    </w:p>
    <w:p w14:paraId="66180147" w14:textId="22D3332F" w:rsidR="00F03A47" w:rsidRDefault="00F03A47" w:rsidP="00F03A47">
      <w:pPr>
        <w:rPr>
          <w:rStyle w:val="eop"/>
          <w:rFonts w:ascii="Calibri" w:hAnsi="Calibri" w:cs="Calibri"/>
        </w:rPr>
      </w:pPr>
      <w:r w:rsidRPr="00571B85">
        <w:t>There</w:t>
      </w:r>
      <w:r>
        <w:t xml:space="preserve"> </w:t>
      </w:r>
      <w:r w:rsidRPr="00571B85">
        <w:t>are</w:t>
      </w:r>
      <w:r>
        <w:t xml:space="preserve"> </w:t>
      </w:r>
      <w:r w:rsidRPr="00571B85">
        <w:t>questions</w:t>
      </w:r>
      <w:r>
        <w:t xml:space="preserve"> </w:t>
      </w:r>
      <w:r w:rsidRPr="00571B85">
        <w:t>about</w:t>
      </w:r>
      <w:r>
        <w:t xml:space="preserve"> </w:t>
      </w:r>
      <w:r w:rsidRPr="00571B85">
        <w:t>whether</w:t>
      </w:r>
      <w:r>
        <w:t xml:space="preserve"> </w:t>
      </w:r>
      <w:r w:rsidRPr="00571B85">
        <w:t>the</w:t>
      </w:r>
      <w:r>
        <w:t xml:space="preserve"> </w:t>
      </w:r>
      <w:r w:rsidRPr="00571B85">
        <w:t>globe</w:t>
      </w:r>
      <w:r>
        <w:t xml:space="preserve"> </w:t>
      </w:r>
      <w:r w:rsidRPr="00571B85">
        <w:t>can</w:t>
      </w:r>
      <w:r>
        <w:t xml:space="preserve"> </w:t>
      </w:r>
      <w:r w:rsidRPr="00571B85">
        <w:t>still</w:t>
      </w:r>
      <w:r>
        <w:t xml:space="preserve"> </w:t>
      </w:r>
      <w:r w:rsidRPr="00571B85">
        <w:t>limit</w:t>
      </w:r>
      <w:r>
        <w:t xml:space="preserve"> </w:t>
      </w:r>
      <w:r w:rsidRPr="00571B85">
        <w:t>w</w:t>
      </w:r>
      <w:r w:rsidRPr="00571B85">
        <w:rPr>
          <w:rStyle w:val="normaltextrun"/>
          <w:rFonts w:ascii="Calibri" w:hAnsi="Calibri" w:cs="Calibri"/>
        </w:rPr>
        <w:t>arming</w:t>
      </w:r>
      <w:r>
        <w:rPr>
          <w:rStyle w:val="normaltextrun"/>
          <w:rFonts w:ascii="Calibri" w:hAnsi="Calibri" w:cs="Calibri"/>
        </w:rPr>
        <w:t xml:space="preserve"> </w:t>
      </w:r>
      <w:r w:rsidRPr="00571B85">
        <w:rPr>
          <w:rStyle w:val="normaltextrun"/>
          <w:rFonts w:ascii="Calibri" w:hAnsi="Calibri" w:cs="Calibri"/>
        </w:rPr>
        <w:t>to</w:t>
      </w:r>
      <w:r>
        <w:rPr>
          <w:rStyle w:val="normaltextrun"/>
          <w:rFonts w:ascii="Calibri" w:hAnsi="Calibri" w:cs="Calibri"/>
        </w:rPr>
        <w:t xml:space="preserve"> </w:t>
      </w:r>
      <w:r w:rsidRPr="00571B85">
        <w:rPr>
          <w:rStyle w:val="normaltextrun"/>
          <w:rFonts w:ascii="Calibri" w:hAnsi="Calibri" w:cs="Calibri"/>
        </w:rPr>
        <w:t>1.5°C.</w:t>
      </w:r>
      <w:r>
        <w:rPr>
          <w:rStyle w:val="normaltextrun"/>
          <w:rFonts w:ascii="Calibri" w:hAnsi="Calibri" w:cs="Calibri"/>
        </w:rPr>
        <w:t xml:space="preserve"> </w:t>
      </w:r>
      <w:r w:rsidRPr="00571B85">
        <w:rPr>
          <w:rStyle w:val="normaltextrun"/>
          <w:rFonts w:ascii="Calibri" w:hAnsi="Calibri" w:cs="Calibri"/>
        </w:rPr>
        <w:t>The</w:t>
      </w:r>
      <w:r>
        <w:rPr>
          <w:rStyle w:val="normaltextrun"/>
          <w:rFonts w:ascii="Calibri" w:hAnsi="Calibri" w:cs="Calibri"/>
        </w:rPr>
        <w:t xml:space="preserve"> </w:t>
      </w:r>
      <w:r w:rsidRPr="00571B85">
        <w:rPr>
          <w:rStyle w:val="normaltextrun"/>
          <w:rFonts w:ascii="Calibri" w:hAnsi="Calibri" w:cs="Calibri"/>
        </w:rPr>
        <w:t>longer</w:t>
      </w:r>
      <w:r>
        <w:rPr>
          <w:rStyle w:val="normaltextrun"/>
          <w:rFonts w:ascii="Calibri" w:hAnsi="Calibri" w:cs="Calibri"/>
        </w:rPr>
        <w:t xml:space="preserve"> </w:t>
      </w:r>
      <w:r w:rsidRPr="00571B85">
        <w:rPr>
          <w:rStyle w:val="normaltextrun"/>
          <w:rFonts w:ascii="Calibri" w:hAnsi="Calibri" w:cs="Calibri"/>
        </w:rPr>
        <w:t>countries</w:t>
      </w:r>
      <w:r>
        <w:rPr>
          <w:rStyle w:val="normaltextrun"/>
          <w:rFonts w:ascii="Calibri" w:hAnsi="Calibri" w:cs="Calibri"/>
        </w:rPr>
        <w:t xml:space="preserve"> </w:t>
      </w:r>
      <w:r w:rsidRPr="00571B85">
        <w:rPr>
          <w:rStyle w:val="normaltextrun"/>
          <w:rFonts w:ascii="Calibri" w:hAnsi="Calibri" w:cs="Calibri"/>
        </w:rPr>
        <w:t>wait</w:t>
      </w:r>
      <w:r>
        <w:rPr>
          <w:rStyle w:val="normaltextrun"/>
          <w:rFonts w:ascii="Calibri" w:hAnsi="Calibri" w:cs="Calibri"/>
        </w:rPr>
        <w:t xml:space="preserve"> </w:t>
      </w:r>
      <w:r w:rsidRPr="00571B85">
        <w:rPr>
          <w:rStyle w:val="normaltextrun"/>
          <w:rFonts w:ascii="Calibri" w:hAnsi="Calibri" w:cs="Calibri"/>
        </w:rPr>
        <w:t>to</w:t>
      </w:r>
      <w:r>
        <w:rPr>
          <w:rStyle w:val="normaltextrun"/>
          <w:rFonts w:ascii="Calibri" w:hAnsi="Calibri" w:cs="Calibri"/>
        </w:rPr>
        <w:t xml:space="preserve"> </w:t>
      </w:r>
      <w:r w:rsidRPr="00571B85">
        <w:rPr>
          <w:rStyle w:val="normaltextrun"/>
          <w:rFonts w:ascii="Calibri" w:hAnsi="Calibri" w:cs="Calibri"/>
        </w:rPr>
        <w:t>act,</w:t>
      </w:r>
      <w:r>
        <w:rPr>
          <w:rStyle w:val="normaltextrun"/>
          <w:rFonts w:ascii="Calibri" w:hAnsi="Calibri" w:cs="Calibri"/>
        </w:rPr>
        <w:t xml:space="preserve"> </w:t>
      </w:r>
      <w:r w:rsidRPr="00571B85">
        <w:rPr>
          <w:rStyle w:val="normaltextrun"/>
          <w:rFonts w:ascii="Calibri" w:hAnsi="Calibri" w:cs="Calibri"/>
        </w:rPr>
        <w:t>the</w:t>
      </w:r>
      <w:r>
        <w:rPr>
          <w:rStyle w:val="normaltextrun"/>
          <w:rFonts w:ascii="Calibri" w:hAnsi="Calibri" w:cs="Calibri"/>
        </w:rPr>
        <w:t xml:space="preserve"> </w:t>
      </w:r>
      <w:r w:rsidRPr="00571B85">
        <w:rPr>
          <w:rStyle w:val="normaltextrun"/>
          <w:rFonts w:ascii="Calibri" w:hAnsi="Calibri" w:cs="Calibri"/>
        </w:rPr>
        <w:t>harder</w:t>
      </w:r>
      <w:r>
        <w:rPr>
          <w:rStyle w:val="normaltextrun"/>
          <w:rFonts w:ascii="Calibri" w:hAnsi="Calibri" w:cs="Calibri"/>
        </w:rPr>
        <w:t xml:space="preserve"> </w:t>
      </w:r>
      <w:r w:rsidRPr="00571B85">
        <w:rPr>
          <w:rStyle w:val="normaltextrun"/>
          <w:rFonts w:ascii="Calibri" w:hAnsi="Calibri" w:cs="Calibri"/>
        </w:rPr>
        <w:t>it</w:t>
      </w:r>
      <w:r>
        <w:rPr>
          <w:rStyle w:val="normaltextrun"/>
          <w:rFonts w:ascii="Calibri" w:hAnsi="Calibri" w:cs="Calibri"/>
        </w:rPr>
        <w:t xml:space="preserve"> </w:t>
      </w:r>
      <w:r w:rsidRPr="00571B85">
        <w:rPr>
          <w:rStyle w:val="normaltextrun"/>
          <w:rFonts w:ascii="Calibri" w:hAnsi="Calibri" w:cs="Calibri"/>
        </w:rPr>
        <w:t>gets</w:t>
      </w:r>
      <w:r>
        <w:rPr>
          <w:rStyle w:val="normaltextrun"/>
          <w:rFonts w:ascii="Calibri" w:hAnsi="Calibri" w:cs="Calibri"/>
        </w:rPr>
        <w:t xml:space="preserve"> </w:t>
      </w:r>
      <w:r w:rsidRPr="00571B85">
        <w:rPr>
          <w:rStyle w:val="normaltextrun"/>
          <w:rFonts w:ascii="Calibri" w:hAnsi="Calibri" w:cs="Calibri"/>
        </w:rPr>
        <w:t>and</w:t>
      </w:r>
      <w:r>
        <w:rPr>
          <w:rStyle w:val="normaltextrun"/>
          <w:rFonts w:ascii="Calibri" w:hAnsi="Calibri" w:cs="Calibri"/>
        </w:rPr>
        <w:t xml:space="preserve"> </w:t>
      </w:r>
      <w:r w:rsidRPr="00571B85">
        <w:rPr>
          <w:rStyle w:val="normaltextrun"/>
          <w:rFonts w:ascii="Calibri" w:hAnsi="Calibri" w:cs="Calibri"/>
        </w:rPr>
        <w:t>the</w:t>
      </w:r>
      <w:r>
        <w:rPr>
          <w:rStyle w:val="normaltextrun"/>
          <w:rFonts w:ascii="Calibri" w:hAnsi="Calibri" w:cs="Calibri"/>
        </w:rPr>
        <w:t xml:space="preserve"> </w:t>
      </w:r>
      <w:r w:rsidRPr="00571B85">
        <w:rPr>
          <w:rStyle w:val="normaltextrun"/>
          <w:rFonts w:ascii="Calibri" w:hAnsi="Calibri" w:cs="Calibri"/>
        </w:rPr>
        <w:t>more</w:t>
      </w:r>
      <w:r>
        <w:rPr>
          <w:rStyle w:val="normaltextrun"/>
          <w:rFonts w:ascii="Calibri" w:hAnsi="Calibri" w:cs="Calibri"/>
        </w:rPr>
        <w:t xml:space="preserve"> the world depends on possibly infeasible </w:t>
      </w:r>
      <w:r w:rsidRPr="5DB11582">
        <w:rPr>
          <w:rStyle w:val="normaltextrun"/>
          <w:rFonts w:ascii="Calibri" w:hAnsi="Calibri" w:cs="Calibri"/>
        </w:rPr>
        <w:t xml:space="preserve">levels of </w:t>
      </w:r>
      <w:r>
        <w:rPr>
          <w:rStyle w:val="normaltextrun"/>
          <w:rFonts w:ascii="Calibri" w:hAnsi="Calibri" w:cs="Calibri"/>
        </w:rPr>
        <w:t>carbon dioxide removed from the atmosphere</w:t>
      </w:r>
      <w:r w:rsidRPr="00571B85">
        <w:rPr>
          <w:rStyle w:val="normaltextrun"/>
          <w:rFonts w:ascii="Calibri" w:hAnsi="Calibri" w:cs="Calibri"/>
        </w:rPr>
        <w:t>.</w:t>
      </w:r>
      <w:r>
        <w:rPr>
          <w:rStyle w:val="normaltextrun"/>
          <w:rFonts w:ascii="Calibri" w:hAnsi="Calibri" w:cs="Calibri"/>
        </w:rPr>
        <w:t xml:space="preserve"> </w:t>
      </w:r>
      <w:r w:rsidRPr="00571B85">
        <w:rPr>
          <w:rStyle w:val="normaltextrun"/>
          <w:rFonts w:ascii="Calibri" w:hAnsi="Calibri" w:cs="Calibri"/>
        </w:rPr>
        <w:t>Next</w:t>
      </w:r>
      <w:r>
        <w:rPr>
          <w:rStyle w:val="normaltextrun"/>
          <w:rFonts w:ascii="Calibri" w:hAnsi="Calibri" w:cs="Calibri"/>
        </w:rPr>
        <w:t xml:space="preserve"> </w:t>
      </w:r>
      <w:r w:rsidRPr="00571B85">
        <w:rPr>
          <w:rStyle w:val="normaltextrun"/>
          <w:rFonts w:ascii="Calibri" w:hAnsi="Calibri" w:cs="Calibri"/>
        </w:rPr>
        <w:t>year,</w:t>
      </w:r>
      <w:r>
        <w:rPr>
          <w:rStyle w:val="normaltextrun"/>
          <w:rFonts w:ascii="Calibri" w:hAnsi="Calibri" w:cs="Calibri"/>
        </w:rPr>
        <w:t xml:space="preserve"> </w:t>
      </w:r>
      <w:r w:rsidRPr="00571B85">
        <w:rPr>
          <w:rStyle w:val="normaltextrun"/>
          <w:rFonts w:ascii="Calibri" w:hAnsi="Calibri" w:cs="Calibri"/>
        </w:rPr>
        <w:t>the</w:t>
      </w:r>
      <w:r>
        <w:rPr>
          <w:rStyle w:val="normaltextrun"/>
          <w:rFonts w:ascii="Calibri" w:hAnsi="Calibri" w:cs="Calibri"/>
        </w:rPr>
        <w:t xml:space="preserve"> </w:t>
      </w:r>
      <w:r w:rsidRPr="00571B85">
        <w:rPr>
          <w:rStyle w:val="normaltextrun"/>
          <w:rFonts w:ascii="Calibri" w:hAnsi="Calibri" w:cs="Calibri"/>
        </w:rPr>
        <w:t>IPCC</w:t>
      </w:r>
      <w:r>
        <w:rPr>
          <w:rStyle w:val="normaltextrun"/>
          <w:rFonts w:ascii="Calibri" w:hAnsi="Calibri" w:cs="Calibri"/>
        </w:rPr>
        <w:t xml:space="preserve"> </w:t>
      </w:r>
      <w:r w:rsidRPr="00571B85">
        <w:rPr>
          <w:rStyle w:val="normaltextrun"/>
          <w:rFonts w:ascii="Calibri" w:hAnsi="Calibri" w:cs="Calibri"/>
        </w:rPr>
        <w:t>will</w:t>
      </w:r>
      <w:r>
        <w:rPr>
          <w:rStyle w:val="normaltextrun"/>
          <w:rFonts w:ascii="Calibri" w:hAnsi="Calibri" w:cs="Calibri"/>
        </w:rPr>
        <w:t xml:space="preserve"> </w:t>
      </w:r>
      <w:r w:rsidRPr="00571B85">
        <w:rPr>
          <w:rStyle w:val="normaltextrun"/>
          <w:rFonts w:ascii="Calibri" w:hAnsi="Calibri" w:cs="Calibri"/>
        </w:rPr>
        <w:t>release</w:t>
      </w:r>
      <w:r>
        <w:rPr>
          <w:rStyle w:val="normaltextrun"/>
          <w:rFonts w:ascii="Calibri" w:hAnsi="Calibri" w:cs="Calibri"/>
        </w:rPr>
        <w:t xml:space="preserve"> its </w:t>
      </w:r>
      <w:r w:rsidRPr="00571B85">
        <w:rPr>
          <w:rStyle w:val="normaltextrun"/>
          <w:rFonts w:ascii="Calibri" w:hAnsi="Calibri" w:cs="Calibri"/>
        </w:rPr>
        <w:t>sixth</w:t>
      </w:r>
      <w:r>
        <w:rPr>
          <w:rStyle w:val="normaltextrun"/>
          <w:rFonts w:ascii="Calibri" w:hAnsi="Calibri" w:cs="Calibri"/>
        </w:rPr>
        <w:t xml:space="preserve"> </w:t>
      </w:r>
      <w:r w:rsidRPr="00571B85">
        <w:rPr>
          <w:rStyle w:val="normaltextrun"/>
          <w:rFonts w:ascii="Calibri" w:hAnsi="Calibri" w:cs="Calibri"/>
        </w:rPr>
        <w:t>assessment</w:t>
      </w:r>
      <w:r>
        <w:rPr>
          <w:rStyle w:val="normaltextrun"/>
          <w:rFonts w:ascii="Calibri" w:hAnsi="Calibri" w:cs="Calibri"/>
        </w:rPr>
        <w:t xml:space="preserve"> </w:t>
      </w:r>
      <w:r w:rsidRPr="00571B85">
        <w:rPr>
          <w:rStyle w:val="normaltextrun"/>
          <w:rFonts w:ascii="Calibri" w:hAnsi="Calibri" w:cs="Calibri"/>
        </w:rPr>
        <w:t>report</w:t>
      </w:r>
      <w:r>
        <w:rPr>
          <w:rStyle w:val="normaltextrun"/>
          <w:rFonts w:ascii="Calibri" w:hAnsi="Calibri" w:cs="Calibri"/>
        </w:rPr>
        <w:t xml:space="preserve"> that </w:t>
      </w:r>
      <w:r w:rsidRPr="00571B85">
        <w:rPr>
          <w:rStyle w:val="normaltextrun"/>
          <w:rFonts w:ascii="Calibri" w:hAnsi="Calibri" w:cs="Calibri"/>
        </w:rPr>
        <w:t>will</w:t>
      </w:r>
      <w:r>
        <w:rPr>
          <w:rStyle w:val="normaltextrun"/>
          <w:rFonts w:ascii="Calibri" w:hAnsi="Calibri" w:cs="Calibri"/>
        </w:rPr>
        <w:t xml:space="preserve"> </w:t>
      </w:r>
      <w:r w:rsidRPr="00571B85">
        <w:rPr>
          <w:rStyle w:val="normaltextrun"/>
          <w:rFonts w:ascii="Calibri" w:hAnsi="Calibri" w:cs="Calibri"/>
        </w:rPr>
        <w:t>provide</w:t>
      </w:r>
      <w:r>
        <w:rPr>
          <w:rStyle w:val="normaltextrun"/>
          <w:rFonts w:ascii="Calibri" w:hAnsi="Calibri" w:cs="Calibri"/>
        </w:rPr>
        <w:t xml:space="preserve"> </w:t>
      </w:r>
      <w:r w:rsidRPr="00571B85">
        <w:rPr>
          <w:rStyle w:val="normaltextrun"/>
          <w:rFonts w:ascii="Calibri" w:hAnsi="Calibri" w:cs="Calibri"/>
        </w:rPr>
        <w:t>the</w:t>
      </w:r>
      <w:r>
        <w:rPr>
          <w:rStyle w:val="normaltextrun"/>
          <w:rFonts w:ascii="Calibri" w:hAnsi="Calibri" w:cs="Calibri"/>
        </w:rPr>
        <w:t xml:space="preserve"> </w:t>
      </w:r>
      <w:r w:rsidRPr="00571B85">
        <w:rPr>
          <w:rStyle w:val="normaltextrun"/>
          <w:rFonts w:ascii="Calibri" w:hAnsi="Calibri" w:cs="Calibri"/>
        </w:rPr>
        <w:t>most</w:t>
      </w:r>
      <w:r>
        <w:rPr>
          <w:rStyle w:val="normaltextrun"/>
          <w:rFonts w:ascii="Calibri" w:hAnsi="Calibri" w:cs="Calibri"/>
        </w:rPr>
        <w:t xml:space="preserve"> </w:t>
      </w:r>
      <w:r w:rsidRPr="00571B85">
        <w:rPr>
          <w:rStyle w:val="normaltextrun"/>
          <w:rFonts w:ascii="Calibri" w:hAnsi="Calibri" w:cs="Calibri"/>
        </w:rPr>
        <w:t>up-to-date</w:t>
      </w:r>
      <w:r>
        <w:rPr>
          <w:rStyle w:val="normaltextrun"/>
          <w:rFonts w:ascii="Calibri" w:hAnsi="Calibri" w:cs="Calibri"/>
        </w:rPr>
        <w:t xml:space="preserve"> </w:t>
      </w:r>
      <w:r w:rsidRPr="00571B85">
        <w:rPr>
          <w:rStyle w:val="normaltextrun"/>
          <w:rFonts w:ascii="Calibri" w:hAnsi="Calibri" w:cs="Calibri"/>
        </w:rPr>
        <w:t>science</w:t>
      </w:r>
      <w:r>
        <w:rPr>
          <w:rStyle w:val="normaltextrun"/>
          <w:rFonts w:ascii="Calibri" w:hAnsi="Calibri" w:cs="Calibri"/>
        </w:rPr>
        <w:t xml:space="preserve"> </w:t>
      </w:r>
      <w:r w:rsidRPr="00571B85">
        <w:rPr>
          <w:rStyle w:val="normaltextrun"/>
          <w:rFonts w:ascii="Calibri" w:hAnsi="Calibri" w:cs="Calibri"/>
        </w:rPr>
        <w:t>on</w:t>
      </w:r>
      <w:r>
        <w:rPr>
          <w:rStyle w:val="normaltextrun"/>
          <w:rFonts w:ascii="Calibri" w:hAnsi="Calibri" w:cs="Calibri"/>
        </w:rPr>
        <w:t xml:space="preserve"> </w:t>
      </w:r>
      <w:r w:rsidRPr="00571B85">
        <w:rPr>
          <w:rStyle w:val="normaltextrun"/>
          <w:rFonts w:ascii="Calibri" w:hAnsi="Calibri" w:cs="Calibri"/>
        </w:rPr>
        <w:t>this.</w:t>
      </w:r>
      <w:r>
        <w:rPr>
          <w:rStyle w:val="normaltextrun"/>
          <w:rFonts w:ascii="Calibri" w:hAnsi="Calibri" w:cs="Calibri"/>
        </w:rPr>
        <w:t xml:space="preserve"> </w:t>
      </w:r>
    </w:p>
    <w:p w14:paraId="41F5E8B8" w14:textId="77777777" w:rsidR="00F03A47" w:rsidRPr="00E2790B" w:rsidRDefault="00F03A47" w:rsidP="00F03A47">
      <w:pPr>
        <w:pStyle w:val="Heading2"/>
      </w:pPr>
      <w:bookmarkStart w:id="305" w:name="_Toc62052778"/>
      <w:bookmarkStart w:id="306" w:name="_Toc62650337"/>
      <w:r>
        <w:t xml:space="preserve">8.3 </w:t>
      </w:r>
      <w:r w:rsidRPr="00E2790B">
        <w:t>What would on-track to 1.5°C look like in Aotearoa?</w:t>
      </w:r>
      <w:bookmarkEnd w:id="305"/>
      <w:bookmarkEnd w:id="306"/>
    </w:p>
    <w:p w14:paraId="11EDB237" w14:textId="77777777" w:rsidR="00F03A47" w:rsidRDefault="00F03A47" w:rsidP="00F03A47">
      <w:r>
        <w:t>The IPCC modelled emission trajectories for the world for different gases that would be consistent with limiting warming to 1.5</w:t>
      </w:r>
      <w:r>
        <w:rPr>
          <w:rStyle w:val="normaltextrun"/>
          <w:rFonts w:ascii="Calibri" w:hAnsi="Calibri" w:cs="Calibri"/>
        </w:rPr>
        <w:t xml:space="preserve">°C. Here we apply the modelled global emissions reductions by gas to Aotearoa to envisage potential NDCs that would be compatible with a </w:t>
      </w:r>
      <w:r w:rsidRPr="003C786C">
        <w:rPr>
          <w:rStyle w:val="normaltextrun"/>
          <w:rFonts w:ascii="Calibri" w:hAnsi="Calibri" w:cs="Calibri"/>
        </w:rPr>
        <w:t>1.</w:t>
      </w:r>
      <w:r>
        <w:rPr>
          <w:rStyle w:val="normaltextrun"/>
          <w:rFonts w:ascii="Calibri" w:hAnsi="Calibri" w:cs="Calibri"/>
        </w:rPr>
        <w:t>5°C pathway.</w:t>
      </w:r>
    </w:p>
    <w:p w14:paraId="66DA9383" w14:textId="1B06154E" w:rsidR="00F03A47" w:rsidRDefault="003D5A6D" w:rsidP="00F03A47">
      <w:r>
        <w:t xml:space="preserve">The </w:t>
      </w:r>
      <w:r w:rsidR="00985BC2">
        <w:t>first</w:t>
      </w:r>
      <w:r w:rsidR="00F03A47">
        <w:t xml:space="preserve"> NDC is to cut emissions by 30% by 2030 compared to 2005 levels. This uses an approach where Aotearoa takes responsibility for emissions over the whole period 2021-2030.</w:t>
      </w:r>
    </w:p>
    <w:p w14:paraId="6A59F6E2" w14:textId="39034197" w:rsidR="00F03A47" w:rsidRDefault="00F03A47" w:rsidP="00F03A47">
      <w:r>
        <w:lastRenderedPageBreak/>
        <w:t xml:space="preserve">There is an internationally agreed approach to convert from targets in a future year to contributions over a period of years. This is calculated by plotting a straight line from the previous target to the future target and then adding up all the emissions under the line. The actual emissions </w:t>
      </w:r>
      <w:r w:rsidRPr="00934BC2">
        <w:t xml:space="preserve">direction </w:t>
      </w:r>
      <w:r>
        <w:t xml:space="preserve">does not have to be a straight line so long as the country’s total emissions over the entire period are less than the allowed level as illustrated in </w:t>
      </w:r>
      <w:r w:rsidR="00773656">
        <w:t>Figure 8.2</w:t>
      </w:r>
      <w:r>
        <w:t xml:space="preserve"> below. </w:t>
      </w:r>
    </w:p>
    <w:p w14:paraId="18612454" w14:textId="77777777" w:rsidR="00F03A47" w:rsidRDefault="00F03A47" w:rsidP="00F03A47">
      <w:r>
        <w:rPr>
          <w:noProof/>
        </w:rPr>
        <w:drawing>
          <wp:inline distT="0" distB="0" distL="0" distR="0" wp14:anchorId="4AE953F1" wp14:editId="76B9E016">
            <wp:extent cx="5731510" cy="3142615"/>
            <wp:effectExtent l="0" t="0" r="254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3">
                      <a:extLst>
                        <a:ext uri="{28A0092B-C50C-407E-A947-70E740481C1C}">
                          <a14:useLocalDpi xmlns:a14="http://schemas.microsoft.com/office/drawing/2010/main" val="0"/>
                        </a:ext>
                      </a:extLst>
                    </a:blip>
                    <a:stretch>
                      <a:fillRect/>
                    </a:stretch>
                  </pic:blipFill>
                  <pic:spPr>
                    <a:xfrm>
                      <a:off x="0" y="0"/>
                      <a:ext cx="5731510" cy="3142615"/>
                    </a:xfrm>
                    <a:prstGeom prst="rect">
                      <a:avLst/>
                    </a:prstGeom>
                  </pic:spPr>
                </pic:pic>
              </a:graphicData>
            </a:graphic>
          </wp:inline>
        </w:drawing>
      </w:r>
    </w:p>
    <w:p w14:paraId="61BB7764" w14:textId="15FB03A5" w:rsidR="00F03A47" w:rsidRPr="00AB234B" w:rsidRDefault="00F03A47" w:rsidP="00F03A47">
      <w:pPr>
        <w:pStyle w:val="Caption"/>
      </w:pPr>
      <w:bookmarkStart w:id="307" w:name="_Ref62048891"/>
      <w:r w:rsidRPr="00AB234B">
        <w:t>Figure 8</w:t>
      </w:r>
      <w:bookmarkEnd w:id="307"/>
      <w:r w:rsidR="00773656">
        <w:t>.2</w:t>
      </w:r>
      <w:r w:rsidRPr="00AB234B">
        <w:t>: Illustration of conversion of the country’s existing 2030 target to an NDC amount</w:t>
      </w:r>
    </w:p>
    <w:p w14:paraId="6FE01F1A" w14:textId="77777777" w:rsidR="00F03A47" w:rsidRDefault="00F03A47" w:rsidP="00F03A47">
      <w:r w:rsidRPr="009B1FAB">
        <w:rPr>
          <w:sz w:val="18"/>
          <w:szCs w:val="18"/>
        </w:rPr>
        <w:t xml:space="preserve">Note: </w:t>
      </w:r>
      <w:r>
        <w:rPr>
          <w:sz w:val="18"/>
          <w:szCs w:val="18"/>
        </w:rPr>
        <w:t>Our 2030 target</w:t>
      </w:r>
      <w:r w:rsidRPr="009B1FAB">
        <w:rPr>
          <w:sz w:val="18"/>
          <w:szCs w:val="18"/>
        </w:rPr>
        <w:t xml:space="preserve"> </w:t>
      </w:r>
      <w:r>
        <w:rPr>
          <w:sz w:val="18"/>
          <w:szCs w:val="18"/>
        </w:rPr>
        <w:t xml:space="preserve">is to reduce emissions to </w:t>
      </w:r>
      <w:r w:rsidRPr="009B1FAB">
        <w:rPr>
          <w:sz w:val="18"/>
          <w:szCs w:val="18"/>
        </w:rPr>
        <w:t>30% below 2005 levels</w:t>
      </w:r>
      <w:r>
        <w:rPr>
          <w:sz w:val="18"/>
          <w:szCs w:val="18"/>
        </w:rPr>
        <w:t>.</w:t>
      </w:r>
      <w:r w:rsidRPr="009B1FAB">
        <w:rPr>
          <w:sz w:val="18"/>
          <w:szCs w:val="18"/>
        </w:rPr>
        <w:t xml:space="preserve"> </w:t>
      </w:r>
      <w:r>
        <w:rPr>
          <w:sz w:val="18"/>
          <w:szCs w:val="18"/>
        </w:rPr>
        <w:t>H</w:t>
      </w:r>
      <w:r w:rsidRPr="009B1FAB">
        <w:rPr>
          <w:sz w:val="18"/>
          <w:szCs w:val="18"/>
        </w:rPr>
        <w:t>ere</w:t>
      </w:r>
      <w:r>
        <w:rPr>
          <w:sz w:val="18"/>
          <w:szCs w:val="18"/>
        </w:rPr>
        <w:t xml:space="preserve"> it</w:t>
      </w:r>
      <w:r w:rsidRPr="009B1FAB">
        <w:rPr>
          <w:sz w:val="18"/>
          <w:szCs w:val="18"/>
        </w:rPr>
        <w:t xml:space="preserve"> is presented as a reduction against 1990 levels for easier comparison to the 2020 target that preceded it.</w:t>
      </w:r>
    </w:p>
    <w:p w14:paraId="0416183E" w14:textId="77777777" w:rsidR="00F03A47" w:rsidRDefault="00F03A47" w:rsidP="00F03A47">
      <w:pPr>
        <w:pStyle w:val="Default"/>
        <w:rPr>
          <w:sz w:val="22"/>
          <w:szCs w:val="22"/>
        </w:rPr>
      </w:pPr>
      <w:r>
        <w:rPr>
          <w:sz w:val="22"/>
          <w:szCs w:val="22"/>
        </w:rPr>
        <w:t xml:space="preserve">The IPCC’s modelling showed that different reductions of different gases are compatible with optimal paths to 1.5°C. In model pathways on track to limit warming to the 1.5°C, </w:t>
      </w:r>
      <w:r w:rsidRPr="008F3ABB">
        <w:rPr>
          <w:sz w:val="22"/>
          <w:szCs w:val="22"/>
        </w:rPr>
        <w:t>carbon</w:t>
      </w:r>
      <w:r>
        <w:rPr>
          <w:sz w:val="22"/>
          <w:szCs w:val="22"/>
          <w:vertAlign w:val="subscript"/>
        </w:rPr>
        <w:t xml:space="preserve"> </w:t>
      </w:r>
      <w:r>
        <w:rPr>
          <w:sz w:val="22"/>
          <w:szCs w:val="22"/>
        </w:rPr>
        <w:t>dioxide emissions reduced by around 40-58% below 2010 levels by 2030. Emissions of methane and nitrous oxide reduced by less – around 20% for agricultural methane, and 10% for agricultural nitrous oxide. This reflects both the different warming effects of different gases, and differences in the costs to mitigate them.</w:t>
      </w:r>
    </w:p>
    <w:p w14:paraId="5EACB64C" w14:textId="77777777" w:rsidR="00F03A47" w:rsidRDefault="00F03A47" w:rsidP="00F03A47">
      <w:pPr>
        <w:pStyle w:val="Default"/>
        <w:rPr>
          <w:sz w:val="22"/>
          <w:szCs w:val="22"/>
        </w:rPr>
      </w:pPr>
    </w:p>
    <w:p w14:paraId="22DA6F28" w14:textId="07FCB4D2" w:rsidR="00F03A47" w:rsidRDefault="007E7BE4" w:rsidP="00F03A47">
      <w:pPr>
        <w:pStyle w:val="Default"/>
        <w:rPr>
          <w:sz w:val="22"/>
          <w:szCs w:val="22"/>
        </w:rPr>
      </w:pPr>
      <w:r>
        <w:rPr>
          <w:sz w:val="22"/>
          <w:szCs w:val="22"/>
        </w:rPr>
        <w:t>The</w:t>
      </w:r>
      <w:r w:rsidR="00F03A47">
        <w:rPr>
          <w:sz w:val="22"/>
          <w:szCs w:val="22"/>
        </w:rPr>
        <w:t xml:space="preserve"> emissions profile</w:t>
      </w:r>
      <w:r>
        <w:rPr>
          <w:sz w:val="22"/>
          <w:szCs w:val="22"/>
        </w:rPr>
        <w:t xml:space="preserve"> of Aotearoa</w:t>
      </w:r>
      <w:r w:rsidR="00F03A47">
        <w:rPr>
          <w:sz w:val="22"/>
          <w:szCs w:val="22"/>
        </w:rPr>
        <w:t xml:space="preserve"> is different to that of most of other developed countries, as a much higher proportion of </w:t>
      </w:r>
      <w:r>
        <w:rPr>
          <w:sz w:val="22"/>
          <w:szCs w:val="22"/>
        </w:rPr>
        <w:t>the</w:t>
      </w:r>
      <w:r w:rsidR="00F03A47">
        <w:rPr>
          <w:sz w:val="22"/>
          <w:szCs w:val="22"/>
        </w:rPr>
        <w:t xml:space="preserve"> emissions come from agriculture, particularly biogenic methane. In part this also reflects that </w:t>
      </w:r>
      <w:r>
        <w:rPr>
          <w:sz w:val="22"/>
          <w:szCs w:val="22"/>
        </w:rPr>
        <w:t>the</w:t>
      </w:r>
      <w:r w:rsidR="00F03A47">
        <w:rPr>
          <w:sz w:val="22"/>
          <w:szCs w:val="22"/>
        </w:rPr>
        <w:t xml:space="preserve"> electricity sector is mostly decarbonised already. This means that a high ambition emission reduction trajectory will look different for Aotearoa than for other developed countries. </w:t>
      </w:r>
    </w:p>
    <w:p w14:paraId="30E71A70" w14:textId="77777777" w:rsidR="00F03A47" w:rsidRDefault="00F03A47" w:rsidP="00F03A47">
      <w:pPr>
        <w:pStyle w:val="Default"/>
        <w:rPr>
          <w:sz w:val="22"/>
          <w:szCs w:val="22"/>
        </w:rPr>
      </w:pPr>
    </w:p>
    <w:p w14:paraId="2CEE0A6A" w14:textId="27CED736" w:rsidR="00F03A47" w:rsidRDefault="00F03A47" w:rsidP="00F03A47">
      <w:pPr>
        <w:pStyle w:val="Default"/>
        <w:rPr>
          <w:sz w:val="22"/>
          <w:szCs w:val="22"/>
        </w:rPr>
      </w:pPr>
      <w:r>
        <w:rPr>
          <w:sz w:val="22"/>
          <w:szCs w:val="22"/>
        </w:rPr>
        <w:t>To acknowledge the differences in</w:t>
      </w:r>
      <w:r w:rsidR="007E7BE4">
        <w:rPr>
          <w:sz w:val="22"/>
          <w:szCs w:val="22"/>
        </w:rPr>
        <w:t xml:space="preserve"> the country’s</w:t>
      </w:r>
      <w:r>
        <w:rPr>
          <w:sz w:val="22"/>
          <w:szCs w:val="22"/>
        </w:rPr>
        <w:t xml:space="preserve"> emissions profile, and the different warming effect of different gases, we have assessed 1.5°C compatible trajectories using a split-gas approach. To do this we have developed separate emission trajectories for Aotearoa for carbon dioxide, methane and nitrous oxide, based on the IPCC modelled reductions. We have then aggregated these into a total amount of allowed emissions over the NDC period to compare with </w:t>
      </w:r>
      <w:r w:rsidR="007E7BE4">
        <w:rPr>
          <w:sz w:val="22"/>
          <w:szCs w:val="22"/>
        </w:rPr>
        <w:t>the first</w:t>
      </w:r>
      <w:r>
        <w:rPr>
          <w:sz w:val="22"/>
          <w:szCs w:val="22"/>
        </w:rPr>
        <w:t xml:space="preserve"> NDC. </w:t>
      </w:r>
    </w:p>
    <w:p w14:paraId="4312422D" w14:textId="77777777" w:rsidR="00F03A47" w:rsidRDefault="00F03A47" w:rsidP="00F03A47">
      <w:pPr>
        <w:pStyle w:val="Default"/>
        <w:rPr>
          <w:sz w:val="22"/>
          <w:szCs w:val="22"/>
        </w:rPr>
      </w:pPr>
    </w:p>
    <w:p w14:paraId="38E3CEDD" w14:textId="3D2D6C81" w:rsidR="00F03A47" w:rsidRDefault="00F03A47" w:rsidP="00F03A47">
      <w:pPr>
        <w:pStyle w:val="Default"/>
        <w:rPr>
          <w:sz w:val="22"/>
          <w:szCs w:val="22"/>
        </w:rPr>
      </w:pPr>
      <w:r>
        <w:rPr>
          <w:sz w:val="22"/>
          <w:szCs w:val="22"/>
        </w:rPr>
        <w:t>We have applied this approach using both the IPCC’s upper quartile of modelled reductions, and lower quartile of modelled reductions.</w:t>
      </w:r>
    </w:p>
    <w:p w14:paraId="7D04DDC8" w14:textId="77777777" w:rsidR="00D47AEC" w:rsidRDefault="00D47AEC" w:rsidP="00D54015"/>
    <w:p w14:paraId="1683CF1A" w14:textId="389DAD1D" w:rsidR="00F03A47" w:rsidRDefault="00F03A47" w:rsidP="00F03A47">
      <w:r>
        <w:lastRenderedPageBreak/>
        <w:t xml:space="preserve">Applying the modelled reductions in </w:t>
      </w:r>
      <w:r w:rsidR="00DF3078">
        <w:t>Table 8.1</w:t>
      </w:r>
      <w:r>
        <w:t xml:space="preserve"> to the country’s emissions profile using this approach, </w:t>
      </w:r>
      <w:r w:rsidRPr="0035766A">
        <w:t>emissions</w:t>
      </w:r>
      <w:r>
        <w:t xml:space="preserve"> over 2021-2030 </w:t>
      </w:r>
      <w:r w:rsidRPr="0035766A">
        <w:t>would</w:t>
      </w:r>
      <w:r>
        <w:t xml:space="preserve"> </w:t>
      </w:r>
      <w:r w:rsidRPr="00761680">
        <w:t xml:space="preserve">be </w:t>
      </w:r>
      <w:r w:rsidRPr="00263F7C">
        <w:t>524-604</w:t>
      </w:r>
      <w:r w:rsidRPr="00761680">
        <w:t xml:space="preserve"> Mt</w:t>
      </w:r>
      <w:r w:rsidRPr="00D16A56">
        <w:t xml:space="preserve"> CO</w:t>
      </w:r>
      <w:r w:rsidRPr="00D16A56">
        <w:rPr>
          <w:vertAlign w:val="subscript"/>
        </w:rPr>
        <w:t>2</w:t>
      </w:r>
      <w:r w:rsidRPr="00D16A56">
        <w:t xml:space="preserve">e </w:t>
      </w:r>
      <w:r w:rsidRPr="0035766A">
        <w:t>if</w:t>
      </w:r>
      <w:r>
        <w:t xml:space="preserve"> it </w:t>
      </w:r>
      <w:r w:rsidRPr="0035766A">
        <w:t>followed</w:t>
      </w:r>
      <w:r>
        <w:t xml:space="preserve"> the </w:t>
      </w:r>
      <w:r w:rsidRPr="0035766A">
        <w:t>IPCC</w:t>
      </w:r>
      <w:r>
        <w:t xml:space="preserve"> </w:t>
      </w:r>
      <w:r w:rsidRPr="0035766A">
        <w:t>range</w:t>
      </w:r>
      <w:r>
        <w:t xml:space="preserve">. This would comprise: </w:t>
      </w:r>
    </w:p>
    <w:p w14:paraId="59ACD19D" w14:textId="77777777" w:rsidR="00F03A47" w:rsidRDefault="00F03A47" w:rsidP="009B509E">
      <w:pPr>
        <w:pStyle w:val="ListParagraph"/>
        <w:numPr>
          <w:ilvl w:val="0"/>
          <w:numId w:val="80"/>
        </w:numPr>
        <w:spacing w:before="0" w:after="160"/>
      </w:pPr>
      <w:r w:rsidRPr="004E1683">
        <w:t>190-224</w:t>
      </w:r>
      <w:r>
        <w:t xml:space="preserve"> </w:t>
      </w:r>
      <w:r w:rsidRPr="004E1683">
        <w:t>Mt carbon dioxide</w:t>
      </w:r>
    </w:p>
    <w:p w14:paraId="55F26494" w14:textId="77777777" w:rsidR="00F03A47" w:rsidRDefault="00F03A47" w:rsidP="009B509E">
      <w:pPr>
        <w:pStyle w:val="ListParagraph"/>
        <w:numPr>
          <w:ilvl w:val="0"/>
          <w:numId w:val="80"/>
        </w:numPr>
        <w:spacing w:before="0" w:after="160"/>
      </w:pPr>
      <w:r w:rsidRPr="004E1683">
        <w:t>10.8</w:t>
      </w:r>
      <w:r>
        <w:t>-</w:t>
      </w:r>
      <w:r w:rsidRPr="004E1683">
        <w:t>12.2 Mt methane</w:t>
      </w:r>
    </w:p>
    <w:p w14:paraId="4F0954DC" w14:textId="77777777" w:rsidR="00F03A47" w:rsidRPr="004E1683" w:rsidRDefault="00F03A47" w:rsidP="009B509E">
      <w:pPr>
        <w:pStyle w:val="ListParagraph"/>
        <w:numPr>
          <w:ilvl w:val="0"/>
          <w:numId w:val="80"/>
        </w:numPr>
        <w:spacing w:before="0" w:after="160"/>
      </w:pPr>
      <w:r w:rsidRPr="004E1683">
        <w:t>171-201</w:t>
      </w:r>
      <w:r>
        <w:t xml:space="preserve"> </w:t>
      </w:r>
      <w:r w:rsidRPr="004E1683">
        <w:t>kt nitrous oxide.</w:t>
      </w:r>
    </w:p>
    <w:p w14:paraId="3409669F" w14:textId="38B45158" w:rsidR="00F03A47" w:rsidRPr="00651541" w:rsidRDefault="00F03A47" w:rsidP="00F03A47">
      <w:pPr>
        <w:pStyle w:val="Caption"/>
      </w:pPr>
      <w:r w:rsidRPr="00651541">
        <w:t>Table 8</w:t>
      </w:r>
      <w:r w:rsidR="00DF3078">
        <w:t>.2:</w:t>
      </w:r>
      <w:r w:rsidRPr="00651541">
        <w:t xml:space="preserve"> Equivalent NDCs for Aotearoa applying the upper and lower quartile of reductions modelled by the IPCC</w:t>
      </w:r>
    </w:p>
    <w:tbl>
      <w:tblPr>
        <w:tblStyle w:val="TableGrid"/>
        <w:tblW w:w="0" w:type="auto"/>
        <w:tblLook w:val="04A0" w:firstRow="1" w:lastRow="0" w:firstColumn="1" w:lastColumn="0" w:noHBand="0" w:noVBand="1"/>
      </w:tblPr>
      <w:tblGrid>
        <w:gridCol w:w="2966"/>
        <w:gridCol w:w="3199"/>
        <w:gridCol w:w="2851"/>
      </w:tblGrid>
      <w:tr w:rsidR="00F03A47" w14:paraId="54665C7B" w14:textId="77777777" w:rsidTr="007602C9">
        <w:tc>
          <w:tcPr>
            <w:tcW w:w="2966" w:type="dxa"/>
          </w:tcPr>
          <w:p w14:paraId="67B2AE69" w14:textId="77777777" w:rsidR="00F03A47" w:rsidRDefault="00F03A47" w:rsidP="007602C9"/>
        </w:tc>
        <w:tc>
          <w:tcPr>
            <w:tcW w:w="3199" w:type="dxa"/>
          </w:tcPr>
          <w:p w14:paraId="4CD9EB61" w14:textId="77777777" w:rsidR="00F03A47" w:rsidRPr="0097225A" w:rsidRDefault="00F03A47" w:rsidP="007602C9">
            <w:pPr>
              <w:jc w:val="center"/>
              <w:rPr>
                <w:b/>
                <w:bCs/>
              </w:rPr>
            </w:pPr>
            <w:r w:rsidRPr="0097225A">
              <w:rPr>
                <w:b/>
                <w:bCs/>
              </w:rPr>
              <w:t>Allowed emissions in NDC period</w:t>
            </w:r>
            <w:r>
              <w:rPr>
                <w:b/>
                <w:bCs/>
              </w:rPr>
              <w:t xml:space="preserve"> (Mt CO</w:t>
            </w:r>
            <w:r w:rsidRPr="0097225A">
              <w:rPr>
                <w:b/>
                <w:bCs/>
                <w:vertAlign w:val="subscript"/>
              </w:rPr>
              <w:t>2</w:t>
            </w:r>
            <w:r>
              <w:rPr>
                <w:b/>
                <w:bCs/>
              </w:rPr>
              <w:t>e)</w:t>
            </w:r>
          </w:p>
        </w:tc>
        <w:tc>
          <w:tcPr>
            <w:tcW w:w="2851" w:type="dxa"/>
          </w:tcPr>
          <w:p w14:paraId="5F27BE08" w14:textId="77777777" w:rsidR="00F03A47" w:rsidRDefault="00F03A47" w:rsidP="007602C9">
            <w:pPr>
              <w:jc w:val="center"/>
              <w:rPr>
                <w:b/>
                <w:bCs/>
              </w:rPr>
            </w:pPr>
            <w:r>
              <w:rPr>
                <w:b/>
                <w:bCs/>
              </w:rPr>
              <w:t>Equivalent 2030 target level</w:t>
            </w:r>
          </w:p>
          <w:p w14:paraId="12B211ED" w14:textId="77777777" w:rsidR="00F03A47" w:rsidRPr="0097225A" w:rsidRDefault="00F03A47" w:rsidP="007602C9">
            <w:pPr>
              <w:jc w:val="center"/>
              <w:rPr>
                <w:b/>
                <w:bCs/>
              </w:rPr>
            </w:pPr>
            <w:r>
              <w:rPr>
                <w:b/>
                <w:bCs/>
              </w:rPr>
              <w:t>(% reduction on 2005)</w:t>
            </w:r>
          </w:p>
        </w:tc>
      </w:tr>
      <w:tr w:rsidR="00F03A47" w14:paraId="126B93BB" w14:textId="77777777" w:rsidTr="007602C9">
        <w:tc>
          <w:tcPr>
            <w:tcW w:w="2966" w:type="dxa"/>
          </w:tcPr>
          <w:p w14:paraId="75F6BB0A" w14:textId="77777777" w:rsidR="00F03A47" w:rsidRPr="0097225A" w:rsidRDefault="00F03A47" w:rsidP="007602C9">
            <w:pPr>
              <w:rPr>
                <w:b/>
                <w:bCs/>
              </w:rPr>
            </w:pPr>
            <w:r>
              <w:rPr>
                <w:b/>
                <w:bCs/>
              </w:rPr>
              <w:t>Lower</w:t>
            </w:r>
            <w:r w:rsidRPr="0097225A">
              <w:rPr>
                <w:b/>
                <w:bCs/>
              </w:rPr>
              <w:t xml:space="preserve"> quartile IPCC </w:t>
            </w:r>
            <w:r>
              <w:rPr>
                <w:b/>
                <w:bCs/>
              </w:rPr>
              <w:t xml:space="preserve">reductions (higher emissions) </w:t>
            </w:r>
          </w:p>
        </w:tc>
        <w:tc>
          <w:tcPr>
            <w:tcW w:w="3199" w:type="dxa"/>
            <w:vAlign w:val="center"/>
          </w:tcPr>
          <w:p w14:paraId="15725F1A" w14:textId="77777777" w:rsidR="00F03A47" w:rsidRPr="004738A4" w:rsidRDefault="00F03A47" w:rsidP="007602C9">
            <w:pPr>
              <w:jc w:val="center"/>
              <w:rPr>
                <w:highlight w:val="yellow"/>
              </w:rPr>
            </w:pPr>
            <w:r w:rsidRPr="00263F7C">
              <w:t>604</w:t>
            </w:r>
          </w:p>
        </w:tc>
        <w:tc>
          <w:tcPr>
            <w:tcW w:w="2851" w:type="dxa"/>
            <w:vAlign w:val="center"/>
          </w:tcPr>
          <w:p w14:paraId="5FB734A5" w14:textId="77777777" w:rsidR="00F03A47" w:rsidRPr="004738A4" w:rsidRDefault="00F03A47" w:rsidP="007602C9">
            <w:pPr>
              <w:jc w:val="center"/>
              <w:rPr>
                <w:highlight w:val="yellow"/>
              </w:rPr>
            </w:pPr>
            <w:r w:rsidRPr="00263F7C">
              <w:t>25%</w:t>
            </w:r>
          </w:p>
        </w:tc>
      </w:tr>
      <w:tr w:rsidR="00F03A47" w14:paraId="2C9C5D9E" w14:textId="77777777" w:rsidTr="007602C9">
        <w:tc>
          <w:tcPr>
            <w:tcW w:w="2966" w:type="dxa"/>
          </w:tcPr>
          <w:p w14:paraId="440F3517" w14:textId="77777777" w:rsidR="00F03A47" w:rsidRDefault="00F03A47" w:rsidP="007602C9">
            <w:pPr>
              <w:rPr>
                <w:b/>
                <w:bCs/>
              </w:rPr>
            </w:pPr>
            <w:r>
              <w:rPr>
                <w:b/>
                <w:bCs/>
              </w:rPr>
              <w:t>Midpoint reductions</w:t>
            </w:r>
          </w:p>
        </w:tc>
        <w:tc>
          <w:tcPr>
            <w:tcW w:w="3199" w:type="dxa"/>
            <w:vAlign w:val="center"/>
          </w:tcPr>
          <w:p w14:paraId="16748A20" w14:textId="77777777" w:rsidR="00F03A47" w:rsidRPr="00263F7C" w:rsidRDefault="00F03A47" w:rsidP="007602C9">
            <w:pPr>
              <w:jc w:val="center"/>
            </w:pPr>
            <w:r>
              <w:t>564</w:t>
            </w:r>
          </w:p>
        </w:tc>
        <w:tc>
          <w:tcPr>
            <w:tcW w:w="2851" w:type="dxa"/>
            <w:vAlign w:val="center"/>
          </w:tcPr>
          <w:p w14:paraId="0FE3AE24" w14:textId="77777777" w:rsidR="00F03A47" w:rsidRPr="00263F7C" w:rsidRDefault="00F03A47" w:rsidP="007602C9">
            <w:pPr>
              <w:jc w:val="center"/>
            </w:pPr>
            <w:r>
              <w:t>35%</w:t>
            </w:r>
          </w:p>
        </w:tc>
      </w:tr>
      <w:tr w:rsidR="00F03A47" w14:paraId="0C94ABCD" w14:textId="77777777" w:rsidTr="007602C9">
        <w:tc>
          <w:tcPr>
            <w:tcW w:w="2966" w:type="dxa"/>
          </w:tcPr>
          <w:p w14:paraId="05C03544" w14:textId="77777777" w:rsidR="00F03A47" w:rsidRPr="0097225A" w:rsidRDefault="00F03A47" w:rsidP="007602C9">
            <w:pPr>
              <w:rPr>
                <w:b/>
                <w:bCs/>
              </w:rPr>
            </w:pPr>
            <w:r>
              <w:rPr>
                <w:b/>
                <w:bCs/>
              </w:rPr>
              <w:t>Upper</w:t>
            </w:r>
            <w:r w:rsidRPr="0097225A">
              <w:rPr>
                <w:b/>
                <w:bCs/>
              </w:rPr>
              <w:t xml:space="preserve"> quartile IPCC </w:t>
            </w:r>
            <w:r>
              <w:rPr>
                <w:b/>
                <w:bCs/>
              </w:rPr>
              <w:t>reductions</w:t>
            </w:r>
            <w:r w:rsidRPr="0097225A">
              <w:rPr>
                <w:b/>
                <w:bCs/>
              </w:rPr>
              <w:t xml:space="preserve"> </w:t>
            </w:r>
            <w:r>
              <w:rPr>
                <w:b/>
                <w:bCs/>
              </w:rPr>
              <w:t>(lower emissions)</w:t>
            </w:r>
          </w:p>
        </w:tc>
        <w:tc>
          <w:tcPr>
            <w:tcW w:w="3199" w:type="dxa"/>
            <w:vAlign w:val="center"/>
          </w:tcPr>
          <w:p w14:paraId="39C83464" w14:textId="77777777" w:rsidR="00F03A47" w:rsidRPr="004738A4" w:rsidRDefault="00F03A47" w:rsidP="007602C9">
            <w:pPr>
              <w:jc w:val="center"/>
              <w:rPr>
                <w:highlight w:val="yellow"/>
              </w:rPr>
            </w:pPr>
            <w:r w:rsidRPr="00263F7C">
              <w:t>524</w:t>
            </w:r>
          </w:p>
        </w:tc>
        <w:tc>
          <w:tcPr>
            <w:tcW w:w="2851" w:type="dxa"/>
            <w:vAlign w:val="center"/>
          </w:tcPr>
          <w:p w14:paraId="508EAD21" w14:textId="77777777" w:rsidR="00F03A47" w:rsidRPr="004738A4" w:rsidRDefault="00F03A47" w:rsidP="007602C9">
            <w:pPr>
              <w:jc w:val="center"/>
              <w:rPr>
                <w:highlight w:val="yellow"/>
              </w:rPr>
            </w:pPr>
            <w:r w:rsidRPr="00263F7C">
              <w:t>44%</w:t>
            </w:r>
          </w:p>
        </w:tc>
      </w:tr>
    </w:tbl>
    <w:p w14:paraId="3E8F7EA9" w14:textId="77777777" w:rsidR="00F03A47" w:rsidRPr="000506EA" w:rsidRDefault="00F03A47" w:rsidP="00F03A47">
      <w:pPr>
        <w:rPr>
          <w:i/>
          <w:iCs/>
        </w:rPr>
      </w:pPr>
      <w:r>
        <w:br/>
        <w:t xml:space="preserve">There is a detailed explanation of this approach and the calculations made in </w:t>
      </w:r>
      <w:r w:rsidRPr="000506EA">
        <w:rPr>
          <w:i/>
          <w:iCs/>
        </w:rPr>
        <w:t>Chapter 10: Requests under s5K relating to the NDC and biogenic methane - supporting evidence</w:t>
      </w:r>
      <w:r>
        <w:rPr>
          <w:i/>
          <w:iCs/>
        </w:rPr>
        <w:t xml:space="preserve"> </w:t>
      </w:r>
      <w:r>
        <w:t>of the Evidence Report.</w:t>
      </w:r>
    </w:p>
    <w:p w14:paraId="21FAF329" w14:textId="77777777" w:rsidR="00F03A47" w:rsidRDefault="00F03A47" w:rsidP="00F03A47">
      <w:r>
        <w:t xml:space="preserve">The range in the IPCC scenarios represents the uncertainty in how fast emission of different greenhouse gases need to be reduced to limit warming. This uncertainty arises because it is not possible to predict exactly how things like global population or wealth might change and how much different mitigations might cost. </w:t>
      </w:r>
    </w:p>
    <w:p w14:paraId="334F3699" w14:textId="77777777" w:rsidR="00F03A47" w:rsidRDefault="00F03A47" w:rsidP="00F03A47">
      <w:r>
        <w:t>There is also uncertainty in exactly how the global climate will respond to future emissions – for example, how aerosol emissions affect temperature outcomes, and how sensitive temperature responses are to increases in carbon dioxide. As a result, the warming outcomes of the different scenarios are expressed as probabilities that they would limit warming to 1.5</w:t>
      </w:r>
      <w:r>
        <w:rPr>
          <w:rFonts w:ascii="Calibri Light" w:eastAsia="Symbol" w:hAnsi="Calibri Light" w:cs="Calibri Light"/>
        </w:rPr>
        <w:t>°</w:t>
      </w:r>
      <w:r>
        <w:t>C. In its special report, the IPCC only considered emission reduction scenarios that had a 50-66% chance of limiting warming to 1.5</w:t>
      </w:r>
      <w:r>
        <w:rPr>
          <w:rFonts w:ascii="Calibri Light" w:eastAsia="Symbol" w:hAnsi="Calibri Light" w:cs="Calibri Light"/>
        </w:rPr>
        <w:t>°</w:t>
      </w:r>
      <w:r>
        <w:t>C by the end of the century. Expressed the other way, if the emissions reductions in the scenarios were achieved, there is still a 34-50% chance that warming will exceed 1.5</w:t>
      </w:r>
      <w:r>
        <w:rPr>
          <w:rFonts w:ascii="Calibri Light" w:eastAsia="Symbol" w:hAnsi="Calibri Light" w:cs="Calibri Light"/>
        </w:rPr>
        <w:t>°</w:t>
      </w:r>
      <w:r>
        <w:t>C.</w:t>
      </w:r>
    </w:p>
    <w:p w14:paraId="00EE6919" w14:textId="77777777" w:rsidR="00F03A47" w:rsidRDefault="00F03A47" w:rsidP="00F03A47">
      <w:r>
        <w:t xml:space="preserve">We can exclude some of the more extreme or unlikely scenario assumptions by looking at the inter-quartile range, that is, the middle 50% of values. This approach gives a more conservative but more likely estimate of the emission reductions that are needed. </w:t>
      </w:r>
    </w:p>
    <w:p w14:paraId="55428B91" w14:textId="77777777" w:rsidR="00F03A47" w:rsidRDefault="00F03A47" w:rsidP="00F03A47">
      <w:r w:rsidRPr="00134550">
        <w:t>Smaller allowed budgets (closer to the upper quartile range of the IPCC modelled emissions reductions) are associated with scenarios that have greater gross emission reductions and are less likely to overshoot the 1.5</w:t>
      </w:r>
      <w:r>
        <w:rPr>
          <w:rFonts w:ascii="Calibri Light" w:eastAsia="Symbol" w:hAnsi="Calibri Light" w:cs="Calibri Light"/>
        </w:rPr>
        <w:t>°</w:t>
      </w:r>
      <w:r w:rsidRPr="00134550">
        <w:t>C goal. Conversely, larger allowed budgets (closer to the lower quartile range of the IPCC modelled emissions reductions) have smaller gross emission reductions and are more likely to overshoot the 1.5</w:t>
      </w:r>
      <w:r>
        <w:rPr>
          <w:rFonts w:ascii="Calibri Light" w:eastAsia="Symbol" w:hAnsi="Calibri Light" w:cs="Calibri Light"/>
        </w:rPr>
        <w:t>°</w:t>
      </w:r>
      <w:r w:rsidRPr="00134550">
        <w:t>C goal and rely on greater levels of carbon dioxide removals in the latter part of the century to bring temperatures back down.</w:t>
      </w:r>
      <w:r>
        <w:t xml:space="preserve"> </w:t>
      </w:r>
    </w:p>
    <w:p w14:paraId="74F12F50" w14:textId="09BEBA25" w:rsidR="00F03A47" w:rsidRDefault="00F03A47" w:rsidP="00F03A47">
      <w:r>
        <w:lastRenderedPageBreak/>
        <w:t xml:space="preserve">When expressed in terms of NDC allowed emissions, the lower quartile is </w:t>
      </w:r>
      <w:r w:rsidRPr="00E46347">
        <w:t>524</w:t>
      </w:r>
      <w:r>
        <w:t xml:space="preserve"> Mt CO</w:t>
      </w:r>
      <w:r w:rsidRPr="00C00BC6">
        <w:rPr>
          <w:vertAlign w:val="subscript"/>
        </w:rPr>
        <w:t>2</w:t>
      </w:r>
      <w:r>
        <w:t xml:space="preserve">e, and the upper quartile is </w:t>
      </w:r>
      <w:r w:rsidRPr="00E46347">
        <w:t>604</w:t>
      </w:r>
      <w:r>
        <w:t xml:space="preserve"> Mt CO</w:t>
      </w:r>
      <w:r w:rsidRPr="00C00BC6">
        <w:rPr>
          <w:vertAlign w:val="subscript"/>
        </w:rPr>
        <w:t>2</w:t>
      </w:r>
      <w:r>
        <w:t xml:space="preserve">e. </w:t>
      </w:r>
      <w:r w:rsidR="007E7BE4">
        <w:t>The</w:t>
      </w:r>
      <w:r>
        <w:t xml:space="preserve"> first NDC works out as an emissions budget of </w:t>
      </w:r>
      <w:r w:rsidRPr="00E46347">
        <w:t>585</w:t>
      </w:r>
      <w:r>
        <w:t xml:space="preserve"> Mt CO</w:t>
      </w:r>
      <w:r w:rsidRPr="00C00BC6">
        <w:rPr>
          <w:vertAlign w:val="subscript"/>
        </w:rPr>
        <w:t>2</w:t>
      </w:r>
      <w:r>
        <w:t xml:space="preserve">e. This budget is equivalent to the </w:t>
      </w:r>
      <w:r w:rsidRPr="00E46347">
        <w:t>63</w:t>
      </w:r>
      <w:r w:rsidRPr="00E46347">
        <w:rPr>
          <w:vertAlign w:val="superscript"/>
        </w:rPr>
        <w:t>rd</w:t>
      </w:r>
      <w:r w:rsidRPr="00E46347">
        <w:t xml:space="preserve"> percentile</w:t>
      </w:r>
      <w:r>
        <w:t>, putting it towards the higher end of allowed emissions that are compatible with limiting warming to 1.5</w:t>
      </w:r>
      <w:r>
        <w:rPr>
          <w:rFonts w:ascii="Calibri Light" w:eastAsia="Symbol" w:hAnsi="Calibri Light" w:cs="Calibri Light"/>
        </w:rPr>
        <w:t>°</w:t>
      </w:r>
      <w:r w:rsidRPr="00134550">
        <w:t>C</w:t>
      </w:r>
      <w:r>
        <w:t>.</w:t>
      </w:r>
    </w:p>
    <w:p w14:paraId="63B0FC1B" w14:textId="77777777" w:rsidR="00F03A47" w:rsidRDefault="00F03A47" w:rsidP="00F03A47">
      <w:r>
        <w:t>While all the scenarios in the interquartile range have been assessed as having a 50-66% chance of limiting warming to 1.5</w:t>
      </w:r>
      <w:r>
        <w:rPr>
          <w:rFonts w:ascii="Calibri Light" w:eastAsia="Symbol" w:hAnsi="Calibri Light" w:cs="Calibri Light"/>
        </w:rPr>
        <w:t>°</w:t>
      </w:r>
      <w:r>
        <w:t>C, the scenarios that focus on earlier gross emission reductions have less reliance on large scale carbon dioxide removals. The scale of carbon dioxide removals required by some of the scenarios that focus on smaller or later gross emissions reductions may not be achievable and can have a range of negative impacts on people, communities and economies. The IPCC has noted that relying on large scale carbon dioxide removals represents a major risk that the world will not be able to limit warming to 1.5</w:t>
      </w:r>
      <w:r>
        <w:rPr>
          <w:rFonts w:ascii="Calibri Light" w:eastAsia="Symbol" w:hAnsi="Calibri Light" w:cs="Calibri Light"/>
        </w:rPr>
        <w:t>°</w:t>
      </w:r>
      <w:r>
        <w:t>C.</w:t>
      </w:r>
    </w:p>
    <w:p w14:paraId="6BA1016A" w14:textId="5606F3F2" w:rsidR="00F03A47" w:rsidRDefault="00F03A47" w:rsidP="00D54015">
      <w:pPr>
        <w:spacing w:line="257" w:lineRule="auto"/>
      </w:pPr>
      <w:r>
        <w:rPr>
          <w:rFonts w:ascii="Calibri" w:eastAsia="Calibri" w:hAnsi="Calibri" w:cs="Calibri"/>
        </w:rPr>
        <w:t>T</w:t>
      </w:r>
      <w:r w:rsidRPr="3F862AAB">
        <w:rPr>
          <w:rFonts w:ascii="Calibri" w:eastAsia="Calibri" w:hAnsi="Calibri" w:cs="Calibri"/>
        </w:rPr>
        <w:t xml:space="preserve">hese levels of allowed emissions </w:t>
      </w:r>
      <w:r>
        <w:rPr>
          <w:rFonts w:ascii="Calibri" w:eastAsia="Calibri" w:hAnsi="Calibri" w:cs="Calibri"/>
        </w:rPr>
        <w:t xml:space="preserve">of the different greenhouse gases </w:t>
      </w:r>
      <w:r w:rsidRPr="3F862AAB">
        <w:rPr>
          <w:rFonts w:ascii="Calibri" w:eastAsia="Calibri" w:hAnsi="Calibri" w:cs="Calibri"/>
        </w:rPr>
        <w:t xml:space="preserve">represent the </w:t>
      </w:r>
      <w:r>
        <w:rPr>
          <w:rFonts w:ascii="Calibri" w:eastAsia="Calibri" w:hAnsi="Calibri" w:cs="Calibri"/>
        </w:rPr>
        <w:t xml:space="preserve">range of emission reductions </w:t>
      </w:r>
      <w:r w:rsidRPr="3F862AAB">
        <w:rPr>
          <w:rFonts w:ascii="Calibri" w:eastAsia="Calibri" w:hAnsi="Calibri" w:cs="Calibri"/>
        </w:rPr>
        <w:t xml:space="preserve">modelled for the world </w:t>
      </w:r>
      <w:r>
        <w:rPr>
          <w:rFonts w:ascii="Calibri" w:eastAsia="Calibri" w:hAnsi="Calibri" w:cs="Calibri"/>
        </w:rPr>
        <w:t xml:space="preserve">as a whole </w:t>
      </w:r>
      <w:r w:rsidRPr="3F862AAB">
        <w:rPr>
          <w:rFonts w:ascii="Calibri" w:eastAsia="Calibri" w:hAnsi="Calibri" w:cs="Calibri"/>
        </w:rPr>
        <w:t>to keep warming to 1.5</w:t>
      </w:r>
      <w:r>
        <w:rPr>
          <w:rFonts w:ascii="Calibri" w:eastAsia="Calibri" w:hAnsi="Calibri" w:cs="Calibri"/>
        </w:rPr>
        <w:t>°</w:t>
      </w:r>
      <w:r w:rsidRPr="3F862AAB">
        <w:rPr>
          <w:rFonts w:ascii="Calibri" w:eastAsia="Calibri" w:hAnsi="Calibri" w:cs="Calibri"/>
        </w:rPr>
        <w:t>C, applied directly to</w:t>
      </w:r>
      <w:r w:rsidR="009B509E">
        <w:rPr>
          <w:rFonts w:ascii="Calibri" w:eastAsia="Calibri" w:hAnsi="Calibri" w:cs="Calibri"/>
        </w:rPr>
        <w:t xml:space="preserve"> the</w:t>
      </w:r>
      <w:r>
        <w:rPr>
          <w:rFonts w:ascii="Calibri" w:eastAsia="Calibri" w:hAnsi="Calibri" w:cs="Calibri"/>
        </w:rPr>
        <w:t xml:space="preserve"> specific </w:t>
      </w:r>
      <w:r w:rsidRPr="3F862AAB">
        <w:rPr>
          <w:rFonts w:ascii="Calibri" w:eastAsia="Calibri" w:hAnsi="Calibri" w:cs="Calibri"/>
        </w:rPr>
        <w:t>emissions</w:t>
      </w:r>
      <w:r>
        <w:rPr>
          <w:rFonts w:ascii="Calibri" w:eastAsia="Calibri" w:hAnsi="Calibri" w:cs="Calibri"/>
        </w:rPr>
        <w:t xml:space="preserve"> profile</w:t>
      </w:r>
      <w:r w:rsidR="009B509E">
        <w:rPr>
          <w:rFonts w:ascii="Calibri" w:eastAsia="Calibri" w:hAnsi="Calibri" w:cs="Calibri"/>
        </w:rPr>
        <w:t xml:space="preserve"> for Aotearoa</w:t>
      </w:r>
      <w:r>
        <w:rPr>
          <w:rFonts w:ascii="Calibri" w:eastAsia="Calibri" w:hAnsi="Calibri" w:cs="Calibri"/>
        </w:rPr>
        <w:t>. However</w:t>
      </w:r>
      <w:r w:rsidRPr="3F862AAB">
        <w:rPr>
          <w:rFonts w:ascii="Calibri" w:eastAsia="Calibri" w:hAnsi="Calibri" w:cs="Calibri"/>
        </w:rPr>
        <w:t>, they do not account for any considerations of how effort is shared between countries. This is considered in the following section.</w:t>
      </w:r>
    </w:p>
    <w:p w14:paraId="1AC03A2B" w14:textId="75510401" w:rsidR="00F03A47" w:rsidRPr="00436B95" w:rsidRDefault="00F03A47" w:rsidP="00F03A47">
      <w:pPr>
        <w:pBdr>
          <w:top w:val="single" w:sz="4" w:space="1" w:color="auto"/>
          <w:left w:val="single" w:sz="4" w:space="4" w:color="auto"/>
          <w:bottom w:val="single" w:sz="4" w:space="1" w:color="auto"/>
          <w:right w:val="single" w:sz="4" w:space="4" w:color="auto"/>
        </w:pBdr>
        <w:rPr>
          <w:b/>
          <w:bCs/>
        </w:rPr>
      </w:pPr>
      <w:r w:rsidRPr="00436B95">
        <w:rPr>
          <w:b/>
          <w:bCs/>
        </w:rPr>
        <w:t>Box 8.</w:t>
      </w:r>
      <w:r w:rsidRPr="00436B95">
        <w:rPr>
          <w:b/>
          <w:bCs/>
        </w:rPr>
        <w:fldChar w:fldCharType="begin"/>
      </w:r>
      <w:r w:rsidRPr="00436B95">
        <w:rPr>
          <w:b/>
          <w:bCs/>
        </w:rPr>
        <w:instrText xml:space="preserve"> SEQ Box_8. \* ARABIC </w:instrText>
      </w:r>
      <w:r w:rsidRPr="00436B95">
        <w:rPr>
          <w:b/>
          <w:bCs/>
        </w:rPr>
        <w:fldChar w:fldCharType="separate"/>
      </w:r>
      <w:r w:rsidR="00A22B54">
        <w:rPr>
          <w:b/>
          <w:bCs/>
          <w:noProof/>
        </w:rPr>
        <w:t>1</w:t>
      </w:r>
      <w:r w:rsidRPr="00436B95">
        <w:rPr>
          <w:b/>
          <w:bCs/>
        </w:rPr>
        <w:fldChar w:fldCharType="end"/>
      </w:r>
      <w:r w:rsidRPr="00436B95">
        <w:rPr>
          <w:b/>
          <w:bCs/>
        </w:rPr>
        <w:t>: Gross-net accounting</w:t>
      </w:r>
    </w:p>
    <w:p w14:paraId="5B84446F" w14:textId="501742E6" w:rsidR="00F03A47" w:rsidRDefault="009B509E" w:rsidP="00F03A47">
      <w:pPr>
        <w:pBdr>
          <w:top w:val="single" w:sz="4" w:space="1" w:color="auto"/>
          <w:left w:val="single" w:sz="4" w:space="4" w:color="auto"/>
          <w:bottom w:val="single" w:sz="4" w:space="1" w:color="auto"/>
          <w:right w:val="single" w:sz="4" w:space="4" w:color="auto"/>
        </w:pBdr>
      </w:pPr>
      <w:r>
        <w:t>The</w:t>
      </w:r>
      <w:r w:rsidR="00F03A47">
        <w:t xml:space="preserve"> NDC uses a gross-net accounting approach. </w:t>
      </w:r>
      <w:r w:rsidR="00F03A47" w:rsidRPr="001A6F3A">
        <w:t>This is where the target is expressed relative to gross emissions</w:t>
      </w:r>
      <w:r w:rsidR="00F03A47">
        <w:t xml:space="preserve"> (excluding forestry)</w:t>
      </w:r>
      <w:r w:rsidR="00F03A47" w:rsidRPr="001A6F3A">
        <w:t xml:space="preserve"> in a base year</w:t>
      </w:r>
      <w:r w:rsidR="00F03A47">
        <w:t xml:space="preserve"> </w:t>
      </w:r>
      <w:r w:rsidR="00F03A47" w:rsidRPr="001A6F3A">
        <w:t xml:space="preserve">but emissions and removals by forests planted or deforested since the base year are counted </w:t>
      </w:r>
      <w:r w:rsidR="00F03A47">
        <w:t>in</w:t>
      </w:r>
      <w:r w:rsidR="00F03A47" w:rsidRPr="001A6F3A">
        <w:t xml:space="preserve"> meeting the target.</w:t>
      </w:r>
      <w:r w:rsidR="00F03A47">
        <w:t xml:space="preserve"> </w:t>
      </w:r>
    </w:p>
    <w:p w14:paraId="7C4234BB" w14:textId="0CB65674" w:rsidR="00F03A47" w:rsidRPr="00DF7E3B" w:rsidRDefault="00F03A47" w:rsidP="00F03A47">
      <w:pPr>
        <w:pBdr>
          <w:top w:val="single" w:sz="4" w:space="1" w:color="auto"/>
          <w:left w:val="single" w:sz="4" w:space="4" w:color="auto"/>
          <w:bottom w:val="single" w:sz="4" w:space="1" w:color="auto"/>
          <w:right w:val="single" w:sz="4" w:space="4" w:color="auto"/>
        </w:pBdr>
      </w:pPr>
      <w:r>
        <w:t xml:space="preserve">This is a legitimate internationally agreed approach that accounts for differences in timing of emissions and removals from forestry compared to other sectors. For most emitting sectors, the underlying activity and the emissions occur in the same year. However, for forestry, emissions and removals occur decades after the initial decision to plant. Aotearoa has 1.2 </w:t>
      </w:r>
      <w:proofErr w:type="spellStart"/>
      <w:r>
        <w:t>Mha</w:t>
      </w:r>
      <w:proofErr w:type="spellEnd"/>
      <w:r>
        <w:t xml:space="preserve"> of land that was in plantation forest in </w:t>
      </w:r>
      <w:r w:rsidR="009B509E">
        <w:t>the</w:t>
      </w:r>
      <w:r>
        <w:t xml:space="preserve"> base year (1990). </w:t>
      </w:r>
      <w:r w:rsidRPr="002C28A4">
        <w:t xml:space="preserve">The repeated growth and harvesting of this forest means that </w:t>
      </w:r>
      <w:r>
        <w:t>the country’s</w:t>
      </w:r>
      <w:r w:rsidRPr="002C28A4">
        <w:t xml:space="preserve"> net emissions will cyclically go up and down over decades, </w:t>
      </w:r>
      <w:r w:rsidRPr="00DF7E3B">
        <w:t>even if there was no change in the country’s other emissions or activities.</w:t>
      </w:r>
    </w:p>
    <w:p w14:paraId="4B789B41" w14:textId="078AF52E" w:rsidR="00F03A47" w:rsidRDefault="00F03A47" w:rsidP="00D54015">
      <w:pPr>
        <w:pBdr>
          <w:top w:val="single" w:sz="4" w:space="1" w:color="auto"/>
          <w:left w:val="single" w:sz="4" w:space="4" w:color="auto"/>
          <w:bottom w:val="single" w:sz="4" w:space="1" w:color="auto"/>
          <w:right w:val="single" w:sz="4" w:space="4" w:color="auto"/>
        </w:pBdr>
      </w:pPr>
      <w:r w:rsidRPr="00DF7E3B">
        <w:t xml:space="preserve">If </w:t>
      </w:r>
      <w:r w:rsidR="009B509E">
        <w:t>the</w:t>
      </w:r>
      <w:r w:rsidRPr="00DF7E3B">
        <w:t xml:space="preserve"> target</w:t>
      </w:r>
      <w:r w:rsidR="009B509E">
        <w:t xml:space="preserve"> for Aotearoa</w:t>
      </w:r>
      <w:r w:rsidRPr="00DF7E3B">
        <w:t xml:space="preserve"> was measured against net emissions in the base year</w:t>
      </w:r>
      <w:r>
        <w:t>, and accounted for the emissions and removals from all forests (net/net accounting)</w:t>
      </w:r>
      <w:r w:rsidRPr="00DF7E3B">
        <w:t xml:space="preserve"> the</w:t>
      </w:r>
      <w:r>
        <w:t xml:space="preserve"> long-term ebb and flow of growth and harvesting </w:t>
      </w:r>
      <w:r w:rsidRPr="00DF7E3B">
        <w:t xml:space="preserve">would make </w:t>
      </w:r>
      <w:r>
        <w:t>the country’s climate</w:t>
      </w:r>
      <w:r w:rsidRPr="00DF7E3B">
        <w:t xml:space="preserve"> action look unjustifiably good or bad depending on the point in the harvest cycle used for comparison.</w:t>
      </w:r>
      <w:r>
        <w:t xml:space="preserve"> We provide more detail on this accounting approach in </w:t>
      </w:r>
      <w:r w:rsidRPr="000071DF">
        <w:rPr>
          <w:i/>
          <w:iCs/>
        </w:rPr>
        <w:t>Chapter 3: How to measure progress</w:t>
      </w:r>
      <w:r>
        <w:t xml:space="preserve"> in the Evidence Report.</w:t>
      </w:r>
    </w:p>
    <w:p w14:paraId="6CE8F8A8" w14:textId="77777777" w:rsidR="00F03A47" w:rsidRPr="00E2790B" w:rsidRDefault="00F03A47" w:rsidP="00F03A47">
      <w:pPr>
        <w:pStyle w:val="Heading2"/>
      </w:pPr>
      <w:bookmarkStart w:id="308" w:name="_Toc62052779"/>
      <w:bookmarkStart w:id="309" w:name="_Toc62650338"/>
      <w:r>
        <w:t xml:space="preserve">8.4 </w:t>
      </w:r>
      <w:r w:rsidRPr="00E2790B">
        <w:t>Developed countries have agreed to lead the way</w:t>
      </w:r>
      <w:bookmarkEnd w:id="308"/>
      <w:bookmarkEnd w:id="309"/>
      <w:r w:rsidRPr="00E2790B">
        <w:t xml:space="preserve"> </w:t>
      </w:r>
    </w:p>
    <w:p w14:paraId="40984263" w14:textId="77777777" w:rsidR="00F03A47" w:rsidRPr="00572A71" w:rsidRDefault="00F03A47" w:rsidP="00F03A47">
      <w:pPr>
        <w:rPr>
          <w:rFonts w:ascii="Calibri" w:hAnsi="Calibri" w:cs="Calibri"/>
        </w:rPr>
      </w:pPr>
      <w:r w:rsidRPr="00572A71">
        <w:t>Climate</w:t>
      </w:r>
      <w:r>
        <w:t xml:space="preserve"> </w:t>
      </w:r>
      <w:r w:rsidRPr="00572A71">
        <w:t>change</w:t>
      </w:r>
      <w:r>
        <w:t xml:space="preserve"> </w:t>
      </w:r>
      <w:r w:rsidRPr="00572A71">
        <w:t>is</w:t>
      </w:r>
      <w:r>
        <w:t xml:space="preserve"> </w:t>
      </w:r>
      <w:r w:rsidRPr="00572A71">
        <w:t>a</w:t>
      </w:r>
      <w:r>
        <w:t xml:space="preserve"> </w:t>
      </w:r>
      <w:r w:rsidRPr="00572A71">
        <w:t>global</w:t>
      </w:r>
      <w:r>
        <w:t xml:space="preserve"> </w:t>
      </w:r>
      <w:r w:rsidRPr="00572A71">
        <w:t>proble</w:t>
      </w:r>
      <w:r w:rsidRPr="00572A71">
        <w:rPr>
          <w:rStyle w:val="normaltextrun"/>
          <w:rFonts w:ascii="Calibri" w:hAnsi="Calibri" w:cs="Calibri"/>
        </w:rPr>
        <w:t>m</w:t>
      </w:r>
      <w:r>
        <w:rPr>
          <w:rStyle w:val="normaltextrun"/>
          <w:rFonts w:ascii="Calibri" w:hAnsi="Calibri" w:cs="Calibri"/>
        </w:rPr>
        <w:t xml:space="preserve"> </w:t>
      </w:r>
      <w:r w:rsidRPr="00572A71">
        <w:rPr>
          <w:rStyle w:val="normaltextrun"/>
          <w:rFonts w:ascii="Calibri" w:hAnsi="Calibri" w:cs="Calibri"/>
        </w:rPr>
        <w:t>and</w:t>
      </w:r>
      <w:r>
        <w:rPr>
          <w:rStyle w:val="normaltextrun"/>
          <w:rFonts w:ascii="Calibri" w:hAnsi="Calibri" w:cs="Calibri"/>
        </w:rPr>
        <w:t xml:space="preserve"> </w:t>
      </w:r>
      <w:r w:rsidRPr="00572A71">
        <w:rPr>
          <w:rStyle w:val="normaltextrun"/>
          <w:rFonts w:ascii="Calibri" w:hAnsi="Calibri" w:cs="Calibri"/>
        </w:rPr>
        <w:t>no</w:t>
      </w:r>
      <w:r>
        <w:rPr>
          <w:rStyle w:val="normaltextrun"/>
          <w:rFonts w:ascii="Calibri" w:hAnsi="Calibri" w:cs="Calibri"/>
        </w:rPr>
        <w:t xml:space="preserve"> </w:t>
      </w:r>
      <w:r w:rsidRPr="00572A71">
        <w:rPr>
          <w:rStyle w:val="normaltextrun"/>
          <w:rFonts w:ascii="Calibri" w:hAnsi="Calibri" w:cs="Calibri"/>
        </w:rPr>
        <w:t>country</w:t>
      </w:r>
      <w:r>
        <w:rPr>
          <w:rStyle w:val="normaltextrun"/>
          <w:rFonts w:ascii="Calibri" w:hAnsi="Calibri" w:cs="Calibri"/>
        </w:rPr>
        <w:t xml:space="preserve"> </w:t>
      </w:r>
      <w:r w:rsidRPr="00572A71">
        <w:rPr>
          <w:rStyle w:val="normaltextrun"/>
          <w:rFonts w:ascii="Calibri" w:hAnsi="Calibri" w:cs="Calibri"/>
        </w:rPr>
        <w:t>is</w:t>
      </w:r>
      <w:r>
        <w:rPr>
          <w:rStyle w:val="normaltextrun"/>
          <w:rFonts w:ascii="Calibri" w:hAnsi="Calibri" w:cs="Calibri"/>
        </w:rPr>
        <w:t xml:space="preserve"> </w:t>
      </w:r>
      <w:r w:rsidRPr="00572A71">
        <w:rPr>
          <w:rStyle w:val="normaltextrun"/>
          <w:rFonts w:ascii="Calibri" w:hAnsi="Calibri" w:cs="Calibri"/>
        </w:rPr>
        <w:t>immune</w:t>
      </w:r>
      <w:r>
        <w:rPr>
          <w:rStyle w:val="normaltextrun"/>
          <w:rFonts w:ascii="Calibri" w:hAnsi="Calibri" w:cs="Calibri"/>
        </w:rPr>
        <w:t xml:space="preserve"> from its effects</w:t>
      </w:r>
      <w:r w:rsidRPr="00572A71">
        <w:rPr>
          <w:rStyle w:val="normaltextrun"/>
          <w:rFonts w:ascii="Calibri" w:hAnsi="Calibri" w:cs="Calibri"/>
        </w:rPr>
        <w:t>.</w:t>
      </w:r>
      <w:r>
        <w:rPr>
          <w:rStyle w:val="normaltextrun"/>
          <w:rFonts w:ascii="Calibri" w:hAnsi="Calibri" w:cs="Calibri"/>
        </w:rPr>
        <w:t xml:space="preserve"> </w:t>
      </w:r>
      <w:r w:rsidRPr="00572A71">
        <w:rPr>
          <w:rStyle w:val="normaltextrun"/>
          <w:rFonts w:ascii="Calibri" w:hAnsi="Calibri" w:cs="Calibri"/>
        </w:rPr>
        <w:t>Greenhouse</w:t>
      </w:r>
      <w:r>
        <w:rPr>
          <w:rStyle w:val="normaltextrun"/>
          <w:rFonts w:ascii="Calibri" w:hAnsi="Calibri" w:cs="Calibri"/>
        </w:rPr>
        <w:t xml:space="preserve"> </w:t>
      </w:r>
      <w:r w:rsidRPr="00572A71">
        <w:rPr>
          <w:rStyle w:val="normaltextrun"/>
          <w:rFonts w:ascii="Calibri" w:hAnsi="Calibri" w:cs="Calibri"/>
        </w:rPr>
        <w:t>emissions</w:t>
      </w:r>
      <w:r>
        <w:rPr>
          <w:rStyle w:val="normaltextrun"/>
          <w:rFonts w:ascii="Calibri" w:hAnsi="Calibri" w:cs="Calibri"/>
        </w:rPr>
        <w:t xml:space="preserve"> </w:t>
      </w:r>
      <w:r w:rsidRPr="00572A71">
        <w:rPr>
          <w:rStyle w:val="normaltextrun"/>
          <w:rFonts w:ascii="Calibri" w:hAnsi="Calibri" w:cs="Calibri"/>
        </w:rPr>
        <w:t>from</w:t>
      </w:r>
      <w:r>
        <w:rPr>
          <w:rStyle w:val="normaltextrun"/>
          <w:rFonts w:ascii="Calibri" w:hAnsi="Calibri" w:cs="Calibri"/>
        </w:rPr>
        <w:t xml:space="preserve"> </w:t>
      </w:r>
      <w:r w:rsidRPr="00572A71">
        <w:rPr>
          <w:rStyle w:val="normaltextrun"/>
          <w:rFonts w:ascii="Calibri" w:hAnsi="Calibri" w:cs="Calibri"/>
        </w:rPr>
        <w:t>every</w:t>
      </w:r>
      <w:r>
        <w:rPr>
          <w:rStyle w:val="normaltextrun"/>
          <w:rFonts w:ascii="Calibri" w:hAnsi="Calibri" w:cs="Calibri"/>
        </w:rPr>
        <w:t xml:space="preserve"> </w:t>
      </w:r>
      <w:r w:rsidRPr="00572A71">
        <w:rPr>
          <w:rStyle w:val="normaltextrun"/>
          <w:rFonts w:ascii="Calibri" w:hAnsi="Calibri" w:cs="Calibri"/>
        </w:rPr>
        <w:t>country</w:t>
      </w:r>
      <w:r>
        <w:rPr>
          <w:rStyle w:val="normaltextrun"/>
          <w:rFonts w:ascii="Calibri" w:hAnsi="Calibri" w:cs="Calibri"/>
        </w:rPr>
        <w:t xml:space="preserve"> </w:t>
      </w:r>
      <w:r w:rsidRPr="0CAA455E">
        <w:rPr>
          <w:rStyle w:val="normaltextrun"/>
          <w:rFonts w:ascii="Calibri" w:hAnsi="Calibri" w:cs="Calibri"/>
        </w:rPr>
        <w:t>affects</w:t>
      </w:r>
      <w:r>
        <w:rPr>
          <w:rStyle w:val="normaltextrun"/>
          <w:rFonts w:ascii="Calibri" w:hAnsi="Calibri" w:cs="Calibri"/>
        </w:rPr>
        <w:t xml:space="preserve"> </w:t>
      </w:r>
      <w:r w:rsidRPr="00572A71">
        <w:rPr>
          <w:rStyle w:val="normaltextrun"/>
          <w:rFonts w:ascii="Calibri" w:hAnsi="Calibri" w:cs="Calibri"/>
        </w:rPr>
        <w:t>all</w:t>
      </w:r>
      <w:r>
        <w:rPr>
          <w:rStyle w:val="normaltextrun"/>
          <w:rFonts w:ascii="Calibri" w:hAnsi="Calibri" w:cs="Calibri"/>
        </w:rPr>
        <w:t xml:space="preserve"> </w:t>
      </w:r>
      <w:r w:rsidRPr="00572A71">
        <w:rPr>
          <w:rStyle w:val="normaltextrun"/>
          <w:rFonts w:ascii="Calibri" w:hAnsi="Calibri" w:cs="Calibri"/>
        </w:rPr>
        <w:t>countries.</w:t>
      </w:r>
      <w:r>
        <w:rPr>
          <w:rStyle w:val="normaltextrun"/>
          <w:rFonts w:ascii="Calibri" w:hAnsi="Calibri" w:cs="Calibri"/>
        </w:rPr>
        <w:t xml:space="preserve"> </w:t>
      </w:r>
      <w:r w:rsidRPr="00572A71">
        <w:rPr>
          <w:rStyle w:val="normaltextrun"/>
          <w:rFonts w:ascii="Calibri" w:hAnsi="Calibri" w:cs="Calibri"/>
        </w:rPr>
        <w:t>All</w:t>
      </w:r>
      <w:r>
        <w:rPr>
          <w:rStyle w:val="normaltextrun"/>
          <w:rFonts w:ascii="Calibri" w:hAnsi="Calibri" w:cs="Calibri"/>
        </w:rPr>
        <w:t xml:space="preserve"> </w:t>
      </w:r>
      <w:r w:rsidRPr="00572A71">
        <w:rPr>
          <w:rStyle w:val="normaltextrun"/>
          <w:rFonts w:ascii="Calibri" w:hAnsi="Calibri" w:cs="Calibri"/>
        </w:rPr>
        <w:t>countries</w:t>
      </w:r>
      <w:r>
        <w:rPr>
          <w:rStyle w:val="normaltextrun"/>
          <w:rFonts w:ascii="Calibri" w:hAnsi="Calibri" w:cs="Calibri"/>
        </w:rPr>
        <w:t xml:space="preserve"> </w:t>
      </w:r>
      <w:r w:rsidRPr="0CAA455E">
        <w:rPr>
          <w:rStyle w:val="normaltextrun"/>
          <w:rFonts w:ascii="Calibri" w:hAnsi="Calibri" w:cs="Calibri"/>
        </w:rPr>
        <w:t>will</w:t>
      </w:r>
      <w:r>
        <w:rPr>
          <w:rStyle w:val="normaltextrun"/>
          <w:rFonts w:ascii="Calibri" w:hAnsi="Calibri" w:cs="Calibri"/>
        </w:rPr>
        <w:t xml:space="preserve"> </w:t>
      </w:r>
      <w:r w:rsidRPr="00572A71">
        <w:rPr>
          <w:rStyle w:val="normaltextrun"/>
          <w:rFonts w:ascii="Calibri" w:hAnsi="Calibri" w:cs="Calibri"/>
        </w:rPr>
        <w:t>need</w:t>
      </w:r>
      <w:r>
        <w:rPr>
          <w:rStyle w:val="normaltextrun"/>
          <w:rFonts w:ascii="Calibri" w:hAnsi="Calibri" w:cs="Calibri"/>
        </w:rPr>
        <w:t xml:space="preserve"> </w:t>
      </w:r>
      <w:r w:rsidRPr="00572A71">
        <w:rPr>
          <w:rStyle w:val="normaltextrun"/>
          <w:rFonts w:ascii="Calibri" w:hAnsi="Calibri" w:cs="Calibri"/>
        </w:rPr>
        <w:t>to</w:t>
      </w:r>
      <w:r>
        <w:rPr>
          <w:rStyle w:val="normaltextrun"/>
          <w:rFonts w:ascii="Calibri" w:hAnsi="Calibri" w:cs="Calibri"/>
        </w:rPr>
        <w:t xml:space="preserve"> </w:t>
      </w:r>
      <w:r w:rsidRPr="00572A71">
        <w:rPr>
          <w:rStyle w:val="normaltextrun"/>
          <w:rFonts w:ascii="Calibri" w:hAnsi="Calibri" w:cs="Calibri"/>
        </w:rPr>
        <w:t>act</w:t>
      </w:r>
      <w:r>
        <w:rPr>
          <w:rStyle w:val="normaltextrun"/>
          <w:rFonts w:ascii="Calibri" w:hAnsi="Calibri" w:cs="Calibri"/>
        </w:rPr>
        <w:t xml:space="preserve"> </w:t>
      </w:r>
      <w:r w:rsidRPr="00572A71">
        <w:rPr>
          <w:rStyle w:val="normaltextrun"/>
          <w:rFonts w:ascii="Calibri" w:hAnsi="Calibri" w:cs="Calibri"/>
        </w:rPr>
        <w:t>and</w:t>
      </w:r>
      <w:r w:rsidRPr="00934BC2">
        <w:rPr>
          <w:rStyle w:val="normaltextrun"/>
          <w:rFonts w:ascii="Calibri" w:hAnsi="Calibri" w:cs="Calibri"/>
        </w:rPr>
        <w:t>,</w:t>
      </w:r>
      <w:r>
        <w:rPr>
          <w:rStyle w:val="normaltextrun"/>
          <w:rFonts w:ascii="Calibri" w:hAnsi="Calibri" w:cs="Calibri"/>
        </w:rPr>
        <w:t xml:space="preserve"> </w:t>
      </w:r>
      <w:r w:rsidRPr="00572A71">
        <w:rPr>
          <w:rStyle w:val="normaltextrun"/>
          <w:rFonts w:ascii="Calibri" w:hAnsi="Calibri" w:cs="Calibri"/>
        </w:rPr>
        <w:t>through</w:t>
      </w:r>
      <w:r>
        <w:rPr>
          <w:rStyle w:val="normaltextrun"/>
          <w:rFonts w:ascii="Calibri" w:hAnsi="Calibri" w:cs="Calibri"/>
        </w:rPr>
        <w:t xml:space="preserve"> </w:t>
      </w:r>
      <w:r w:rsidRPr="00572A71">
        <w:rPr>
          <w:rStyle w:val="normaltextrun"/>
          <w:rFonts w:ascii="Calibri" w:hAnsi="Calibri" w:cs="Calibri"/>
        </w:rPr>
        <w:t>the</w:t>
      </w:r>
      <w:r>
        <w:rPr>
          <w:rStyle w:val="normaltextrun"/>
          <w:rFonts w:ascii="Calibri" w:hAnsi="Calibri" w:cs="Calibri"/>
        </w:rPr>
        <w:t xml:space="preserve"> </w:t>
      </w:r>
      <w:r w:rsidRPr="00572A71">
        <w:rPr>
          <w:rStyle w:val="normaltextrun"/>
          <w:rFonts w:ascii="Calibri" w:hAnsi="Calibri" w:cs="Calibri"/>
        </w:rPr>
        <w:t>Framework</w:t>
      </w:r>
      <w:r>
        <w:rPr>
          <w:rStyle w:val="normaltextrun"/>
          <w:rFonts w:ascii="Calibri" w:hAnsi="Calibri" w:cs="Calibri"/>
        </w:rPr>
        <w:t xml:space="preserve"> </w:t>
      </w:r>
      <w:r w:rsidRPr="00572A71">
        <w:rPr>
          <w:rStyle w:val="normaltextrun"/>
          <w:rFonts w:ascii="Calibri" w:hAnsi="Calibri" w:cs="Calibri"/>
        </w:rPr>
        <w:t>Convention</w:t>
      </w:r>
      <w:r>
        <w:rPr>
          <w:rStyle w:val="normaltextrun"/>
          <w:rFonts w:ascii="Calibri" w:hAnsi="Calibri" w:cs="Calibri"/>
        </w:rPr>
        <w:t xml:space="preserve"> </w:t>
      </w:r>
      <w:r w:rsidRPr="00572A71">
        <w:rPr>
          <w:rStyle w:val="normaltextrun"/>
          <w:rFonts w:ascii="Calibri" w:hAnsi="Calibri" w:cs="Calibri"/>
        </w:rPr>
        <w:t>on</w:t>
      </w:r>
      <w:r>
        <w:rPr>
          <w:rStyle w:val="normaltextrun"/>
          <w:rFonts w:ascii="Calibri" w:hAnsi="Calibri" w:cs="Calibri"/>
        </w:rPr>
        <w:t xml:space="preserve"> </w:t>
      </w:r>
      <w:r w:rsidRPr="00572A71">
        <w:rPr>
          <w:rStyle w:val="normaltextrun"/>
          <w:rFonts w:ascii="Calibri" w:hAnsi="Calibri" w:cs="Calibri"/>
        </w:rPr>
        <w:t>Climate</w:t>
      </w:r>
      <w:r>
        <w:rPr>
          <w:rStyle w:val="normaltextrun"/>
          <w:rFonts w:ascii="Calibri" w:hAnsi="Calibri" w:cs="Calibri"/>
        </w:rPr>
        <w:t xml:space="preserve"> </w:t>
      </w:r>
      <w:r w:rsidRPr="00572A71">
        <w:rPr>
          <w:rStyle w:val="normaltextrun"/>
          <w:rFonts w:ascii="Calibri" w:hAnsi="Calibri" w:cs="Calibri"/>
        </w:rPr>
        <w:t>Change</w:t>
      </w:r>
      <w:r>
        <w:rPr>
          <w:rStyle w:val="normaltextrun"/>
          <w:rFonts w:ascii="Calibri" w:hAnsi="Calibri" w:cs="Calibri"/>
        </w:rPr>
        <w:t xml:space="preserve"> </w:t>
      </w:r>
      <w:r w:rsidRPr="00572A71">
        <w:rPr>
          <w:rStyle w:val="normaltextrun"/>
          <w:rFonts w:ascii="Calibri" w:hAnsi="Calibri" w:cs="Calibri"/>
        </w:rPr>
        <w:t>and</w:t>
      </w:r>
      <w:r>
        <w:rPr>
          <w:rStyle w:val="normaltextrun"/>
          <w:rFonts w:ascii="Calibri" w:hAnsi="Calibri" w:cs="Calibri"/>
        </w:rPr>
        <w:t xml:space="preserve"> </w:t>
      </w:r>
      <w:r w:rsidRPr="00572A71">
        <w:rPr>
          <w:rStyle w:val="normaltextrun"/>
          <w:rFonts w:ascii="Calibri" w:hAnsi="Calibri" w:cs="Calibri"/>
        </w:rPr>
        <w:t>the</w:t>
      </w:r>
      <w:r>
        <w:rPr>
          <w:rStyle w:val="normaltextrun"/>
          <w:rFonts w:ascii="Calibri" w:hAnsi="Calibri" w:cs="Calibri"/>
        </w:rPr>
        <w:t xml:space="preserve"> </w:t>
      </w:r>
      <w:r w:rsidRPr="00572A71">
        <w:rPr>
          <w:rStyle w:val="normaltextrun"/>
          <w:rFonts w:ascii="Calibri" w:hAnsi="Calibri" w:cs="Calibri"/>
        </w:rPr>
        <w:t>Paris</w:t>
      </w:r>
      <w:r>
        <w:rPr>
          <w:rStyle w:val="normaltextrun"/>
          <w:rFonts w:ascii="Calibri" w:hAnsi="Calibri" w:cs="Calibri"/>
        </w:rPr>
        <w:t xml:space="preserve"> </w:t>
      </w:r>
      <w:r w:rsidRPr="00572A71">
        <w:rPr>
          <w:rStyle w:val="normaltextrun"/>
          <w:rFonts w:ascii="Calibri" w:hAnsi="Calibri" w:cs="Calibri"/>
        </w:rPr>
        <w:t>agreement,</w:t>
      </w:r>
      <w:r>
        <w:rPr>
          <w:rStyle w:val="normaltextrun"/>
          <w:rFonts w:ascii="Calibri" w:hAnsi="Calibri" w:cs="Calibri"/>
        </w:rPr>
        <w:t xml:space="preserve"> </w:t>
      </w:r>
      <w:r w:rsidRPr="00572A71">
        <w:rPr>
          <w:rStyle w:val="normaltextrun"/>
          <w:rFonts w:ascii="Calibri" w:hAnsi="Calibri" w:cs="Calibri"/>
        </w:rPr>
        <w:t>nearly</w:t>
      </w:r>
      <w:r>
        <w:rPr>
          <w:rStyle w:val="normaltextrun"/>
          <w:rFonts w:ascii="Calibri" w:hAnsi="Calibri" w:cs="Calibri"/>
        </w:rPr>
        <w:t xml:space="preserve"> </w:t>
      </w:r>
      <w:r w:rsidRPr="00572A71">
        <w:rPr>
          <w:rStyle w:val="normaltextrun"/>
          <w:rFonts w:ascii="Calibri" w:hAnsi="Calibri" w:cs="Calibri"/>
        </w:rPr>
        <w:t>all</w:t>
      </w:r>
      <w:r>
        <w:rPr>
          <w:rStyle w:val="normaltextrun"/>
          <w:rFonts w:ascii="Calibri" w:hAnsi="Calibri" w:cs="Calibri"/>
        </w:rPr>
        <w:t xml:space="preserve"> </w:t>
      </w:r>
      <w:r w:rsidRPr="00572A71">
        <w:rPr>
          <w:rStyle w:val="normaltextrun"/>
          <w:rFonts w:ascii="Calibri" w:hAnsi="Calibri" w:cs="Calibri"/>
        </w:rPr>
        <w:t>countries</w:t>
      </w:r>
      <w:r>
        <w:rPr>
          <w:rStyle w:val="normaltextrun"/>
          <w:rFonts w:ascii="Calibri" w:hAnsi="Calibri" w:cs="Calibri"/>
        </w:rPr>
        <w:t xml:space="preserve"> </w:t>
      </w:r>
      <w:r w:rsidRPr="00572A71">
        <w:rPr>
          <w:rStyle w:val="normaltextrun"/>
          <w:rFonts w:ascii="Calibri" w:hAnsi="Calibri" w:cs="Calibri"/>
        </w:rPr>
        <w:t>have</w:t>
      </w:r>
      <w:r>
        <w:rPr>
          <w:rStyle w:val="normaltextrun"/>
          <w:rFonts w:ascii="Calibri" w:hAnsi="Calibri" w:cs="Calibri"/>
        </w:rPr>
        <w:t xml:space="preserve"> </w:t>
      </w:r>
      <w:r w:rsidRPr="00572A71">
        <w:rPr>
          <w:rStyle w:val="normaltextrun"/>
          <w:rFonts w:ascii="Calibri" w:hAnsi="Calibri" w:cs="Calibri"/>
        </w:rPr>
        <w:t>agreed</w:t>
      </w:r>
      <w:r>
        <w:rPr>
          <w:rStyle w:val="normaltextrun"/>
          <w:rFonts w:ascii="Calibri" w:hAnsi="Calibri" w:cs="Calibri"/>
        </w:rPr>
        <w:t xml:space="preserve"> </w:t>
      </w:r>
      <w:r w:rsidRPr="00572A71">
        <w:rPr>
          <w:rStyle w:val="normaltextrun"/>
          <w:rFonts w:ascii="Calibri" w:hAnsi="Calibri" w:cs="Calibri"/>
        </w:rPr>
        <w:t>they</w:t>
      </w:r>
      <w:r>
        <w:rPr>
          <w:rStyle w:val="normaltextrun"/>
          <w:rFonts w:ascii="Calibri" w:hAnsi="Calibri" w:cs="Calibri"/>
        </w:rPr>
        <w:t xml:space="preserve"> </w:t>
      </w:r>
      <w:r w:rsidRPr="00572A71">
        <w:rPr>
          <w:rStyle w:val="normaltextrun"/>
          <w:rFonts w:ascii="Calibri" w:hAnsi="Calibri" w:cs="Calibri"/>
        </w:rPr>
        <w:t>will</w:t>
      </w:r>
      <w:r>
        <w:rPr>
          <w:rStyle w:val="normaltextrun"/>
          <w:rFonts w:ascii="Calibri" w:hAnsi="Calibri" w:cs="Calibri"/>
        </w:rPr>
        <w:t xml:space="preserve"> </w:t>
      </w:r>
      <w:r w:rsidRPr="00572A71">
        <w:rPr>
          <w:rStyle w:val="normaltextrun"/>
          <w:rFonts w:ascii="Calibri" w:hAnsi="Calibri" w:cs="Calibri"/>
        </w:rPr>
        <w:t>do</w:t>
      </w:r>
      <w:r>
        <w:rPr>
          <w:rStyle w:val="normaltextrun"/>
          <w:rFonts w:ascii="Calibri" w:hAnsi="Calibri" w:cs="Calibri"/>
        </w:rPr>
        <w:t xml:space="preserve"> </w:t>
      </w:r>
      <w:r w:rsidRPr="00572A71">
        <w:rPr>
          <w:rStyle w:val="normaltextrun"/>
          <w:rFonts w:ascii="Calibri" w:hAnsi="Calibri" w:cs="Calibri"/>
        </w:rPr>
        <w:t>so.</w:t>
      </w:r>
      <w:r>
        <w:rPr>
          <w:rStyle w:val="eop"/>
          <w:rFonts w:ascii="Calibri" w:hAnsi="Calibri" w:cs="Calibri"/>
        </w:rPr>
        <w:t xml:space="preserve"> </w:t>
      </w:r>
    </w:p>
    <w:p w14:paraId="2C37A576" w14:textId="6A7C6113" w:rsidR="00F03A47" w:rsidRDefault="00F03A47" w:rsidP="00F03A47">
      <w:pPr>
        <w:rPr>
          <w:rStyle w:val="normaltextrun"/>
          <w:rFonts w:ascii="Calibri" w:hAnsi="Calibri" w:cs="Calibri"/>
          <w:color w:val="000000"/>
          <w:shd w:val="clear" w:color="auto" w:fill="FFFFFF"/>
        </w:rPr>
      </w:pPr>
      <w:r w:rsidRPr="00887231">
        <w:t>In</w:t>
      </w:r>
      <w:r>
        <w:t xml:space="preserve"> </w:t>
      </w:r>
      <w:r w:rsidRPr="00887231">
        <w:t>terms</w:t>
      </w:r>
      <w:r>
        <w:t xml:space="preserve"> </w:t>
      </w:r>
      <w:r w:rsidRPr="00887231">
        <w:t>of</w:t>
      </w:r>
      <w:r>
        <w:rPr>
          <w:rStyle w:val="normaltextrun"/>
          <w:rFonts w:ascii="Calibri" w:hAnsi="Calibri" w:cs="Calibri"/>
        </w:rPr>
        <w:t xml:space="preserve"> </w:t>
      </w:r>
      <w:r w:rsidRPr="00887231">
        <w:rPr>
          <w:rStyle w:val="normaltextrun"/>
          <w:rFonts w:ascii="Calibri" w:hAnsi="Calibri" w:cs="Calibri"/>
        </w:rPr>
        <w:t>Gross</w:t>
      </w:r>
      <w:r>
        <w:rPr>
          <w:rStyle w:val="normaltextrun"/>
          <w:rFonts w:ascii="Calibri" w:hAnsi="Calibri" w:cs="Calibri"/>
        </w:rPr>
        <w:t xml:space="preserve"> </w:t>
      </w:r>
      <w:r w:rsidRPr="00887231">
        <w:rPr>
          <w:rStyle w:val="normaltextrun"/>
          <w:rFonts w:ascii="Calibri" w:hAnsi="Calibri" w:cs="Calibri"/>
        </w:rPr>
        <w:t>National</w:t>
      </w:r>
      <w:r>
        <w:rPr>
          <w:rStyle w:val="normaltextrun"/>
          <w:rFonts w:ascii="Calibri" w:hAnsi="Calibri" w:cs="Calibri"/>
        </w:rPr>
        <w:t xml:space="preserve"> </w:t>
      </w:r>
      <w:r w:rsidRPr="00887231">
        <w:rPr>
          <w:rStyle w:val="normaltextrun"/>
          <w:rFonts w:ascii="Calibri" w:hAnsi="Calibri" w:cs="Calibri"/>
        </w:rPr>
        <w:t>Income</w:t>
      </w:r>
      <w:r>
        <w:rPr>
          <w:rStyle w:val="normaltextrun"/>
          <w:rFonts w:ascii="Calibri" w:hAnsi="Calibri" w:cs="Calibri"/>
        </w:rPr>
        <w:t xml:space="preserve"> </w:t>
      </w:r>
      <w:r w:rsidRPr="00887231">
        <w:rPr>
          <w:rStyle w:val="normaltextrun"/>
          <w:rFonts w:ascii="Calibri" w:hAnsi="Calibri" w:cs="Calibri"/>
        </w:rPr>
        <w:t>per</w:t>
      </w:r>
      <w:r>
        <w:rPr>
          <w:rStyle w:val="normaltextrun"/>
          <w:rFonts w:ascii="Calibri" w:hAnsi="Calibri" w:cs="Calibri"/>
        </w:rPr>
        <w:t xml:space="preserve"> </w:t>
      </w:r>
      <w:r w:rsidRPr="00887231">
        <w:rPr>
          <w:rStyle w:val="normaltextrun"/>
          <w:rFonts w:ascii="Calibri" w:hAnsi="Calibri" w:cs="Calibri"/>
        </w:rPr>
        <w:t>capita,</w:t>
      </w:r>
      <w:r>
        <w:rPr>
          <w:rStyle w:val="normaltextrun"/>
          <w:rFonts w:ascii="Calibri" w:hAnsi="Calibri" w:cs="Calibri"/>
        </w:rPr>
        <w:t xml:space="preserve"> </w:t>
      </w:r>
      <w:r w:rsidRPr="00887231">
        <w:rPr>
          <w:rStyle w:val="normaltextrun"/>
          <w:rFonts w:ascii="Calibri" w:hAnsi="Calibri" w:cs="Calibri"/>
          <w:color w:val="000000"/>
          <w:shd w:val="clear" w:color="auto" w:fill="FFFFFF"/>
        </w:rPr>
        <w:t>Aotearoa</w:t>
      </w:r>
      <w:r>
        <w:rPr>
          <w:rStyle w:val="normaltextrun"/>
          <w:rFonts w:ascii="Calibri" w:hAnsi="Calibri" w:cs="Calibri"/>
          <w:color w:val="000000"/>
          <w:shd w:val="clear" w:color="auto" w:fill="FFFFFF"/>
        </w:rPr>
        <w:t xml:space="preserve"> </w:t>
      </w:r>
      <w:r w:rsidRPr="00887231">
        <w:rPr>
          <w:rStyle w:val="normaltextrun"/>
          <w:rFonts w:ascii="Calibri" w:hAnsi="Calibri" w:cs="Calibri"/>
          <w:color w:val="000000"/>
          <w:shd w:val="clear" w:color="auto" w:fill="FFFFFF"/>
        </w:rPr>
        <w:t>ranks</w:t>
      </w:r>
      <w:r>
        <w:rPr>
          <w:rStyle w:val="normaltextrun"/>
          <w:rFonts w:ascii="Calibri" w:hAnsi="Calibri" w:cs="Calibri"/>
          <w:color w:val="000000"/>
          <w:shd w:val="clear" w:color="auto" w:fill="FFFFFF"/>
        </w:rPr>
        <w:t xml:space="preserve"> </w:t>
      </w:r>
      <w:r w:rsidRPr="00887231">
        <w:rPr>
          <w:rStyle w:val="normaltextrun"/>
          <w:rFonts w:ascii="Calibri" w:hAnsi="Calibri" w:cs="Calibri"/>
          <w:color w:val="000000"/>
          <w:shd w:val="clear" w:color="auto" w:fill="FFFFFF"/>
        </w:rPr>
        <w:t>as</w:t>
      </w:r>
      <w:r>
        <w:rPr>
          <w:rStyle w:val="normaltextrun"/>
          <w:rFonts w:ascii="Calibri" w:hAnsi="Calibri" w:cs="Calibri"/>
          <w:color w:val="000000"/>
          <w:shd w:val="clear" w:color="auto" w:fill="FFFFFF"/>
        </w:rPr>
        <w:t xml:space="preserve"> </w:t>
      </w:r>
      <w:r w:rsidRPr="00887231">
        <w:rPr>
          <w:rStyle w:val="normaltextrun"/>
          <w:rFonts w:ascii="Calibri" w:hAnsi="Calibri" w:cs="Calibri"/>
          <w:color w:val="000000"/>
          <w:shd w:val="clear" w:color="auto" w:fill="FFFFFF"/>
        </w:rPr>
        <w:t>a</w:t>
      </w:r>
      <w:r>
        <w:rPr>
          <w:rStyle w:val="normaltextrun"/>
          <w:rFonts w:ascii="Calibri" w:hAnsi="Calibri" w:cs="Calibri"/>
          <w:color w:val="000000"/>
          <w:shd w:val="clear" w:color="auto" w:fill="FFFFFF"/>
        </w:rPr>
        <w:t xml:space="preserve"> </w:t>
      </w:r>
      <w:r w:rsidRPr="00887231">
        <w:rPr>
          <w:rStyle w:val="normaltextrun"/>
          <w:rFonts w:ascii="Calibri" w:hAnsi="Calibri" w:cs="Calibri"/>
          <w:color w:val="000000"/>
          <w:shd w:val="clear" w:color="auto" w:fill="FFFFFF"/>
        </w:rPr>
        <w:t>wealthy,</w:t>
      </w:r>
      <w:r>
        <w:rPr>
          <w:rStyle w:val="normaltextrun"/>
          <w:rFonts w:ascii="Calibri" w:hAnsi="Calibri" w:cs="Calibri"/>
          <w:color w:val="000000"/>
          <w:shd w:val="clear" w:color="auto" w:fill="FFFFFF"/>
        </w:rPr>
        <w:t xml:space="preserve"> </w:t>
      </w:r>
      <w:r w:rsidRPr="00887231">
        <w:rPr>
          <w:rStyle w:val="normaltextrun"/>
          <w:rFonts w:ascii="Calibri" w:hAnsi="Calibri" w:cs="Calibri"/>
          <w:color w:val="000000"/>
          <w:shd w:val="clear" w:color="auto" w:fill="FFFFFF"/>
        </w:rPr>
        <w:t>highly</w:t>
      </w:r>
      <w:r>
        <w:rPr>
          <w:rStyle w:val="normaltextrun"/>
          <w:rFonts w:ascii="Calibri" w:hAnsi="Calibri" w:cs="Calibri"/>
          <w:color w:val="000000"/>
          <w:shd w:val="clear" w:color="auto" w:fill="FFFFFF"/>
        </w:rPr>
        <w:t xml:space="preserve"> </w:t>
      </w:r>
      <w:r w:rsidRPr="00887231">
        <w:rPr>
          <w:rStyle w:val="normaltextrun"/>
          <w:rFonts w:ascii="Calibri" w:hAnsi="Calibri" w:cs="Calibri"/>
          <w:color w:val="000000"/>
          <w:shd w:val="clear" w:color="auto" w:fill="FFFFFF"/>
        </w:rPr>
        <w:t>developed</w:t>
      </w:r>
      <w:r>
        <w:rPr>
          <w:rStyle w:val="normaltextrun"/>
          <w:rFonts w:ascii="Calibri" w:hAnsi="Calibri" w:cs="Calibri"/>
          <w:color w:val="000000"/>
          <w:shd w:val="clear" w:color="auto" w:fill="FFFFFF"/>
        </w:rPr>
        <w:t xml:space="preserve"> </w:t>
      </w:r>
      <w:r w:rsidRPr="00887231">
        <w:rPr>
          <w:rStyle w:val="normaltextrun"/>
          <w:rFonts w:ascii="Calibri" w:hAnsi="Calibri" w:cs="Calibri"/>
          <w:color w:val="000000"/>
          <w:shd w:val="clear" w:color="auto" w:fill="FFFFFF"/>
        </w:rPr>
        <w:t>country</w:t>
      </w:r>
      <w:r>
        <w:rPr>
          <w:rStyle w:val="normaltextrun"/>
          <w:rFonts w:ascii="Calibri" w:hAnsi="Calibri" w:cs="Calibri"/>
          <w:color w:val="000000"/>
          <w:shd w:val="clear" w:color="auto" w:fill="FFFFFF"/>
        </w:rPr>
        <w:t xml:space="preserve"> </w:t>
      </w:r>
      <w:r w:rsidRPr="001B2D1F">
        <w:rPr>
          <w:rStyle w:val="normaltextrun"/>
          <w:rFonts w:ascii="Calibri" w:hAnsi="Calibri" w:cs="Calibri"/>
          <w:color w:val="000000"/>
          <w:shd w:val="clear" w:color="auto" w:fill="FFFFFF"/>
        </w:rPr>
        <w:t>(</w:t>
      </w:r>
      <w:r w:rsidR="000B6220">
        <w:rPr>
          <w:rStyle w:val="normaltextrun"/>
          <w:rFonts w:ascii="Calibri" w:hAnsi="Calibri" w:cs="Calibri"/>
          <w:color w:val="000000"/>
          <w:shd w:val="clear" w:color="auto" w:fill="E1E3E6"/>
        </w:rPr>
        <w:t>Figure 8.3)</w:t>
      </w:r>
      <w:r w:rsidRPr="001B2D1F">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 xml:space="preserve"> </w:t>
      </w:r>
    </w:p>
    <w:p w14:paraId="6DD35D02" w14:textId="77777777" w:rsidR="00F03A47" w:rsidRDefault="00F03A47" w:rsidP="00F03A47">
      <w:pPr>
        <w:pStyle w:val="Caption"/>
      </w:pPr>
      <w:r>
        <w:rPr>
          <w:noProof/>
        </w:rPr>
        <w:lastRenderedPageBreak/>
        <w:drawing>
          <wp:inline distT="0" distB="0" distL="0" distR="0" wp14:anchorId="4147F128" wp14:editId="1DE08831">
            <wp:extent cx="5731510" cy="307975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64">
                      <a:extLst>
                        <a:ext uri="{28A0092B-C50C-407E-A947-70E740481C1C}">
                          <a14:useLocalDpi xmlns:a14="http://schemas.microsoft.com/office/drawing/2010/main" val="0"/>
                        </a:ext>
                      </a:extLst>
                    </a:blip>
                    <a:stretch>
                      <a:fillRect/>
                    </a:stretch>
                  </pic:blipFill>
                  <pic:spPr>
                    <a:xfrm>
                      <a:off x="0" y="0"/>
                      <a:ext cx="5731510" cy="3079750"/>
                    </a:xfrm>
                    <a:prstGeom prst="rect">
                      <a:avLst/>
                    </a:prstGeom>
                  </pic:spPr>
                </pic:pic>
              </a:graphicData>
            </a:graphic>
          </wp:inline>
        </w:drawing>
      </w:r>
    </w:p>
    <w:p w14:paraId="60A3F7F5" w14:textId="01D7FFEE" w:rsidR="00F03A47" w:rsidRPr="00864C55" w:rsidRDefault="00F03A47" w:rsidP="00F03A47">
      <w:pPr>
        <w:pStyle w:val="Caption"/>
      </w:pPr>
      <w:bookmarkStart w:id="310" w:name="_Ref62048987"/>
      <w:r w:rsidRPr="00864C55">
        <w:t>Figure 8</w:t>
      </w:r>
      <w:bookmarkEnd w:id="310"/>
      <w:r w:rsidRPr="00864C55">
        <w:t>.</w:t>
      </w:r>
      <w:r w:rsidR="00F44ECB">
        <w:t>3</w:t>
      </w:r>
      <w:r w:rsidRPr="00864C55">
        <w:t>: Richest 40 countries in 2019 by real Gross National Income per capita</w:t>
      </w:r>
    </w:p>
    <w:p w14:paraId="0D6C50F1" w14:textId="77777777" w:rsidR="00F03A47" w:rsidRPr="000B09B2" w:rsidRDefault="00F03A47" w:rsidP="00F03A47">
      <w:pPr>
        <w:pStyle w:val="Caption"/>
        <w:jc w:val="right"/>
        <w:rPr>
          <w:i w:val="0"/>
        </w:rPr>
      </w:pPr>
      <w:r w:rsidRPr="000B09B2">
        <w:rPr>
          <w:i w:val="0"/>
        </w:rPr>
        <w:t>Source: World Bank Data</w:t>
      </w:r>
    </w:p>
    <w:p w14:paraId="0F69E65A" w14:textId="77777777" w:rsidR="00F03A47" w:rsidRDefault="00F03A47" w:rsidP="00F03A47">
      <w:pPr>
        <w:rPr>
          <w:rStyle w:val="eop"/>
          <w:rFonts w:ascii="Calibri" w:hAnsi="Calibri" w:cs="Calibri"/>
        </w:rPr>
      </w:pPr>
      <w:r w:rsidRPr="00887231">
        <w:rPr>
          <w:rStyle w:val="normaltextrun"/>
          <w:rFonts w:ascii="Calibri" w:hAnsi="Calibri" w:cs="Calibri"/>
        </w:rPr>
        <w:t>Developed</w:t>
      </w:r>
      <w:r>
        <w:rPr>
          <w:rStyle w:val="normaltextrun"/>
          <w:rFonts w:ascii="Calibri" w:hAnsi="Calibri" w:cs="Calibri"/>
        </w:rPr>
        <w:t xml:space="preserve"> </w:t>
      </w:r>
      <w:r w:rsidRPr="00887231">
        <w:rPr>
          <w:rStyle w:val="normaltextrun"/>
          <w:rFonts w:ascii="Calibri" w:hAnsi="Calibri" w:cs="Calibri"/>
        </w:rPr>
        <w:t>countries</w:t>
      </w:r>
      <w:r>
        <w:rPr>
          <w:rStyle w:val="normaltextrun"/>
          <w:rFonts w:ascii="Calibri" w:hAnsi="Calibri" w:cs="Calibri"/>
        </w:rPr>
        <w:t xml:space="preserve"> </w:t>
      </w:r>
      <w:r w:rsidRPr="00887231">
        <w:rPr>
          <w:rStyle w:val="normaltextrun"/>
          <w:rFonts w:ascii="Calibri" w:hAnsi="Calibri" w:cs="Calibri"/>
        </w:rPr>
        <w:t>have</w:t>
      </w:r>
      <w:r>
        <w:rPr>
          <w:rStyle w:val="normaltextrun"/>
          <w:rFonts w:ascii="Calibri" w:hAnsi="Calibri" w:cs="Calibri"/>
        </w:rPr>
        <w:t xml:space="preserve"> </w:t>
      </w:r>
      <w:r w:rsidRPr="00887231">
        <w:rPr>
          <w:rStyle w:val="normaltextrun"/>
          <w:rFonts w:ascii="Calibri" w:hAnsi="Calibri" w:cs="Calibri"/>
        </w:rPr>
        <w:t>emitted</w:t>
      </w:r>
      <w:r>
        <w:rPr>
          <w:rStyle w:val="normaltextrun"/>
          <w:rFonts w:ascii="Calibri" w:hAnsi="Calibri" w:cs="Calibri"/>
        </w:rPr>
        <w:t xml:space="preserve"> </w:t>
      </w:r>
      <w:r w:rsidRPr="00887231">
        <w:rPr>
          <w:rStyle w:val="normaltextrun"/>
          <w:rFonts w:ascii="Calibri" w:hAnsi="Calibri" w:cs="Calibri"/>
        </w:rPr>
        <w:t>more</w:t>
      </w:r>
      <w:r>
        <w:rPr>
          <w:rStyle w:val="normaltextrun"/>
          <w:rFonts w:ascii="Calibri" w:hAnsi="Calibri" w:cs="Calibri"/>
        </w:rPr>
        <w:t xml:space="preserve"> </w:t>
      </w:r>
      <w:r w:rsidRPr="00887231">
        <w:rPr>
          <w:rStyle w:val="normaltextrun"/>
          <w:rFonts w:ascii="Calibri" w:hAnsi="Calibri" w:cs="Calibri"/>
        </w:rPr>
        <w:t>cumulative</w:t>
      </w:r>
      <w:r>
        <w:rPr>
          <w:rStyle w:val="normaltextrun"/>
          <w:rFonts w:ascii="Calibri" w:hAnsi="Calibri" w:cs="Calibri"/>
        </w:rPr>
        <w:t xml:space="preserve"> </w:t>
      </w:r>
      <w:r w:rsidRPr="00887231">
        <w:rPr>
          <w:rStyle w:val="normaltextrun"/>
          <w:rFonts w:ascii="Calibri" w:hAnsi="Calibri" w:cs="Calibri"/>
        </w:rPr>
        <w:t>emissions</w:t>
      </w:r>
      <w:r>
        <w:rPr>
          <w:rStyle w:val="normaltextrun"/>
          <w:rFonts w:ascii="Calibri" w:hAnsi="Calibri" w:cs="Calibri"/>
        </w:rPr>
        <w:t xml:space="preserve"> </w:t>
      </w:r>
      <w:r w:rsidRPr="00887231">
        <w:rPr>
          <w:rStyle w:val="normaltextrun"/>
          <w:rFonts w:ascii="Calibri" w:hAnsi="Calibri" w:cs="Calibri"/>
        </w:rPr>
        <w:t>than</w:t>
      </w:r>
      <w:r>
        <w:rPr>
          <w:rStyle w:val="normaltextrun"/>
          <w:rFonts w:ascii="Calibri" w:hAnsi="Calibri" w:cs="Calibri"/>
        </w:rPr>
        <w:t xml:space="preserve"> </w:t>
      </w:r>
      <w:r w:rsidRPr="00887231">
        <w:rPr>
          <w:rStyle w:val="normaltextrun"/>
          <w:rFonts w:ascii="Calibri" w:hAnsi="Calibri" w:cs="Calibri"/>
        </w:rPr>
        <w:t>developing</w:t>
      </w:r>
      <w:r>
        <w:rPr>
          <w:rStyle w:val="normaltextrun"/>
          <w:rFonts w:ascii="Calibri" w:hAnsi="Calibri" w:cs="Calibri"/>
        </w:rPr>
        <w:t xml:space="preserve"> </w:t>
      </w:r>
      <w:r w:rsidRPr="00887231">
        <w:rPr>
          <w:rStyle w:val="normaltextrun"/>
          <w:rFonts w:ascii="Calibri" w:hAnsi="Calibri" w:cs="Calibri"/>
        </w:rPr>
        <w:t>countries,</w:t>
      </w:r>
      <w:r>
        <w:rPr>
          <w:rStyle w:val="normaltextrun"/>
          <w:rFonts w:ascii="Calibri" w:hAnsi="Calibri" w:cs="Calibri"/>
        </w:rPr>
        <w:t xml:space="preserve"> </w:t>
      </w:r>
      <w:r w:rsidRPr="00887231">
        <w:rPr>
          <w:rStyle w:val="normaltextrun"/>
          <w:rFonts w:ascii="Calibri" w:hAnsi="Calibri" w:cs="Calibri"/>
        </w:rPr>
        <w:t>for</w:t>
      </w:r>
      <w:r>
        <w:rPr>
          <w:rStyle w:val="normaltextrun"/>
          <w:rFonts w:ascii="Calibri" w:hAnsi="Calibri" w:cs="Calibri"/>
        </w:rPr>
        <w:t xml:space="preserve"> </w:t>
      </w:r>
      <w:r w:rsidRPr="00887231">
        <w:rPr>
          <w:rStyle w:val="normaltextrun"/>
          <w:rFonts w:ascii="Calibri" w:hAnsi="Calibri" w:cs="Calibri"/>
        </w:rPr>
        <w:t>longer</w:t>
      </w:r>
      <w:r>
        <w:rPr>
          <w:rStyle w:val="normaltextrun"/>
          <w:rFonts w:ascii="Calibri" w:hAnsi="Calibri" w:cs="Calibri"/>
        </w:rPr>
        <w:t xml:space="preserve"> </w:t>
      </w:r>
      <w:r w:rsidRPr="00887231">
        <w:rPr>
          <w:rStyle w:val="normaltextrun"/>
          <w:rFonts w:ascii="Calibri" w:hAnsi="Calibri" w:cs="Calibri"/>
        </w:rPr>
        <w:t>and</w:t>
      </w:r>
      <w:r>
        <w:rPr>
          <w:rStyle w:val="normaltextrun"/>
          <w:rFonts w:ascii="Calibri" w:hAnsi="Calibri" w:cs="Calibri"/>
        </w:rPr>
        <w:t xml:space="preserve"> </w:t>
      </w:r>
      <w:r w:rsidRPr="00887231">
        <w:rPr>
          <w:rStyle w:val="normaltextrun"/>
          <w:rFonts w:ascii="Calibri" w:hAnsi="Calibri" w:cs="Calibri"/>
        </w:rPr>
        <w:t>have</w:t>
      </w:r>
      <w:r>
        <w:rPr>
          <w:rStyle w:val="normaltextrun"/>
          <w:rFonts w:ascii="Calibri" w:hAnsi="Calibri" w:cs="Calibri"/>
        </w:rPr>
        <w:t xml:space="preserve"> </w:t>
      </w:r>
      <w:r w:rsidRPr="00887231">
        <w:rPr>
          <w:rStyle w:val="normaltextrun"/>
          <w:rFonts w:ascii="Calibri" w:hAnsi="Calibri" w:cs="Calibri"/>
        </w:rPr>
        <w:t>benefited</w:t>
      </w:r>
      <w:r>
        <w:rPr>
          <w:rStyle w:val="normaltextrun"/>
          <w:rFonts w:ascii="Calibri" w:hAnsi="Calibri" w:cs="Calibri"/>
        </w:rPr>
        <w:t xml:space="preserve"> </w:t>
      </w:r>
      <w:r w:rsidRPr="00887231">
        <w:rPr>
          <w:rStyle w:val="normaltextrun"/>
          <w:rFonts w:ascii="Calibri" w:hAnsi="Calibri" w:cs="Calibri"/>
        </w:rPr>
        <w:t>as</w:t>
      </w:r>
      <w:r>
        <w:rPr>
          <w:rStyle w:val="normaltextrun"/>
          <w:rFonts w:ascii="Calibri" w:hAnsi="Calibri" w:cs="Calibri"/>
        </w:rPr>
        <w:t xml:space="preserve"> </w:t>
      </w:r>
      <w:r w:rsidRPr="00887231">
        <w:rPr>
          <w:rStyle w:val="normaltextrun"/>
          <w:rFonts w:ascii="Calibri" w:hAnsi="Calibri" w:cs="Calibri"/>
        </w:rPr>
        <w:t>a</w:t>
      </w:r>
      <w:r>
        <w:rPr>
          <w:rStyle w:val="normaltextrun"/>
          <w:rFonts w:ascii="Calibri" w:hAnsi="Calibri" w:cs="Calibri"/>
        </w:rPr>
        <w:t xml:space="preserve"> </w:t>
      </w:r>
      <w:r w:rsidRPr="00887231">
        <w:rPr>
          <w:rStyle w:val="normaltextrun"/>
          <w:rFonts w:ascii="Calibri" w:hAnsi="Calibri" w:cs="Calibri"/>
        </w:rPr>
        <w:t>result.</w:t>
      </w:r>
      <w:r>
        <w:rPr>
          <w:rStyle w:val="eop"/>
          <w:rFonts w:ascii="Calibri" w:hAnsi="Calibri" w:cs="Calibri"/>
        </w:rPr>
        <w:t xml:space="preserve"> Consequently</w:t>
      </w:r>
      <w:r w:rsidRPr="00934BC2">
        <w:rPr>
          <w:rStyle w:val="eop"/>
          <w:rFonts w:ascii="Calibri" w:hAnsi="Calibri" w:cs="Calibri"/>
        </w:rPr>
        <w:t>,</w:t>
      </w:r>
      <w:r>
        <w:rPr>
          <w:rStyle w:val="eop"/>
          <w:rFonts w:ascii="Calibri" w:hAnsi="Calibri" w:cs="Calibri"/>
        </w:rPr>
        <w:t xml:space="preserve"> developed countries have agreed to lead the way in reducing emissions and to support developing countries to reduce their own. </w:t>
      </w:r>
      <w:r>
        <w:rPr>
          <w:rStyle w:val="normaltextrun"/>
          <w:rFonts w:ascii="Calibri" w:hAnsi="Calibri" w:cs="Calibri"/>
          <w:color w:val="000000"/>
          <w:shd w:val="clear" w:color="auto" w:fill="FFFFFF"/>
        </w:rPr>
        <w:t>This principle was enshrined in the United Nations Framework Convention on Climate Change in 1992 and reiterated in the Paris Agreement</w:t>
      </w:r>
      <w:r w:rsidRPr="00221A25">
        <w:rPr>
          <w:rStyle w:val="normaltextrun"/>
          <w:rFonts w:ascii="Calibri" w:hAnsi="Calibri" w:cs="Calibri"/>
          <w:shd w:val="clear" w:color="auto" w:fill="FFFFFF"/>
        </w:rPr>
        <w:t xml:space="preserve">. </w:t>
      </w:r>
      <w:r>
        <w:rPr>
          <w:rStyle w:val="normaltextrun"/>
          <w:rFonts w:ascii="Calibri" w:hAnsi="Calibri" w:cs="Calibri"/>
          <w:shd w:val="clear" w:color="auto" w:fill="FFFFFF"/>
        </w:rPr>
        <w:t>B</w:t>
      </w:r>
      <w:r w:rsidRPr="00221A25">
        <w:rPr>
          <w:rStyle w:val="normaltextrun"/>
          <w:rFonts w:ascii="Calibri" w:hAnsi="Calibri" w:cs="Calibri"/>
          <w:shd w:val="clear" w:color="auto" w:fill="FFFFFF"/>
        </w:rPr>
        <w:t>oth agreements acknowledg</w:t>
      </w:r>
      <w:r>
        <w:rPr>
          <w:rStyle w:val="normaltextrun"/>
          <w:rFonts w:ascii="Calibri" w:hAnsi="Calibri" w:cs="Calibri"/>
          <w:shd w:val="clear" w:color="auto" w:fill="FFFFFF"/>
        </w:rPr>
        <w:t>e</w:t>
      </w:r>
      <w:r w:rsidRPr="00221A25">
        <w:rPr>
          <w:rStyle w:val="normaltextrun"/>
          <w:rFonts w:ascii="Calibri" w:hAnsi="Calibri" w:cs="Calibri"/>
          <w:shd w:val="clear" w:color="auto" w:fill="FFFFFF"/>
        </w:rPr>
        <w:t xml:space="preserve"> that countries have common but differentiated responsibilities and respective capabilities to mitigate emissions.</w:t>
      </w:r>
    </w:p>
    <w:p w14:paraId="6CB6B208" w14:textId="77777777" w:rsidR="00F03A47" w:rsidRDefault="00F03A47" w:rsidP="00F03A47">
      <w:pPr>
        <w:rPr>
          <w:rStyle w:val="normaltextrun"/>
          <w:rFonts w:ascii="Calibri" w:hAnsi="Calibri" w:cs="Calibri"/>
        </w:rPr>
      </w:pPr>
      <w:r>
        <w:t>This principle implies that i</w:t>
      </w:r>
      <w:r w:rsidRPr="00572A71">
        <w:rPr>
          <w:rStyle w:val="normaltextrun"/>
          <w:rFonts w:ascii="Calibri" w:hAnsi="Calibri" w:cs="Calibri"/>
        </w:rPr>
        <w:t>n</w:t>
      </w:r>
      <w:r>
        <w:rPr>
          <w:rStyle w:val="normaltextrun"/>
          <w:rFonts w:ascii="Calibri" w:hAnsi="Calibri" w:cs="Calibri"/>
        </w:rPr>
        <w:t xml:space="preserve"> </w:t>
      </w:r>
      <w:r w:rsidRPr="00572A71">
        <w:rPr>
          <w:rStyle w:val="normaltextrun"/>
          <w:rFonts w:ascii="Calibri" w:hAnsi="Calibri" w:cs="Calibri"/>
        </w:rPr>
        <w:t>reaching</w:t>
      </w:r>
      <w:r>
        <w:rPr>
          <w:rStyle w:val="normaltextrun"/>
          <w:rFonts w:ascii="Calibri" w:hAnsi="Calibri" w:cs="Calibri"/>
        </w:rPr>
        <w:t xml:space="preserve"> </w:t>
      </w:r>
      <w:r w:rsidRPr="00572A71">
        <w:rPr>
          <w:rStyle w:val="normaltextrun"/>
          <w:rFonts w:ascii="Calibri" w:hAnsi="Calibri" w:cs="Calibri"/>
        </w:rPr>
        <w:t>any</w:t>
      </w:r>
      <w:r>
        <w:rPr>
          <w:rStyle w:val="normaltextrun"/>
          <w:rFonts w:ascii="Calibri" w:hAnsi="Calibri" w:cs="Calibri"/>
        </w:rPr>
        <w:t xml:space="preserve"> </w:t>
      </w:r>
      <w:r w:rsidRPr="00572A71">
        <w:rPr>
          <w:rStyle w:val="normaltextrun"/>
          <w:rFonts w:ascii="Calibri" w:hAnsi="Calibri" w:cs="Calibri"/>
        </w:rPr>
        <w:t>given</w:t>
      </w:r>
      <w:r>
        <w:rPr>
          <w:rStyle w:val="normaltextrun"/>
          <w:rFonts w:ascii="Calibri" w:hAnsi="Calibri" w:cs="Calibri"/>
        </w:rPr>
        <w:t xml:space="preserve"> </w:t>
      </w:r>
      <w:r w:rsidRPr="00572A71">
        <w:rPr>
          <w:rStyle w:val="normaltextrun"/>
          <w:rFonts w:ascii="Calibri" w:hAnsi="Calibri" w:cs="Calibri"/>
        </w:rPr>
        <w:t>temperature</w:t>
      </w:r>
      <w:r>
        <w:rPr>
          <w:rStyle w:val="normaltextrun"/>
          <w:rFonts w:ascii="Calibri" w:hAnsi="Calibri" w:cs="Calibri"/>
        </w:rPr>
        <w:t xml:space="preserve"> </w:t>
      </w:r>
      <w:r w:rsidRPr="00572A71">
        <w:rPr>
          <w:rStyle w:val="normaltextrun"/>
          <w:rFonts w:ascii="Calibri" w:hAnsi="Calibri" w:cs="Calibri"/>
        </w:rPr>
        <w:t>target,</w:t>
      </w:r>
      <w:r>
        <w:rPr>
          <w:rStyle w:val="normaltextrun"/>
          <w:rFonts w:ascii="Calibri" w:hAnsi="Calibri" w:cs="Calibri"/>
        </w:rPr>
        <w:t xml:space="preserve"> </w:t>
      </w:r>
      <w:r w:rsidRPr="00572A71">
        <w:rPr>
          <w:rStyle w:val="normaltextrun"/>
          <w:rFonts w:ascii="Calibri" w:hAnsi="Calibri" w:cs="Calibri"/>
        </w:rPr>
        <w:t>developed</w:t>
      </w:r>
      <w:r>
        <w:rPr>
          <w:rStyle w:val="normaltextrun"/>
          <w:rFonts w:ascii="Calibri" w:hAnsi="Calibri" w:cs="Calibri"/>
        </w:rPr>
        <w:t xml:space="preserve"> </w:t>
      </w:r>
      <w:r w:rsidRPr="00572A71">
        <w:rPr>
          <w:rStyle w:val="normaltextrun"/>
          <w:rFonts w:ascii="Calibri" w:hAnsi="Calibri" w:cs="Calibri"/>
        </w:rPr>
        <w:t>countries</w:t>
      </w:r>
      <w:r>
        <w:rPr>
          <w:rStyle w:val="normaltextrun"/>
          <w:rFonts w:ascii="Calibri" w:hAnsi="Calibri" w:cs="Calibri"/>
        </w:rPr>
        <w:t xml:space="preserve"> </w:t>
      </w:r>
      <w:r w:rsidRPr="00572A71">
        <w:rPr>
          <w:rStyle w:val="normaltextrun"/>
          <w:rFonts w:ascii="Calibri" w:hAnsi="Calibri" w:cs="Calibri"/>
        </w:rPr>
        <w:t>–</w:t>
      </w:r>
      <w:r>
        <w:rPr>
          <w:rStyle w:val="normaltextrun"/>
          <w:rFonts w:ascii="Calibri" w:hAnsi="Calibri" w:cs="Calibri"/>
        </w:rPr>
        <w:t xml:space="preserve"> </w:t>
      </w:r>
      <w:r w:rsidRPr="00572A71">
        <w:rPr>
          <w:rStyle w:val="normaltextrun"/>
          <w:rFonts w:ascii="Calibri" w:hAnsi="Calibri" w:cs="Calibri"/>
        </w:rPr>
        <w:t>such</w:t>
      </w:r>
      <w:r>
        <w:rPr>
          <w:rStyle w:val="normaltextrun"/>
          <w:rFonts w:ascii="Calibri" w:hAnsi="Calibri" w:cs="Calibri"/>
        </w:rPr>
        <w:t xml:space="preserve"> </w:t>
      </w:r>
      <w:r w:rsidRPr="00572A71">
        <w:rPr>
          <w:rStyle w:val="normaltextrun"/>
          <w:rFonts w:ascii="Calibri" w:hAnsi="Calibri" w:cs="Calibri"/>
        </w:rPr>
        <w:t>as</w:t>
      </w:r>
      <w:r>
        <w:rPr>
          <w:rStyle w:val="normaltextrun"/>
          <w:rFonts w:ascii="Calibri" w:hAnsi="Calibri" w:cs="Calibri"/>
        </w:rPr>
        <w:t xml:space="preserve"> </w:t>
      </w:r>
      <w:r w:rsidRPr="00572A71">
        <w:rPr>
          <w:rStyle w:val="normaltextrun"/>
          <w:rFonts w:ascii="Calibri" w:hAnsi="Calibri" w:cs="Calibri"/>
        </w:rPr>
        <w:t>Aotearoa</w:t>
      </w:r>
      <w:r>
        <w:rPr>
          <w:rStyle w:val="normaltextrun"/>
          <w:rFonts w:ascii="Calibri" w:hAnsi="Calibri" w:cs="Calibri"/>
        </w:rPr>
        <w:t xml:space="preserve"> </w:t>
      </w:r>
      <w:r w:rsidRPr="00572A71">
        <w:rPr>
          <w:rStyle w:val="normaltextrun"/>
          <w:rFonts w:ascii="Calibri" w:hAnsi="Calibri" w:cs="Calibri"/>
        </w:rPr>
        <w:t>–</w:t>
      </w:r>
      <w:r>
        <w:rPr>
          <w:rStyle w:val="normaltextrun"/>
          <w:rFonts w:ascii="Calibri" w:hAnsi="Calibri" w:cs="Calibri"/>
        </w:rPr>
        <w:t xml:space="preserve"> will need to </w:t>
      </w:r>
      <w:r w:rsidRPr="00572A71">
        <w:rPr>
          <w:rStyle w:val="normaltextrun"/>
          <w:rFonts w:ascii="Calibri" w:hAnsi="Calibri" w:cs="Calibri"/>
        </w:rPr>
        <w:t>reduce</w:t>
      </w:r>
      <w:r>
        <w:rPr>
          <w:rStyle w:val="normaltextrun"/>
          <w:rFonts w:ascii="Calibri" w:hAnsi="Calibri" w:cs="Calibri"/>
        </w:rPr>
        <w:t xml:space="preserve"> </w:t>
      </w:r>
      <w:r w:rsidRPr="00572A71">
        <w:rPr>
          <w:rStyle w:val="normaltextrun"/>
          <w:rFonts w:ascii="Calibri" w:hAnsi="Calibri" w:cs="Calibri"/>
        </w:rPr>
        <w:t>emissions</w:t>
      </w:r>
      <w:r>
        <w:rPr>
          <w:rStyle w:val="normaltextrun"/>
          <w:rFonts w:ascii="Calibri" w:hAnsi="Calibri" w:cs="Calibri"/>
        </w:rPr>
        <w:t xml:space="preserve"> proportionally </w:t>
      </w:r>
      <w:r w:rsidRPr="00572A71">
        <w:rPr>
          <w:rStyle w:val="normaltextrun"/>
          <w:rFonts w:ascii="Calibri" w:hAnsi="Calibri" w:cs="Calibri"/>
        </w:rPr>
        <w:t>faster</w:t>
      </w:r>
      <w:r>
        <w:rPr>
          <w:rStyle w:val="normaltextrun"/>
          <w:rFonts w:ascii="Calibri" w:hAnsi="Calibri" w:cs="Calibri"/>
        </w:rPr>
        <w:t xml:space="preserve"> </w:t>
      </w:r>
      <w:r w:rsidRPr="00572A71">
        <w:rPr>
          <w:rStyle w:val="normaltextrun"/>
          <w:rFonts w:ascii="Calibri" w:hAnsi="Calibri" w:cs="Calibri"/>
        </w:rPr>
        <w:t>and</w:t>
      </w:r>
      <w:r>
        <w:rPr>
          <w:rStyle w:val="normaltextrun"/>
          <w:rFonts w:ascii="Calibri" w:hAnsi="Calibri" w:cs="Calibri"/>
        </w:rPr>
        <w:t xml:space="preserve"> </w:t>
      </w:r>
      <w:r w:rsidRPr="00572A71">
        <w:rPr>
          <w:rStyle w:val="normaltextrun"/>
          <w:rFonts w:ascii="Calibri" w:hAnsi="Calibri" w:cs="Calibri"/>
        </w:rPr>
        <w:t>further</w:t>
      </w:r>
      <w:r>
        <w:rPr>
          <w:rStyle w:val="normaltextrun"/>
          <w:rFonts w:ascii="Calibri" w:hAnsi="Calibri" w:cs="Calibri"/>
        </w:rPr>
        <w:t xml:space="preserve"> </w:t>
      </w:r>
      <w:r w:rsidRPr="00572A71">
        <w:rPr>
          <w:rStyle w:val="normaltextrun"/>
          <w:rFonts w:ascii="Calibri" w:hAnsi="Calibri" w:cs="Calibri"/>
        </w:rPr>
        <w:t>than</w:t>
      </w:r>
      <w:r>
        <w:rPr>
          <w:rStyle w:val="normaltextrun"/>
          <w:rFonts w:ascii="Calibri" w:hAnsi="Calibri" w:cs="Calibri"/>
        </w:rPr>
        <w:t xml:space="preserve"> </w:t>
      </w:r>
      <w:r w:rsidRPr="00572A71">
        <w:rPr>
          <w:rStyle w:val="normaltextrun"/>
          <w:rFonts w:ascii="Calibri" w:hAnsi="Calibri" w:cs="Calibri"/>
        </w:rPr>
        <w:t>the</w:t>
      </w:r>
      <w:r>
        <w:rPr>
          <w:rStyle w:val="normaltextrun"/>
          <w:rFonts w:ascii="Calibri" w:hAnsi="Calibri" w:cs="Calibri"/>
        </w:rPr>
        <w:t xml:space="preserve"> </w:t>
      </w:r>
      <w:r w:rsidRPr="00572A71">
        <w:rPr>
          <w:rStyle w:val="normaltextrun"/>
          <w:rFonts w:ascii="Calibri" w:hAnsi="Calibri" w:cs="Calibri"/>
        </w:rPr>
        <w:t>average</w:t>
      </w:r>
      <w:r>
        <w:rPr>
          <w:rStyle w:val="normaltextrun"/>
          <w:rFonts w:ascii="Calibri" w:hAnsi="Calibri" w:cs="Calibri"/>
        </w:rPr>
        <w:t xml:space="preserve"> </w:t>
      </w:r>
      <w:r w:rsidRPr="00572A71">
        <w:rPr>
          <w:rStyle w:val="normaltextrun"/>
          <w:rFonts w:ascii="Calibri" w:hAnsi="Calibri" w:cs="Calibri"/>
        </w:rPr>
        <w:t>pace</w:t>
      </w:r>
      <w:r>
        <w:rPr>
          <w:rStyle w:val="normaltextrun"/>
          <w:rFonts w:ascii="Calibri" w:hAnsi="Calibri" w:cs="Calibri"/>
        </w:rPr>
        <w:t xml:space="preserve"> </w:t>
      </w:r>
      <w:r w:rsidRPr="00572A71">
        <w:rPr>
          <w:rStyle w:val="normaltextrun"/>
          <w:rFonts w:ascii="Calibri" w:hAnsi="Calibri" w:cs="Calibri"/>
        </w:rPr>
        <w:t>required</w:t>
      </w:r>
      <w:r>
        <w:rPr>
          <w:rStyle w:val="normaltextrun"/>
          <w:rFonts w:ascii="Calibri" w:hAnsi="Calibri" w:cs="Calibri"/>
        </w:rPr>
        <w:t xml:space="preserve"> </w:t>
      </w:r>
      <w:r w:rsidRPr="00572A71">
        <w:rPr>
          <w:rStyle w:val="normaltextrun"/>
          <w:rFonts w:ascii="Calibri" w:hAnsi="Calibri" w:cs="Calibri"/>
        </w:rPr>
        <w:t>of</w:t>
      </w:r>
      <w:r>
        <w:rPr>
          <w:rStyle w:val="normaltextrun"/>
          <w:rFonts w:ascii="Calibri" w:hAnsi="Calibri" w:cs="Calibri"/>
        </w:rPr>
        <w:t xml:space="preserve"> </w:t>
      </w:r>
      <w:r w:rsidRPr="0CAA455E">
        <w:rPr>
          <w:rStyle w:val="normaltextrun"/>
          <w:rFonts w:ascii="Calibri" w:hAnsi="Calibri" w:cs="Calibri"/>
        </w:rPr>
        <w:t>all countries.</w:t>
      </w:r>
      <w:r>
        <w:rPr>
          <w:rStyle w:val="normaltextrun"/>
          <w:rFonts w:ascii="Calibri" w:hAnsi="Calibri" w:cs="Calibri"/>
        </w:rPr>
        <w:t xml:space="preserve"> </w:t>
      </w:r>
    </w:p>
    <w:p w14:paraId="37D8C49C" w14:textId="7F3C42C9" w:rsidR="00F03A47" w:rsidRDefault="00F03A47" w:rsidP="00F03A47">
      <w:pPr>
        <w:rPr>
          <w:rStyle w:val="normaltextrun"/>
          <w:rFonts w:ascii="Calibri" w:hAnsi="Calibri" w:cs="Calibri"/>
        </w:rPr>
      </w:pPr>
      <w:r>
        <w:rPr>
          <w:rStyle w:val="normaltextrun"/>
          <w:rFonts w:ascii="Calibri" w:hAnsi="Calibri" w:cs="Calibri"/>
        </w:rPr>
        <w:t xml:space="preserve">If we are to contribute to </w:t>
      </w:r>
      <w:r w:rsidRPr="00572A71">
        <w:rPr>
          <w:rStyle w:val="normaltextrun"/>
          <w:rFonts w:ascii="Calibri" w:hAnsi="Calibri" w:cs="Calibri"/>
        </w:rPr>
        <w:t>a</w:t>
      </w:r>
      <w:r>
        <w:rPr>
          <w:rStyle w:val="normaltextrun"/>
          <w:rFonts w:ascii="Calibri" w:hAnsi="Calibri" w:cs="Calibri"/>
        </w:rPr>
        <w:t xml:space="preserve"> global effort towards limiting warming to 1.5°C, it is not sufficient for </w:t>
      </w:r>
      <w:r w:rsidR="009B509E">
        <w:rPr>
          <w:rStyle w:val="normaltextrun"/>
          <w:rFonts w:ascii="Calibri" w:hAnsi="Calibri" w:cs="Calibri"/>
        </w:rPr>
        <w:t>the</w:t>
      </w:r>
      <w:r>
        <w:rPr>
          <w:rStyle w:val="normaltextrun"/>
          <w:rFonts w:ascii="Calibri" w:hAnsi="Calibri" w:cs="Calibri"/>
        </w:rPr>
        <w:t xml:space="preserve"> </w:t>
      </w:r>
      <w:r w:rsidRPr="00934BC2">
        <w:rPr>
          <w:rStyle w:val="normaltextrun"/>
          <w:rFonts w:ascii="Calibri" w:hAnsi="Calibri" w:cs="Calibri"/>
        </w:rPr>
        <w:t>emissions</w:t>
      </w:r>
      <w:r>
        <w:rPr>
          <w:rStyle w:val="normaltextrun"/>
          <w:rFonts w:ascii="Calibri" w:hAnsi="Calibri" w:cs="Calibri"/>
        </w:rPr>
        <w:t xml:space="preserve"> reductions to be compatible with an approach that expects the same proportional reductions from all countries. Along with other d</w:t>
      </w:r>
      <w:r w:rsidRPr="00887231">
        <w:rPr>
          <w:rStyle w:val="normaltextrun"/>
          <w:rFonts w:ascii="Calibri" w:hAnsi="Calibri" w:cs="Calibri"/>
        </w:rPr>
        <w:t>eveloped</w:t>
      </w:r>
      <w:r>
        <w:rPr>
          <w:rStyle w:val="normaltextrun"/>
          <w:rFonts w:ascii="Calibri" w:hAnsi="Calibri" w:cs="Calibri"/>
        </w:rPr>
        <w:t xml:space="preserve"> </w:t>
      </w:r>
      <w:r w:rsidRPr="00887231">
        <w:rPr>
          <w:rStyle w:val="normaltextrun"/>
          <w:rFonts w:ascii="Calibri" w:hAnsi="Calibri" w:cs="Calibri"/>
        </w:rPr>
        <w:t>nations</w:t>
      </w:r>
      <w:r>
        <w:rPr>
          <w:rStyle w:val="normaltextrun"/>
          <w:rFonts w:ascii="Calibri" w:hAnsi="Calibri" w:cs="Calibri"/>
        </w:rPr>
        <w:t xml:space="preserve">, Aotearoa has </w:t>
      </w:r>
      <w:r w:rsidRPr="00887231">
        <w:rPr>
          <w:rStyle w:val="normaltextrun"/>
          <w:rFonts w:ascii="Calibri" w:hAnsi="Calibri" w:cs="Calibri"/>
        </w:rPr>
        <w:t>a</w:t>
      </w:r>
      <w:r>
        <w:rPr>
          <w:rStyle w:val="normaltextrun"/>
          <w:rFonts w:ascii="Calibri" w:hAnsi="Calibri" w:cs="Calibri"/>
        </w:rPr>
        <w:t xml:space="preserve"> </w:t>
      </w:r>
      <w:r w:rsidRPr="00887231">
        <w:rPr>
          <w:rStyle w:val="normaltextrun"/>
          <w:rFonts w:ascii="Calibri" w:hAnsi="Calibri" w:cs="Calibri"/>
        </w:rPr>
        <w:t>responsibility</w:t>
      </w:r>
      <w:r>
        <w:rPr>
          <w:rStyle w:val="normaltextrun"/>
          <w:rFonts w:ascii="Calibri" w:hAnsi="Calibri" w:cs="Calibri"/>
        </w:rPr>
        <w:t xml:space="preserve"> </w:t>
      </w:r>
      <w:r w:rsidRPr="00887231">
        <w:rPr>
          <w:rStyle w:val="normaltextrun"/>
          <w:rFonts w:ascii="Calibri" w:hAnsi="Calibri" w:cs="Calibri"/>
        </w:rPr>
        <w:t>to</w:t>
      </w:r>
      <w:r>
        <w:rPr>
          <w:rStyle w:val="normaltextrun"/>
          <w:rFonts w:ascii="Calibri" w:hAnsi="Calibri" w:cs="Calibri"/>
        </w:rPr>
        <w:t xml:space="preserve"> </w:t>
      </w:r>
      <w:r w:rsidRPr="00887231">
        <w:rPr>
          <w:rStyle w:val="normaltextrun"/>
          <w:rFonts w:ascii="Calibri" w:hAnsi="Calibri" w:cs="Calibri"/>
        </w:rPr>
        <w:t>take</w:t>
      </w:r>
      <w:r>
        <w:rPr>
          <w:rStyle w:val="normaltextrun"/>
          <w:rFonts w:ascii="Calibri" w:hAnsi="Calibri" w:cs="Calibri"/>
        </w:rPr>
        <w:t xml:space="preserve"> </w:t>
      </w:r>
      <w:r w:rsidRPr="00887231">
        <w:rPr>
          <w:rStyle w:val="normaltextrun"/>
          <w:rFonts w:ascii="Calibri" w:hAnsi="Calibri" w:cs="Calibri"/>
        </w:rPr>
        <w:t>the</w:t>
      </w:r>
      <w:r>
        <w:rPr>
          <w:rStyle w:val="normaltextrun"/>
          <w:rFonts w:ascii="Calibri" w:hAnsi="Calibri" w:cs="Calibri"/>
        </w:rPr>
        <w:t xml:space="preserve"> </w:t>
      </w:r>
      <w:r w:rsidRPr="00887231">
        <w:rPr>
          <w:rStyle w:val="normaltextrun"/>
          <w:rFonts w:ascii="Calibri" w:hAnsi="Calibri" w:cs="Calibri"/>
        </w:rPr>
        <w:t>lead</w:t>
      </w:r>
      <w:r>
        <w:rPr>
          <w:rStyle w:val="normaltextrun"/>
          <w:rFonts w:ascii="Calibri" w:hAnsi="Calibri" w:cs="Calibri"/>
        </w:rPr>
        <w:t xml:space="preserve"> </w:t>
      </w:r>
      <w:r w:rsidRPr="00887231">
        <w:rPr>
          <w:rStyle w:val="normaltextrun"/>
          <w:rFonts w:ascii="Calibri" w:hAnsi="Calibri" w:cs="Calibri"/>
        </w:rPr>
        <w:t>in</w:t>
      </w:r>
      <w:r>
        <w:rPr>
          <w:rStyle w:val="normaltextrun"/>
          <w:rFonts w:ascii="Calibri" w:hAnsi="Calibri" w:cs="Calibri"/>
        </w:rPr>
        <w:t xml:space="preserve"> </w:t>
      </w:r>
      <w:r w:rsidRPr="00887231">
        <w:rPr>
          <w:rStyle w:val="normaltextrun"/>
          <w:rFonts w:ascii="Calibri" w:hAnsi="Calibri" w:cs="Calibri"/>
        </w:rPr>
        <w:t>reducing</w:t>
      </w:r>
      <w:r>
        <w:rPr>
          <w:rStyle w:val="normaltextrun"/>
          <w:rFonts w:ascii="Calibri" w:hAnsi="Calibri" w:cs="Calibri"/>
        </w:rPr>
        <w:t xml:space="preserve"> </w:t>
      </w:r>
      <w:r w:rsidRPr="00887231">
        <w:rPr>
          <w:rStyle w:val="normaltextrun"/>
          <w:rFonts w:ascii="Calibri" w:hAnsi="Calibri" w:cs="Calibri"/>
        </w:rPr>
        <w:t>emissions</w:t>
      </w:r>
      <w:r>
        <w:rPr>
          <w:rStyle w:val="normaltextrun"/>
          <w:rFonts w:ascii="Calibri" w:hAnsi="Calibri" w:cs="Calibri"/>
        </w:rPr>
        <w:t xml:space="preserve"> </w:t>
      </w:r>
      <w:r w:rsidRPr="00887231">
        <w:rPr>
          <w:rStyle w:val="normaltextrun"/>
          <w:rFonts w:ascii="Calibri" w:hAnsi="Calibri" w:cs="Calibri"/>
        </w:rPr>
        <w:t>and</w:t>
      </w:r>
      <w:r>
        <w:rPr>
          <w:rStyle w:val="normaltextrun"/>
          <w:rFonts w:ascii="Calibri" w:hAnsi="Calibri" w:cs="Calibri"/>
        </w:rPr>
        <w:t xml:space="preserve"> to </w:t>
      </w:r>
      <w:r w:rsidRPr="00887231">
        <w:rPr>
          <w:rStyle w:val="normaltextrun"/>
          <w:rFonts w:ascii="Calibri" w:hAnsi="Calibri" w:cs="Calibri"/>
        </w:rPr>
        <w:t>support</w:t>
      </w:r>
      <w:r>
        <w:rPr>
          <w:rStyle w:val="normaltextrun"/>
          <w:rFonts w:ascii="Calibri" w:hAnsi="Calibri" w:cs="Calibri"/>
        </w:rPr>
        <w:t xml:space="preserve"> </w:t>
      </w:r>
      <w:r w:rsidRPr="00887231">
        <w:rPr>
          <w:rStyle w:val="normaltextrun"/>
          <w:rFonts w:ascii="Calibri" w:hAnsi="Calibri" w:cs="Calibri"/>
        </w:rPr>
        <w:t>developing</w:t>
      </w:r>
      <w:r>
        <w:rPr>
          <w:rStyle w:val="normaltextrun"/>
          <w:rFonts w:ascii="Calibri" w:hAnsi="Calibri" w:cs="Calibri"/>
        </w:rPr>
        <w:t xml:space="preserve"> </w:t>
      </w:r>
      <w:r w:rsidRPr="00887231">
        <w:rPr>
          <w:rStyle w:val="normaltextrun"/>
          <w:rFonts w:ascii="Calibri" w:hAnsi="Calibri" w:cs="Calibri"/>
        </w:rPr>
        <w:t>countries</w:t>
      </w:r>
      <w:r>
        <w:rPr>
          <w:rStyle w:val="normaltextrun"/>
          <w:rFonts w:ascii="Calibri" w:hAnsi="Calibri" w:cs="Calibri"/>
        </w:rPr>
        <w:t xml:space="preserve"> </w:t>
      </w:r>
      <w:r w:rsidRPr="00887231">
        <w:rPr>
          <w:rStyle w:val="normaltextrun"/>
          <w:rFonts w:ascii="Calibri" w:hAnsi="Calibri" w:cs="Calibri"/>
        </w:rPr>
        <w:t>to</w:t>
      </w:r>
      <w:r>
        <w:rPr>
          <w:rStyle w:val="normaltextrun"/>
          <w:rFonts w:ascii="Calibri" w:hAnsi="Calibri" w:cs="Calibri"/>
        </w:rPr>
        <w:t xml:space="preserve"> </w:t>
      </w:r>
      <w:r w:rsidRPr="00887231">
        <w:rPr>
          <w:rStyle w:val="normaltextrun"/>
          <w:rFonts w:ascii="Calibri" w:hAnsi="Calibri" w:cs="Calibri"/>
        </w:rPr>
        <w:t>transition</w:t>
      </w:r>
      <w:r w:rsidRPr="00934BC2">
        <w:rPr>
          <w:rStyle w:val="normaltextrun"/>
          <w:rFonts w:ascii="Calibri" w:hAnsi="Calibri" w:cs="Calibri"/>
        </w:rPr>
        <w:t xml:space="preserve"> </w:t>
      </w:r>
      <w:r>
        <w:rPr>
          <w:rStyle w:val="normaltextrun"/>
          <w:rFonts w:ascii="Calibri" w:hAnsi="Calibri" w:cs="Calibri"/>
        </w:rPr>
        <w:t>and has already agreed it will do so.</w:t>
      </w:r>
    </w:p>
    <w:p w14:paraId="11FB5723" w14:textId="6646DA68" w:rsidR="00F03A47" w:rsidRDefault="00F03A47" w:rsidP="00F03A47">
      <w:pPr>
        <w:pStyle w:val="Heading2"/>
      </w:pPr>
      <w:bookmarkStart w:id="311" w:name="_Toc62052780"/>
      <w:bookmarkStart w:id="312" w:name="_Toc62650339"/>
      <w:r>
        <w:t xml:space="preserve">8.5 </w:t>
      </w:r>
      <w:r w:rsidR="009B509E">
        <w:t>The</w:t>
      </w:r>
      <w:r>
        <w:t xml:space="preserve"> </w:t>
      </w:r>
      <w:r w:rsidR="009B509E">
        <w:t>first</w:t>
      </w:r>
      <w:r>
        <w:t xml:space="preserve"> NDC</w:t>
      </w:r>
      <w:bookmarkEnd w:id="311"/>
      <w:r w:rsidR="00DD772D">
        <w:t xml:space="preserve"> for Aotearoa</w:t>
      </w:r>
      <w:bookmarkEnd w:id="312"/>
    </w:p>
    <w:p w14:paraId="724A919C" w14:textId="316EFEB9" w:rsidR="00F03A47" w:rsidRDefault="00F03A47" w:rsidP="00F03A47">
      <w:r>
        <w:rPr>
          <w:rStyle w:val="normaltextrun"/>
          <w:rFonts w:ascii="Calibri" w:hAnsi="Calibri" w:cs="Calibri"/>
          <w:color w:val="000000"/>
          <w:shd w:val="clear" w:color="auto" w:fill="FFFFFF"/>
        </w:rPr>
        <w:t xml:space="preserve">In its first </w:t>
      </w:r>
      <w:r w:rsidRPr="003C786C">
        <w:rPr>
          <w:rStyle w:val="normaltextrun"/>
          <w:rFonts w:ascii="Calibri" w:hAnsi="Calibri" w:cs="Calibri"/>
        </w:rPr>
        <w:t>NDC</w:t>
      </w:r>
      <w:r>
        <w:rPr>
          <w:rStyle w:val="normaltextrun"/>
          <w:rFonts w:ascii="Calibri" w:hAnsi="Calibri" w:cs="Calibri"/>
        </w:rPr>
        <w:t xml:space="preserve"> </w:t>
      </w:r>
      <w:r>
        <w:rPr>
          <w:rStyle w:val="normaltextrun"/>
          <w:rFonts w:ascii="Calibri" w:hAnsi="Calibri" w:cs="Calibri"/>
          <w:color w:val="000000"/>
          <w:shd w:val="clear" w:color="auto" w:fill="FFFFFF"/>
        </w:rPr>
        <w:t xml:space="preserve">under the Paris Agreement, Aotearoa committed to </w:t>
      </w:r>
      <w:r w:rsidRPr="00DB4A70">
        <w:t>reduc</w:t>
      </w:r>
      <w:r>
        <w:t xml:space="preserve">ing </w:t>
      </w:r>
      <w:r w:rsidRPr="00DB4A70">
        <w:t>all</w:t>
      </w:r>
      <w:r>
        <w:t xml:space="preserve"> </w:t>
      </w:r>
      <w:r w:rsidRPr="00DB4A70">
        <w:t>greenhouse</w:t>
      </w:r>
      <w:r>
        <w:t xml:space="preserve"> </w:t>
      </w:r>
      <w:r w:rsidRPr="00DB4A70">
        <w:t>gas</w:t>
      </w:r>
      <w:r>
        <w:t xml:space="preserve"> </w:t>
      </w:r>
      <w:r w:rsidRPr="00DB4A70">
        <w:t>emissions</w:t>
      </w:r>
      <w:r>
        <w:t xml:space="preserve"> </w:t>
      </w:r>
      <w:r w:rsidRPr="00DB4A70">
        <w:t>to</w:t>
      </w:r>
      <w:r>
        <w:t xml:space="preserve"> </w:t>
      </w:r>
      <w:r w:rsidRPr="00DB4A70">
        <w:t>30%</w:t>
      </w:r>
      <w:r>
        <w:t xml:space="preserve"> </w:t>
      </w:r>
      <w:r w:rsidRPr="00DB4A70">
        <w:t>below</w:t>
      </w:r>
      <w:r>
        <w:t xml:space="preserve"> </w:t>
      </w:r>
      <w:r w:rsidRPr="00DB4A70">
        <w:t>2005</w:t>
      </w:r>
      <w:r>
        <w:t xml:space="preserve"> </w:t>
      </w:r>
      <w:r w:rsidRPr="00DB4A70">
        <w:t>levels</w:t>
      </w:r>
      <w:r>
        <w:t xml:space="preserve"> </w:t>
      </w:r>
      <w:r w:rsidRPr="00DB4A70">
        <w:t>by</w:t>
      </w:r>
      <w:r>
        <w:t xml:space="preserve"> </w:t>
      </w:r>
      <w:r w:rsidRPr="00DB4A70">
        <w:t>2030.</w:t>
      </w:r>
      <w:r>
        <w:t xml:space="preserve"> Aotearoa has taken an emission budget approach to its NDC. This means that the target is converted into an emissions trajectory and the total emissions this equates to is calculated. The country then commits to limiting net emissions to no more than that amount over the whole period. Applying this approach </w:t>
      </w:r>
      <w:r w:rsidRPr="00DB4A70">
        <w:t>Aotearoa</w:t>
      </w:r>
      <w:r>
        <w:t xml:space="preserve"> </w:t>
      </w:r>
      <w:r w:rsidRPr="00DB4A70">
        <w:t>can</w:t>
      </w:r>
      <w:r>
        <w:t xml:space="preserve"> </w:t>
      </w:r>
      <w:r w:rsidRPr="00DB4A70">
        <w:t>emit</w:t>
      </w:r>
      <w:r>
        <w:t xml:space="preserve"> </w:t>
      </w:r>
      <w:r w:rsidRPr="00DB4A70">
        <w:t>no</w:t>
      </w:r>
      <w:r>
        <w:t xml:space="preserve"> </w:t>
      </w:r>
      <w:r w:rsidRPr="00DB4A70">
        <w:t>more</w:t>
      </w:r>
      <w:r>
        <w:t xml:space="preserve"> </w:t>
      </w:r>
      <w:r w:rsidRPr="00DB4A70">
        <w:t>than</w:t>
      </w:r>
      <w:r>
        <w:t xml:space="preserve"> </w:t>
      </w:r>
      <w:r w:rsidRPr="00505068">
        <w:t>585</w:t>
      </w:r>
      <w:r>
        <w:t xml:space="preserve"> </w:t>
      </w:r>
      <w:r w:rsidRPr="00DB4A70">
        <w:t>Mt</w:t>
      </w:r>
      <w:r>
        <w:t xml:space="preserve"> </w:t>
      </w:r>
      <w:r w:rsidRPr="00DB4A70">
        <w:t>of</w:t>
      </w:r>
      <w:r>
        <w:t xml:space="preserve"> </w:t>
      </w:r>
      <w:r w:rsidRPr="00DB4A70">
        <w:t>CO</w:t>
      </w:r>
      <w:r w:rsidRPr="00DB4A70">
        <w:rPr>
          <w:vertAlign w:val="subscript"/>
        </w:rPr>
        <w:t>2</w:t>
      </w:r>
      <w:r w:rsidRPr="00DB4A70">
        <w:t>e</w:t>
      </w:r>
      <w:r>
        <w:t xml:space="preserve"> </w:t>
      </w:r>
      <w:r w:rsidRPr="00DB4A70">
        <w:t>from</w:t>
      </w:r>
      <w:r>
        <w:t xml:space="preserve"> </w:t>
      </w:r>
      <w:r w:rsidRPr="00DB4A70">
        <w:t>2021-2030.</w:t>
      </w:r>
      <w:r>
        <w:t xml:space="preserve"> This is based on the latest greenhouse gas inventory estimates of emissions. Previous estimates of the allowed emissions were higher – 601 Mt CO</w:t>
      </w:r>
      <w:r w:rsidRPr="00C2244F">
        <w:rPr>
          <w:vertAlign w:val="subscript"/>
        </w:rPr>
        <w:t>2</w:t>
      </w:r>
      <w:r>
        <w:t>e reflecting the Government’s best estimate of past emissions when it was made in 2017.</w:t>
      </w:r>
    </w:p>
    <w:p w14:paraId="31C0FAD8" w14:textId="77777777" w:rsidR="00F03A47" w:rsidRDefault="00F03A47" w:rsidP="00F03A47">
      <w:r>
        <w:lastRenderedPageBreak/>
        <w:t xml:space="preserve">As better information becomes available, the government updates past estimates of emissions every year. This means the allowed emissions over the NDC period changes over time as emissions estimates improve. The level of allowed emissions under the NDC will be finalised in 2023/24 once the emissions estimate for the 2020 year has been reviewed. </w:t>
      </w:r>
    </w:p>
    <w:p w14:paraId="5363FCF8" w14:textId="77777777" w:rsidR="00F03A47" w:rsidRPr="000506EA" w:rsidRDefault="00F03A47" w:rsidP="00F03A47">
      <w:pPr>
        <w:rPr>
          <w:i/>
          <w:iCs/>
        </w:rPr>
      </w:pPr>
      <w:r>
        <w:t>The target in the NDC itself is to keep the country’s net emissions to 30% below what total emissions were in 2005, using an emissions budget approach. In assessing the compatibility of the NDC with the 1.5</w:t>
      </w:r>
      <w:r>
        <w:rPr>
          <w:rFonts w:cstheme="minorHAnsi"/>
        </w:rPr>
        <w:t>°</w:t>
      </w:r>
      <w:r>
        <w:t xml:space="preserve">C goal therefore, we have used our assessment of the emissions budget associated with this target which is </w:t>
      </w:r>
      <w:r w:rsidRPr="00505068">
        <w:t>585</w:t>
      </w:r>
      <w:r>
        <w:t xml:space="preserve"> </w:t>
      </w:r>
      <w:r w:rsidRPr="00505068">
        <w:t>Mt</w:t>
      </w:r>
      <w:r>
        <w:t xml:space="preserve">. </w:t>
      </w:r>
      <w:r w:rsidRPr="000506EA">
        <w:rPr>
          <w:i/>
          <w:iCs/>
        </w:rPr>
        <w:t>Chapter 10: Requests under s5K relating to the NDC and biogenic methane - supporting evidence</w:t>
      </w:r>
      <w:r>
        <w:rPr>
          <w:i/>
          <w:iCs/>
        </w:rPr>
        <w:t xml:space="preserve"> </w:t>
      </w:r>
      <w:r>
        <w:t>of the Evidence Report describes how this calculation was made.</w:t>
      </w:r>
    </w:p>
    <w:p w14:paraId="3DECA164" w14:textId="77777777" w:rsidR="00F03A47" w:rsidRPr="00406374" w:rsidRDefault="00F03A47" w:rsidP="00F03A47">
      <w:pPr>
        <w:pStyle w:val="Heading2"/>
      </w:pPr>
      <w:bookmarkStart w:id="313" w:name="_Toc62052781"/>
      <w:bookmarkStart w:id="314" w:name="_Toc62650340"/>
      <w:r>
        <w:t xml:space="preserve">8.6 </w:t>
      </w:r>
      <w:r w:rsidRPr="00406374">
        <w:t>Is the NDC compatible with Aotearoa contributing as a developed nation?</w:t>
      </w:r>
      <w:bookmarkEnd w:id="313"/>
      <w:bookmarkEnd w:id="314"/>
    </w:p>
    <w:p w14:paraId="39F8575D" w14:textId="72B9FD5C" w:rsidR="00F03A47" w:rsidRDefault="00F03A47" w:rsidP="00F03A47">
      <w:r>
        <w:rPr>
          <w:rStyle w:val="normaltextrun"/>
        </w:rPr>
        <w:t>The global emission reductions necessary to limit warming to 1.5</w:t>
      </w:r>
      <w:r>
        <w:rPr>
          <w:rStyle w:val="normaltextrun"/>
          <w:rFonts w:cstheme="minorHAnsi"/>
        </w:rPr>
        <w:t>°</w:t>
      </w:r>
      <w:r>
        <w:rPr>
          <w:rStyle w:val="normaltextrun"/>
        </w:rPr>
        <w:t xml:space="preserve">C likely lie within the interquartile range modelled by the IPCC. </w:t>
      </w:r>
      <w:r w:rsidR="00DD772D">
        <w:rPr>
          <w:rStyle w:val="normaltextrun"/>
        </w:rPr>
        <w:t>The first</w:t>
      </w:r>
      <w:r>
        <w:rPr>
          <w:rStyle w:val="normaltextrun"/>
        </w:rPr>
        <w:t xml:space="preserve"> NDC </w:t>
      </w:r>
      <w:r w:rsidR="00DD772D">
        <w:rPr>
          <w:rStyle w:val="normaltextrun"/>
        </w:rPr>
        <w:t xml:space="preserve">for Aotearoa </w:t>
      </w:r>
      <w:r>
        <w:rPr>
          <w:rStyle w:val="normaltextrun"/>
        </w:rPr>
        <w:t xml:space="preserve">is </w:t>
      </w:r>
      <w:r>
        <w:t>just inside the range of possible NDCs compatible with limiting warming – but sits at the lower end of modelled emissions reductions. As stated earlier, these lower levels of reductions are more likely to overshoot the 1.5</w:t>
      </w:r>
      <w:r>
        <w:rPr>
          <w:rFonts w:eastAsia="Symbol" w:cstheme="minorHAnsi"/>
        </w:rPr>
        <w:t>°</w:t>
      </w:r>
      <w:r>
        <w:t xml:space="preserve">C goal and rely on uncertain carbon dioxide removals in the latter part of the century to bring temperatures back down. </w:t>
      </w:r>
    </w:p>
    <w:p w14:paraId="073C630E" w14:textId="564FCD0E" w:rsidR="00F03A47" w:rsidRDefault="00F03A47" w:rsidP="00F03A47">
      <w:r>
        <w:t>This means it is likely that</w:t>
      </w:r>
      <w:r w:rsidR="00B56170">
        <w:t xml:space="preserve"> the</w:t>
      </w:r>
      <w:r>
        <w:t xml:space="preserve"> current contribution is aligned with an approach – that if adopted by all nations – carries major risks in the ability to limit global warming to 1.5</w:t>
      </w:r>
      <w:r>
        <w:rPr>
          <w:rFonts w:cstheme="minorHAnsi"/>
        </w:rPr>
        <w:t>°</w:t>
      </w:r>
      <w:r>
        <w:t>C.</w:t>
      </w:r>
    </w:p>
    <w:p w14:paraId="32B0C284" w14:textId="25873C55" w:rsidR="00744221" w:rsidRPr="00744221" w:rsidRDefault="00F03A47" w:rsidP="00744221">
      <w:r w:rsidRPr="00D55603">
        <w:t>To be compatible</w:t>
      </w:r>
      <w:r>
        <w:t xml:space="preserve"> </w:t>
      </w:r>
      <w:r w:rsidRPr="00D55603">
        <w:t>with</w:t>
      </w:r>
      <w:r>
        <w:t xml:space="preserve"> a developed country’s </w:t>
      </w:r>
      <w:r w:rsidRPr="00D55603">
        <w:t>contribut</w:t>
      </w:r>
      <w:r>
        <w:t>ion</w:t>
      </w:r>
      <w:r w:rsidRPr="00D55603">
        <w:t xml:space="preserve">, </w:t>
      </w:r>
      <w:r w:rsidR="00B56170">
        <w:t>the</w:t>
      </w:r>
      <w:r w:rsidRPr="00D55603">
        <w:t xml:space="preserve"> NDC would need to reflect deeper emission reductions</w:t>
      </w:r>
      <w:r>
        <w:t xml:space="preserve"> than what is required of the world as a whole</w:t>
      </w:r>
      <w:r w:rsidRPr="00D55603">
        <w:t>.</w:t>
      </w:r>
      <w:r>
        <w:t xml:space="preserve"> Our advice is </w:t>
      </w:r>
      <w:r w:rsidRPr="00D55603">
        <w:t>that</w:t>
      </w:r>
      <w:r>
        <w:t xml:space="preserve"> </w:t>
      </w:r>
      <w:r w:rsidRPr="00D55603">
        <w:t>it should</w:t>
      </w:r>
      <w:r>
        <w:t xml:space="preserve"> </w:t>
      </w:r>
      <w:r w:rsidRPr="00D55603">
        <w:t xml:space="preserve">reflect emissions </w:t>
      </w:r>
      <w:r>
        <w:t>much</w:t>
      </w:r>
      <w:r w:rsidRPr="00D55603">
        <w:t xml:space="preserve"> </w:t>
      </w:r>
      <w:r>
        <w:t xml:space="preserve">less </w:t>
      </w:r>
      <w:r w:rsidRPr="00D55603">
        <w:t xml:space="preserve">than </w:t>
      </w:r>
      <w:r>
        <w:t xml:space="preserve">that equivalent to </w:t>
      </w:r>
      <w:r w:rsidRPr="00D55603">
        <w:t xml:space="preserve">the </w:t>
      </w:r>
      <w:r>
        <w:t>middle</w:t>
      </w:r>
      <w:r w:rsidRPr="00D55603">
        <w:t xml:space="preserve"> of the</w:t>
      </w:r>
      <w:r>
        <w:t xml:space="preserve"> </w:t>
      </w:r>
      <w:r w:rsidRPr="00D55603">
        <w:t>IPCC</w:t>
      </w:r>
      <w:r>
        <w:t xml:space="preserve"> interquartile </w:t>
      </w:r>
      <w:r w:rsidRPr="00D55603">
        <w:t xml:space="preserve">range, which would </w:t>
      </w:r>
      <w:r>
        <w:t xml:space="preserve">mean allowed emissions of less than </w:t>
      </w:r>
      <w:r w:rsidRPr="00D55603">
        <w:t>5</w:t>
      </w:r>
      <w:r>
        <w:t>64</w:t>
      </w:r>
      <w:r w:rsidRPr="00D55603">
        <w:t xml:space="preserve"> Mt</w:t>
      </w:r>
      <w:r>
        <w:t xml:space="preserve"> CO</w:t>
      </w:r>
      <w:r w:rsidRPr="00612DE4">
        <w:rPr>
          <w:vertAlign w:val="subscript"/>
        </w:rPr>
        <w:t>2</w:t>
      </w:r>
      <w:r>
        <w:t>e, or reductions of much more than 35% below 2005 levels by 2030. How much stronger than that level the NDC should be set at is a question for elected decision-makers.</w:t>
      </w:r>
    </w:p>
    <w:p w14:paraId="4E0AF628" w14:textId="77777777" w:rsidR="00D47AEC" w:rsidRPr="00D55603" w:rsidRDefault="00D47AEC" w:rsidP="00F03A47"/>
    <w:tbl>
      <w:tblPr>
        <w:tblStyle w:val="GridTable4-Accent2"/>
        <w:tblW w:w="0" w:type="auto"/>
        <w:tblCellMar>
          <w:top w:w="57" w:type="dxa"/>
          <w:bottom w:w="57" w:type="dxa"/>
        </w:tblCellMar>
        <w:tblLook w:val="04A0" w:firstRow="1" w:lastRow="0" w:firstColumn="1" w:lastColumn="0" w:noHBand="0" w:noVBand="1"/>
      </w:tblPr>
      <w:tblGrid>
        <w:gridCol w:w="9016"/>
      </w:tblGrid>
      <w:tr w:rsidR="00F03A47" w:rsidRPr="00EA4071" w14:paraId="7E872017" w14:textId="77777777" w:rsidTr="00760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222FECC" w14:textId="77777777" w:rsidR="00F03A47" w:rsidRPr="00934BC2" w:rsidRDefault="00F03A47" w:rsidP="007602C9">
            <w:pPr>
              <w:pStyle w:val="Content"/>
              <w:spacing w:before="0" w:after="0"/>
              <w:jc w:val="center"/>
              <w:rPr>
                <w:color w:val="000000" w:themeColor="text1"/>
                <w:sz w:val="24"/>
                <w:szCs w:val="24"/>
              </w:rPr>
            </w:pPr>
            <w:r>
              <w:rPr>
                <w:bCs w:val="0"/>
                <w:sz w:val="28"/>
                <w:szCs w:val="28"/>
              </w:rPr>
              <w:t>NDC</w:t>
            </w:r>
            <w:r w:rsidRPr="00BA7CD8">
              <w:rPr>
                <w:bCs w:val="0"/>
                <w:sz w:val="28"/>
                <w:szCs w:val="28"/>
              </w:rPr>
              <w:t xml:space="preserve"> </w:t>
            </w:r>
            <w:r>
              <w:rPr>
                <w:bCs w:val="0"/>
                <w:sz w:val="28"/>
                <w:szCs w:val="28"/>
              </w:rPr>
              <w:t>recommendation 1</w:t>
            </w:r>
          </w:p>
          <w:p w14:paraId="53959E77" w14:textId="77777777" w:rsidR="00F03A47" w:rsidRPr="00934BC2" w:rsidRDefault="00F03A47" w:rsidP="007602C9">
            <w:pPr>
              <w:pStyle w:val="Content"/>
              <w:spacing w:before="0" w:after="0"/>
              <w:jc w:val="center"/>
              <w:rPr>
                <w:sz w:val="28"/>
                <w:szCs w:val="28"/>
              </w:rPr>
            </w:pPr>
            <w:r w:rsidRPr="00934BC2">
              <w:rPr>
                <w:b w:val="0"/>
                <w:sz w:val="28"/>
                <w:szCs w:val="28"/>
              </w:rPr>
              <w:t>Compatibility of the NDC with contributing to a global effort</w:t>
            </w:r>
          </w:p>
          <w:p w14:paraId="2DED2A93" w14:textId="77777777" w:rsidR="00F03A47" w:rsidRPr="00EA4071" w:rsidRDefault="00F03A47" w:rsidP="007602C9">
            <w:pPr>
              <w:pStyle w:val="Content"/>
              <w:spacing w:before="0" w:after="0"/>
              <w:jc w:val="center"/>
              <w:rPr>
                <w:b w:val="0"/>
                <w:sz w:val="28"/>
                <w:szCs w:val="28"/>
              </w:rPr>
            </w:pPr>
            <w:r w:rsidRPr="00934BC2">
              <w:rPr>
                <w:b w:val="0"/>
                <w:sz w:val="28"/>
                <w:szCs w:val="28"/>
              </w:rPr>
              <w:t>towards keeping warming to 1.5</w:t>
            </w:r>
            <w:r>
              <w:rPr>
                <w:rFonts w:cstheme="minorHAnsi"/>
                <w:b w:val="0"/>
                <w:sz w:val="28"/>
                <w:szCs w:val="28"/>
              </w:rPr>
              <w:t>°</w:t>
            </w:r>
            <w:r w:rsidRPr="00934BC2">
              <w:rPr>
                <w:b w:val="0"/>
                <w:sz w:val="28"/>
                <w:szCs w:val="28"/>
              </w:rPr>
              <w:t>C</w:t>
            </w:r>
          </w:p>
        </w:tc>
      </w:tr>
      <w:tr w:rsidR="00F03A47" w:rsidRPr="00A666C6" w14:paraId="4BEE334B" w14:textId="77777777" w:rsidTr="00760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0E718A1" w14:textId="77777777" w:rsidR="00F03A47" w:rsidRDefault="00F03A47" w:rsidP="007602C9">
            <w:pPr>
              <w:pStyle w:val="ListParagraph"/>
              <w:ind w:left="1440"/>
            </w:pPr>
          </w:p>
          <w:p w14:paraId="5CA89F25" w14:textId="1F8F1804" w:rsidR="00F03A47" w:rsidRPr="005B1D57" w:rsidRDefault="00F03A47" w:rsidP="007602C9">
            <w:pPr>
              <w:pStyle w:val="ListParagraph"/>
              <w:ind w:left="171"/>
            </w:pPr>
            <w:r w:rsidRPr="00A16BCF">
              <w:t xml:space="preserve">We advise that </w:t>
            </w:r>
            <w:r>
              <w:t>the</w:t>
            </w:r>
            <w:r w:rsidRPr="00A16BCF">
              <w:t xml:space="preserve"> </w:t>
            </w:r>
            <w:r w:rsidR="00BE1216">
              <w:t>first</w:t>
            </w:r>
            <w:r w:rsidRPr="00A16BCF">
              <w:t xml:space="preserve"> NDC is not compatible with </w:t>
            </w:r>
            <w:r w:rsidR="00F8612F">
              <w:t>Aotearoa</w:t>
            </w:r>
            <w:r w:rsidRPr="00A16BCF">
              <w:t xml:space="preserve"> making </w:t>
            </w:r>
            <w:r w:rsidR="002D1470">
              <w:t>a</w:t>
            </w:r>
            <w:r w:rsidRPr="00A16BCF">
              <w:t xml:space="preserve"> contribution to global efforts under the Paris Agreement to limit warming to 1.5°C above pre-industrial levels.</w:t>
            </w:r>
            <w:r>
              <w:rPr>
                <w:rStyle w:val="normaltextrun"/>
                <w:rFonts w:ascii="Calibri" w:hAnsi="Calibri" w:cs="Calibri"/>
                <w:b w:val="0"/>
                <w:bCs w:val="0"/>
              </w:rPr>
              <w:br/>
            </w:r>
            <w:r w:rsidRPr="0010189C">
              <w:rPr>
                <w:b w:val="0"/>
                <w:bCs w:val="0"/>
              </w:rPr>
              <w:t xml:space="preserve"> </w:t>
            </w:r>
          </w:p>
        </w:tc>
      </w:tr>
    </w:tbl>
    <w:p w14:paraId="0C32B0D2" w14:textId="77777777" w:rsidR="00744221" w:rsidRPr="00744221" w:rsidRDefault="00744221" w:rsidP="00744221"/>
    <w:p w14:paraId="45B63D11" w14:textId="77777777" w:rsidR="00D47AEC" w:rsidRDefault="00D47AEC" w:rsidP="00F03A47"/>
    <w:p w14:paraId="0516050A" w14:textId="77777777" w:rsidR="00D47AEC" w:rsidRDefault="00D47AEC" w:rsidP="00F03A47"/>
    <w:p w14:paraId="06A0EE05" w14:textId="77777777" w:rsidR="00D47AEC" w:rsidRDefault="00D47AEC" w:rsidP="00F03A47"/>
    <w:p w14:paraId="2AA42FD2" w14:textId="77777777" w:rsidR="00D47AEC" w:rsidRDefault="00D47AEC" w:rsidP="00F03A47"/>
    <w:tbl>
      <w:tblPr>
        <w:tblStyle w:val="GridTable4-Accent2"/>
        <w:tblW w:w="0" w:type="auto"/>
        <w:tblCellMar>
          <w:top w:w="57" w:type="dxa"/>
          <w:bottom w:w="57" w:type="dxa"/>
        </w:tblCellMar>
        <w:tblLook w:val="04A0" w:firstRow="1" w:lastRow="0" w:firstColumn="1" w:lastColumn="0" w:noHBand="0" w:noVBand="1"/>
      </w:tblPr>
      <w:tblGrid>
        <w:gridCol w:w="9016"/>
      </w:tblGrid>
      <w:tr w:rsidR="00F03A47" w:rsidRPr="00EA4071" w14:paraId="2B53D4B9" w14:textId="77777777" w:rsidTr="00760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FB62356" w14:textId="77777777" w:rsidR="00F03A47" w:rsidRPr="00934BC2" w:rsidRDefault="00F03A47" w:rsidP="007602C9">
            <w:pPr>
              <w:pStyle w:val="Content"/>
              <w:spacing w:before="0" w:after="0"/>
              <w:jc w:val="center"/>
              <w:rPr>
                <w:color w:val="000000" w:themeColor="text1"/>
                <w:sz w:val="24"/>
                <w:szCs w:val="24"/>
              </w:rPr>
            </w:pPr>
            <w:r>
              <w:rPr>
                <w:bCs w:val="0"/>
                <w:sz w:val="28"/>
                <w:szCs w:val="28"/>
              </w:rPr>
              <w:lastRenderedPageBreak/>
              <w:t>NDC</w:t>
            </w:r>
            <w:r w:rsidRPr="00BA7CD8">
              <w:rPr>
                <w:bCs w:val="0"/>
                <w:sz w:val="28"/>
                <w:szCs w:val="28"/>
              </w:rPr>
              <w:t xml:space="preserve"> </w:t>
            </w:r>
            <w:r>
              <w:rPr>
                <w:bCs w:val="0"/>
                <w:sz w:val="28"/>
                <w:szCs w:val="28"/>
              </w:rPr>
              <w:t>recommendation 2</w:t>
            </w:r>
          </w:p>
          <w:p w14:paraId="597652D0" w14:textId="77777777" w:rsidR="00F03A47" w:rsidRPr="00EA4071" w:rsidRDefault="00F03A47" w:rsidP="007602C9">
            <w:pPr>
              <w:pStyle w:val="Content"/>
              <w:spacing w:before="0" w:after="0"/>
              <w:jc w:val="center"/>
              <w:rPr>
                <w:b w:val="0"/>
                <w:sz w:val="28"/>
                <w:szCs w:val="28"/>
              </w:rPr>
            </w:pPr>
            <w:r w:rsidRPr="00934BC2">
              <w:rPr>
                <w:b w:val="0"/>
                <w:sz w:val="28"/>
                <w:szCs w:val="28"/>
              </w:rPr>
              <w:t>Changes to the NDC to make it compatible with contributing to a global effort towards keeping warming to 1.5</w:t>
            </w:r>
            <w:r>
              <w:rPr>
                <w:rFonts w:cstheme="minorHAnsi"/>
                <w:b w:val="0"/>
                <w:sz w:val="28"/>
                <w:szCs w:val="28"/>
              </w:rPr>
              <w:t>°</w:t>
            </w:r>
            <w:r w:rsidRPr="00934BC2">
              <w:rPr>
                <w:b w:val="0"/>
                <w:sz w:val="28"/>
                <w:szCs w:val="28"/>
              </w:rPr>
              <w:t>C</w:t>
            </w:r>
          </w:p>
        </w:tc>
      </w:tr>
      <w:tr w:rsidR="00F03A47" w:rsidRPr="00A666C6" w14:paraId="39A129B8" w14:textId="77777777" w:rsidTr="00760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A148AE8" w14:textId="77777777" w:rsidR="00F03A47" w:rsidRPr="002B24E2" w:rsidRDefault="00F03A47" w:rsidP="007602C9">
            <w:pPr>
              <w:pStyle w:val="ListParagraph"/>
              <w:ind w:left="1080"/>
            </w:pPr>
          </w:p>
          <w:p w14:paraId="1121CDFC" w14:textId="7C08CF04" w:rsidR="00F03A47" w:rsidRPr="002B24E2" w:rsidRDefault="00F03A47" w:rsidP="009B509E">
            <w:pPr>
              <w:pStyle w:val="ListParagraph"/>
              <w:numPr>
                <w:ilvl w:val="0"/>
                <w:numId w:val="90"/>
              </w:numPr>
              <w:spacing w:before="0" w:after="0"/>
              <w:ind w:left="454"/>
            </w:pPr>
            <w:r w:rsidRPr="000D61E0">
              <w:t>We recommend that to make the NDC more likely to be compatible with contributing to global efforts under the Paris Agreement to limit warming to 1.5°C above pre-indu</w:t>
            </w:r>
            <w:r w:rsidRPr="0067371E">
              <w:t>strial levels</w:t>
            </w:r>
            <w:r w:rsidR="001B63D9">
              <w:t>,</w:t>
            </w:r>
            <w:r w:rsidRPr="000D61E0">
              <w:t> </w:t>
            </w:r>
            <w:r w:rsidR="001B63D9">
              <w:t xml:space="preserve">the </w:t>
            </w:r>
            <w:r w:rsidRPr="000D61E0">
              <w:t>contribution</w:t>
            </w:r>
            <w:r w:rsidR="001B63D9">
              <w:t xml:space="preserve"> Aotearoa makes</w:t>
            </w:r>
            <w:r w:rsidRPr="000D61E0">
              <w:t xml:space="preserve"> over the NDC period should reflect a reduction to net emissions of much more than 35% below 2005 gross levels by 2030, with the likelihood of compatibility increasing as the NDC is strengthened further.</w:t>
            </w:r>
            <w:r w:rsidRPr="000D61E0">
              <w:br/>
            </w:r>
          </w:p>
          <w:p w14:paraId="58E7FF02" w14:textId="77777777" w:rsidR="00F03A47" w:rsidRPr="000D61E0" w:rsidRDefault="00F03A47" w:rsidP="009B509E">
            <w:pPr>
              <w:pStyle w:val="ListParagraph"/>
              <w:numPr>
                <w:ilvl w:val="0"/>
                <w:numId w:val="90"/>
              </w:numPr>
              <w:spacing w:before="0" w:after="0"/>
              <w:ind w:left="454"/>
            </w:pPr>
            <w:r w:rsidRPr="000E7181">
              <w:t>How much the NDC is strengthened beyond 35% should reflect the tolerance for climate and reputational risk and economic impact, and principles for effort sharing, which require political decisions.</w:t>
            </w:r>
          </w:p>
          <w:p w14:paraId="572ECDFC" w14:textId="77777777" w:rsidR="00F03A47" w:rsidRPr="00BE6035" w:rsidRDefault="00F03A47" w:rsidP="007602C9">
            <w:pPr>
              <w:pStyle w:val="ListParagraph"/>
            </w:pPr>
          </w:p>
        </w:tc>
      </w:tr>
    </w:tbl>
    <w:p w14:paraId="76CA4445" w14:textId="77777777" w:rsidR="00F03A47" w:rsidRDefault="00F03A47" w:rsidP="00F03A47"/>
    <w:tbl>
      <w:tblPr>
        <w:tblW w:w="0" w:type="auto"/>
        <w:shd w:val="clear" w:color="auto" w:fill="C6B1D1"/>
        <w:tblCellMar>
          <w:left w:w="0" w:type="dxa"/>
          <w:right w:w="0" w:type="dxa"/>
        </w:tblCellMar>
        <w:tblLook w:val="04A0" w:firstRow="1" w:lastRow="0" w:firstColumn="1" w:lastColumn="0" w:noHBand="0" w:noVBand="1"/>
      </w:tblPr>
      <w:tblGrid>
        <w:gridCol w:w="9016"/>
      </w:tblGrid>
      <w:tr w:rsidR="00F03A47" w14:paraId="70D55797" w14:textId="77777777" w:rsidTr="007602C9">
        <w:tc>
          <w:tcPr>
            <w:tcW w:w="9016" w:type="dxa"/>
            <w:tcBorders>
              <w:top w:val="single" w:sz="8" w:space="0" w:color="9E76B3"/>
              <w:left w:val="single" w:sz="8" w:space="0" w:color="9E76B3"/>
              <w:bottom w:val="single" w:sz="8" w:space="0" w:color="9E76B3"/>
              <w:right w:val="single" w:sz="8" w:space="0" w:color="9E76B3"/>
            </w:tcBorders>
            <w:shd w:val="clear" w:color="auto" w:fill="9E76B3"/>
            <w:tcMar>
              <w:top w:w="57" w:type="dxa"/>
              <w:left w:w="108" w:type="dxa"/>
              <w:bottom w:w="57" w:type="dxa"/>
              <w:right w:w="108" w:type="dxa"/>
            </w:tcMar>
            <w:hideMark/>
          </w:tcPr>
          <w:p w14:paraId="48A9EF65" w14:textId="77777777" w:rsidR="00F03A47" w:rsidRDefault="00F03A47" w:rsidP="007602C9">
            <w:pPr>
              <w:pStyle w:val="Content"/>
              <w:spacing w:before="0" w:after="0" w:line="240" w:lineRule="auto"/>
              <w:jc w:val="center"/>
              <w:rPr>
                <w:b/>
                <w:bCs/>
                <w:color w:val="000000"/>
                <w:sz w:val="24"/>
                <w:szCs w:val="24"/>
                <w:lang w:val="en-US"/>
              </w:rPr>
            </w:pPr>
            <w:r>
              <w:rPr>
                <w:b/>
                <w:bCs/>
                <w:color w:val="FFFFFF"/>
                <w:sz w:val="28"/>
                <w:szCs w:val="28"/>
              </w:rPr>
              <w:t>Consultation question 21</w:t>
            </w:r>
          </w:p>
          <w:p w14:paraId="3A51D7EC" w14:textId="74FF95D6" w:rsidR="00F03A47" w:rsidRDefault="00F03A47" w:rsidP="007602C9">
            <w:pPr>
              <w:pStyle w:val="Content"/>
              <w:spacing w:before="0" w:after="0" w:line="240" w:lineRule="auto"/>
              <w:jc w:val="center"/>
              <w:rPr>
                <w:color w:val="FFFFFF"/>
                <w:sz w:val="28"/>
                <w:szCs w:val="28"/>
              </w:rPr>
            </w:pPr>
            <w:r>
              <w:rPr>
                <w:color w:val="FFFFFF"/>
                <w:sz w:val="28"/>
                <w:szCs w:val="28"/>
              </w:rPr>
              <w:t xml:space="preserve"> </w:t>
            </w:r>
            <w:r w:rsidR="008108A3">
              <w:rPr>
                <w:color w:val="FFFFFF"/>
                <w:sz w:val="28"/>
                <w:szCs w:val="28"/>
              </w:rPr>
              <w:t>N</w:t>
            </w:r>
            <w:r>
              <w:rPr>
                <w:color w:val="FFFFFF"/>
                <w:sz w:val="28"/>
                <w:szCs w:val="28"/>
              </w:rPr>
              <w:t>ationally Determined Contribution (NDC)</w:t>
            </w:r>
          </w:p>
        </w:tc>
      </w:tr>
      <w:tr w:rsidR="00F03A47" w14:paraId="64772E07" w14:textId="77777777" w:rsidTr="007602C9">
        <w:tc>
          <w:tcPr>
            <w:tcW w:w="9016" w:type="dxa"/>
            <w:tcBorders>
              <w:top w:val="nil"/>
              <w:left w:val="single" w:sz="8" w:space="0" w:color="9E76B3"/>
              <w:bottom w:val="single" w:sz="8" w:space="0" w:color="9E76B3"/>
              <w:right w:val="single" w:sz="8" w:space="0" w:color="9E76B3"/>
            </w:tcBorders>
            <w:shd w:val="clear" w:color="auto" w:fill="C6B1D1"/>
            <w:tcMar>
              <w:top w:w="57" w:type="dxa"/>
              <w:left w:w="108" w:type="dxa"/>
              <w:bottom w:w="57" w:type="dxa"/>
              <w:right w:w="108" w:type="dxa"/>
            </w:tcMar>
          </w:tcPr>
          <w:p w14:paraId="4263A00B" w14:textId="5EE452DF" w:rsidR="00F03A47" w:rsidRPr="00D54015" w:rsidRDefault="00F03A47" w:rsidP="007602C9">
            <w:r>
              <w:rPr>
                <w:b/>
                <w:bCs/>
                <w:color w:val="000000"/>
              </w:rPr>
              <w:t xml:space="preserve">Do you support our assessment of the country’s NDC? </w:t>
            </w:r>
          </w:p>
          <w:p w14:paraId="20F4A553" w14:textId="10E0A9B9" w:rsidR="00F03A47" w:rsidRPr="006C4435" w:rsidRDefault="00F03A47" w:rsidP="007602C9">
            <w:r>
              <w:rPr>
                <w:b/>
                <w:bCs/>
                <w:color w:val="000000"/>
              </w:rPr>
              <w:t xml:space="preserve">Do you support our NDC recommendation? </w:t>
            </w:r>
          </w:p>
        </w:tc>
      </w:tr>
    </w:tbl>
    <w:p w14:paraId="4B2DC152" w14:textId="77777777" w:rsidR="00F03A47" w:rsidRDefault="00F03A47" w:rsidP="00F03A47"/>
    <w:p w14:paraId="355E4D84" w14:textId="28D07CBA" w:rsidR="00F03A47" w:rsidRPr="00436B95" w:rsidRDefault="00F03A47" w:rsidP="00F03A47">
      <w:pPr>
        <w:pBdr>
          <w:top w:val="single" w:sz="4" w:space="1" w:color="auto"/>
          <w:left w:val="single" w:sz="4" w:space="4" w:color="auto"/>
          <w:bottom w:val="single" w:sz="4" w:space="1" w:color="auto"/>
          <w:right w:val="single" w:sz="4" w:space="4" w:color="auto"/>
        </w:pBdr>
        <w:rPr>
          <w:b/>
          <w:bCs/>
        </w:rPr>
      </w:pPr>
      <w:r w:rsidRPr="00436B95">
        <w:rPr>
          <w:b/>
          <w:bCs/>
        </w:rPr>
        <w:t>Box 8.</w:t>
      </w:r>
      <w:r w:rsidRPr="00436B95">
        <w:rPr>
          <w:b/>
          <w:bCs/>
        </w:rPr>
        <w:fldChar w:fldCharType="begin"/>
      </w:r>
      <w:r w:rsidRPr="00436B95">
        <w:rPr>
          <w:b/>
          <w:bCs/>
        </w:rPr>
        <w:instrText xml:space="preserve"> SEQ Box_8. \* ARABIC </w:instrText>
      </w:r>
      <w:r w:rsidRPr="00436B95">
        <w:rPr>
          <w:b/>
          <w:bCs/>
        </w:rPr>
        <w:fldChar w:fldCharType="separate"/>
      </w:r>
      <w:r w:rsidR="00A22B54">
        <w:rPr>
          <w:b/>
          <w:bCs/>
          <w:noProof/>
        </w:rPr>
        <w:t>2</w:t>
      </w:r>
      <w:r w:rsidRPr="00436B95">
        <w:fldChar w:fldCharType="end"/>
      </w:r>
      <w:r w:rsidRPr="00436B95">
        <w:rPr>
          <w:b/>
          <w:bCs/>
        </w:rPr>
        <w:t xml:space="preserve">: Why </w:t>
      </w:r>
      <w:r w:rsidR="00E9255B">
        <w:rPr>
          <w:b/>
          <w:bCs/>
        </w:rPr>
        <w:t>the</w:t>
      </w:r>
      <w:r w:rsidRPr="00436B95">
        <w:rPr>
          <w:b/>
          <w:bCs/>
        </w:rPr>
        <w:t xml:space="preserve"> NDC is different</w:t>
      </w:r>
      <w:r w:rsidR="00F47673">
        <w:rPr>
          <w:b/>
          <w:bCs/>
        </w:rPr>
        <w:t xml:space="preserve"> </w:t>
      </w:r>
    </w:p>
    <w:p w14:paraId="7DD09BEA" w14:textId="7DD7DE17" w:rsidR="00F03A47" w:rsidRDefault="00F03A47" w:rsidP="00F03A47">
      <w:pPr>
        <w:pBdr>
          <w:top w:val="single" w:sz="4" w:space="1" w:color="auto"/>
          <w:left w:val="single" w:sz="4" w:space="4" w:color="auto"/>
          <w:bottom w:val="single" w:sz="4" w:space="1" w:color="auto"/>
          <w:right w:val="single" w:sz="4" w:space="4" w:color="auto"/>
        </w:pBdr>
      </w:pPr>
      <w:r>
        <w:t xml:space="preserve">Our recommendation is that </w:t>
      </w:r>
      <w:r w:rsidR="0049042E">
        <w:t>the</w:t>
      </w:r>
      <w:r>
        <w:t xml:space="preserve"> NDC would need to be strengthened to reflect a reduction of much more than</w:t>
      </w:r>
      <w:r w:rsidDel="00EE620A">
        <w:t xml:space="preserve"> </w:t>
      </w:r>
      <w:r>
        <w:t>35% below 2005 levels by 2030 to be compatible with contributing to the 1.5</w:t>
      </w:r>
      <w:r>
        <w:rPr>
          <w:rFonts w:cstheme="minorHAnsi"/>
        </w:rPr>
        <w:t>ᵒ</w:t>
      </w:r>
      <w:r>
        <w:t xml:space="preserve">C goal. This could still be less than some other developed countries’ NDCs. This is because </w:t>
      </w:r>
      <w:r w:rsidR="0049042E">
        <w:t>the</w:t>
      </w:r>
      <w:r>
        <w:t xml:space="preserve"> emissions profile</w:t>
      </w:r>
      <w:r w:rsidR="0049042E">
        <w:t xml:space="preserve"> in Aotearoa</w:t>
      </w:r>
      <w:r>
        <w:t xml:space="preserve"> is different to that of other developed countries. For most developed countries, carbon dioxide comprises the large majority of their emissions, and the IPCC modelling shows that large reductions in carbon dioxide would need to be made by 2030 to be on track to limit warming to 1.5</w:t>
      </w:r>
      <w:r>
        <w:rPr>
          <w:rFonts w:cstheme="minorHAnsi"/>
        </w:rPr>
        <w:t>ᵒ</w:t>
      </w:r>
      <w:r>
        <w:t>C.</w:t>
      </w:r>
    </w:p>
    <w:p w14:paraId="46FA4D7A" w14:textId="4069E066" w:rsidR="00F03A47" w:rsidRDefault="00F03A47" w:rsidP="00F03A47">
      <w:pPr>
        <w:pBdr>
          <w:top w:val="single" w:sz="4" w:space="1" w:color="auto"/>
          <w:left w:val="single" w:sz="4" w:space="4" w:color="auto"/>
          <w:bottom w:val="single" w:sz="4" w:space="1" w:color="auto"/>
          <w:right w:val="single" w:sz="4" w:space="4" w:color="auto"/>
        </w:pBdr>
      </w:pPr>
      <w:r>
        <w:t xml:space="preserve">In comparison, a larger part of emissions </w:t>
      </w:r>
      <w:r w:rsidR="0049042E">
        <w:t xml:space="preserve">in Aotearoa </w:t>
      </w:r>
      <w:r>
        <w:t>are not from carbon dioxide, with nearly half of total emissions comprised of biological emissions from the agriculture sector. The IPCC modelled that these gases also need to be reduced but not as deeply or as quickly as carbon dioxide. Because these gases are a larger proportion of total emissions, the reductions in greenhouse gases in line with the IPCC modelling is smaller overall than an equivalent target for other countries.</w:t>
      </w:r>
    </w:p>
    <w:p w14:paraId="0B7B29B3" w14:textId="40834777" w:rsidR="00F03A47" w:rsidRDefault="00F03A47" w:rsidP="00F03A47">
      <w:pPr>
        <w:pBdr>
          <w:top w:val="single" w:sz="4" w:space="1" w:color="auto"/>
          <w:left w:val="single" w:sz="4" w:space="4" w:color="auto"/>
          <w:bottom w:val="single" w:sz="4" w:space="1" w:color="auto"/>
          <w:right w:val="single" w:sz="4" w:space="4" w:color="auto"/>
        </w:pBdr>
      </w:pPr>
      <w:r>
        <w:t>By taking a split gas approach in applying the IPCC’s modelling, we have accounted for the differences in</w:t>
      </w:r>
      <w:r w:rsidR="0049042E">
        <w:t xml:space="preserve"> the</w:t>
      </w:r>
      <w:r>
        <w:t xml:space="preserve"> emissions profile</w:t>
      </w:r>
      <w:r w:rsidR="0049042E">
        <w:t xml:space="preserve"> in Aotearoa</w:t>
      </w:r>
      <w:r>
        <w:t xml:space="preserve">. </w:t>
      </w:r>
    </w:p>
    <w:p w14:paraId="0EFB6C7B" w14:textId="77777777" w:rsidR="00F03A47" w:rsidRPr="00F412D7" w:rsidRDefault="00F03A47" w:rsidP="00F03A47">
      <w:pPr>
        <w:pStyle w:val="Heading2"/>
      </w:pPr>
      <w:bookmarkStart w:id="315" w:name="_Toc62052782"/>
      <w:bookmarkStart w:id="316" w:name="_Toc62650341"/>
      <w:r>
        <w:lastRenderedPageBreak/>
        <w:t xml:space="preserve">8.7 </w:t>
      </w:r>
      <w:r w:rsidRPr="00F412D7">
        <w:t>How</w:t>
      </w:r>
      <w:r>
        <w:t xml:space="preserve"> </w:t>
      </w:r>
      <w:r w:rsidRPr="00F412D7">
        <w:t>might</w:t>
      </w:r>
      <w:r>
        <w:t xml:space="preserve"> Aotearoa meet an </w:t>
      </w:r>
      <w:r w:rsidRPr="00F412D7">
        <w:t>NDC</w:t>
      </w:r>
      <w:r>
        <w:t xml:space="preserve"> compatible with 1.5</w:t>
      </w:r>
      <w:r>
        <w:rPr>
          <w:rFonts w:cstheme="majorHAnsi"/>
        </w:rPr>
        <w:t>°</w:t>
      </w:r>
      <w:r>
        <w:t>C?</w:t>
      </w:r>
      <w:bookmarkEnd w:id="315"/>
      <w:bookmarkEnd w:id="316"/>
    </w:p>
    <w:p w14:paraId="5E7D63DA" w14:textId="77777777" w:rsidR="00F03A47" w:rsidRDefault="00F03A47" w:rsidP="00F03A47">
      <w:r>
        <w:t>The reductions in net emissions to meet the NDC will come from a combination of domestic action within Aotearoa and offshore mitigation to support other countries to reduce emissions. Here we describe the balance between domestic and offshore mitigation in meeting the NDC and its implications for increasing the level of the NDC.</w:t>
      </w:r>
    </w:p>
    <w:p w14:paraId="0B6C92BE" w14:textId="77777777" w:rsidR="00F03A47" w:rsidRPr="00DF5A79" w:rsidRDefault="00F03A47" w:rsidP="00F03A47">
      <w:pPr>
        <w:pStyle w:val="Heading3"/>
      </w:pPr>
      <w:bookmarkStart w:id="317" w:name="_Toc62052783"/>
      <w:bookmarkStart w:id="318" w:name="_Toc62649401"/>
      <w:bookmarkStart w:id="319" w:name="_Toc62650342"/>
      <w:r>
        <w:t>8.7.1 D</w:t>
      </w:r>
      <w:r w:rsidRPr="00DF5A79">
        <w:t>omestic</w:t>
      </w:r>
      <w:r>
        <w:t xml:space="preserve"> contribution</w:t>
      </w:r>
      <w:bookmarkEnd w:id="317"/>
      <w:bookmarkEnd w:id="318"/>
      <w:bookmarkEnd w:id="319"/>
    </w:p>
    <w:p w14:paraId="5F462FC1" w14:textId="77777777" w:rsidR="00F03A47" w:rsidRDefault="00F03A47" w:rsidP="00F03A47">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The Act states emissions budgets must be ambitious but achievable and that the Minister must meet emissions budgets as far as possible through domestic actions</w:t>
      </w:r>
      <w:r w:rsidRPr="00934BC2">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 xml:space="preserve"> The Act limits offshore mitigation being used in budgets to situations where there has been a major change in circumstances, not accounted for when the budgets were set, that makes it impossible to meet the budgets domestically</w:t>
      </w:r>
      <w:r w:rsidRPr="00934BC2">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 xml:space="preserve"> As a consequence, offshore mitigation cannot be used to replace domestic mitigation – Aotearoa must do as much as possible within its own borders first.</w:t>
      </w:r>
    </w:p>
    <w:p w14:paraId="22A2E9D0" w14:textId="77777777" w:rsidR="00F03A47" w:rsidRDefault="00F03A47" w:rsidP="00F03A47">
      <w:r>
        <w:t>The</w:t>
      </w:r>
      <w:r w:rsidRPr="0007275A">
        <w:t xml:space="preserve"> emission budgets </w:t>
      </w:r>
      <w:r>
        <w:t xml:space="preserve">under the Act that we recommend, described in </w:t>
      </w:r>
      <w:r>
        <w:rPr>
          <w:i/>
          <w:iCs/>
        </w:rPr>
        <w:t>C</w:t>
      </w:r>
      <w:r w:rsidRPr="00257A2C">
        <w:rPr>
          <w:i/>
          <w:iCs/>
        </w:rPr>
        <w:t>hapter 2: Our proposed emissions budgets and emissions reduction plan advice</w:t>
      </w:r>
      <w:r>
        <w:t xml:space="preserve">, </w:t>
      </w:r>
      <w:r w:rsidRPr="0007275A">
        <w:t xml:space="preserve">would limit net emissions in Aotearoa </w:t>
      </w:r>
      <w:r w:rsidRPr="006753D4">
        <w:t>to 557</w:t>
      </w:r>
      <w:r>
        <w:t xml:space="preserve"> </w:t>
      </w:r>
      <w:r w:rsidRPr="006753D4">
        <w:t>Mt CO</w:t>
      </w:r>
      <w:r w:rsidRPr="006753D4">
        <w:rPr>
          <w:vertAlign w:val="subscript"/>
        </w:rPr>
        <w:t>2</w:t>
      </w:r>
      <w:r w:rsidRPr="006753D4">
        <w:t>e</w:t>
      </w:r>
      <w:r w:rsidRPr="0007275A">
        <w:t xml:space="preserve"> over </w:t>
      </w:r>
      <w:r>
        <w:t xml:space="preserve">the </w:t>
      </w:r>
      <w:r w:rsidRPr="0007275A">
        <w:t>period</w:t>
      </w:r>
      <w:r>
        <w:t>s 2022-2025 and 2026-2030 together</w:t>
      </w:r>
      <w:r w:rsidRPr="0007275A">
        <w:t xml:space="preserve">. When forecast emissions for 2021 are included, emissions over the NDC period would </w:t>
      </w:r>
      <w:r w:rsidRPr="00E5392F">
        <w:t xml:space="preserve">be </w:t>
      </w:r>
      <w:r w:rsidRPr="009915F4">
        <w:t>628</w:t>
      </w:r>
      <w:r w:rsidRPr="006753D4">
        <w:t xml:space="preserve"> Mt CO</w:t>
      </w:r>
      <w:r w:rsidRPr="006753D4">
        <w:rPr>
          <w:vertAlign w:val="subscript"/>
        </w:rPr>
        <w:t>2</w:t>
      </w:r>
      <w:r w:rsidRPr="006753D4">
        <w:t>e</w:t>
      </w:r>
      <w:r w:rsidRPr="0007275A">
        <w:t xml:space="preserve"> if our proposed emissions budgets are adopted.</w:t>
      </w:r>
    </w:p>
    <w:p w14:paraId="5EF09D36" w14:textId="38DE2BCB" w:rsidR="00F03A47" w:rsidRDefault="00F03A47" w:rsidP="00F03A47">
      <w:r>
        <w:t xml:space="preserve">The evidence and analysis we have collated is that these budget levels represent ambitious but achievable levels of emission reductions on current levels that will put Aotearoa on track to meeting the 2050 targets – while balancing the requirements under the Act. More detail on how these budgets have been arrived at is provided in </w:t>
      </w:r>
      <w:r w:rsidRPr="00372C27">
        <w:rPr>
          <w:i/>
          <w:iCs/>
        </w:rPr>
        <w:t>Chapter 2</w:t>
      </w:r>
      <w:r>
        <w:t xml:space="preserve">: </w:t>
      </w:r>
      <w:r w:rsidRPr="009042E0">
        <w:rPr>
          <w:i/>
          <w:iCs/>
        </w:rPr>
        <w:t>Our proposed emissions budgets advice</w:t>
      </w:r>
      <w:r>
        <w:t>. However, the 628 Mt CO</w:t>
      </w:r>
      <w:r w:rsidRPr="00E9518E">
        <w:rPr>
          <w:vertAlign w:val="subscript"/>
        </w:rPr>
        <w:t>2</w:t>
      </w:r>
      <w:r>
        <w:t xml:space="preserve">e allowed emissions over 2021-2030 under our domestic emissions budget is higher than the level of the </w:t>
      </w:r>
      <w:r w:rsidR="00710915">
        <w:t>first</w:t>
      </w:r>
      <w:r>
        <w:t xml:space="preserve"> NDC. This means that some offshore mitigation will be needed to bridge the gap to ensure the NDC is met.</w:t>
      </w:r>
    </w:p>
    <w:p w14:paraId="4FCC19DA" w14:textId="77777777" w:rsidR="00F03A47" w:rsidRPr="00533B45" w:rsidRDefault="00F03A47" w:rsidP="00F03A47">
      <w:r w:rsidRPr="002D4DDA">
        <w:t>The emission budgets</w:t>
      </w:r>
      <w:r>
        <w:t xml:space="preserve"> are set at a higher level than the NDC because they must be able to be met entirely domestically. If too stringent budgets are set early on, Aotearoa</w:t>
      </w:r>
      <w:r w:rsidRPr="00D61460">
        <w:t xml:space="preserve"> risk</w:t>
      </w:r>
      <w:r>
        <w:t>s</w:t>
      </w:r>
      <w:r w:rsidRPr="00D61460">
        <w:t xml:space="preserve"> </w:t>
      </w:r>
      <w:r>
        <w:t>losing</w:t>
      </w:r>
      <w:r w:rsidRPr="00D61460">
        <w:t xml:space="preserve"> production</w:t>
      </w:r>
      <w:r>
        <w:t xml:space="preserve"> in areas</w:t>
      </w:r>
      <w:r w:rsidRPr="00D61460">
        <w:t xml:space="preserve"> where a technological solution could be applied if more time was available to implement it</w:t>
      </w:r>
      <w:r w:rsidRPr="00010F73">
        <w:t>.</w:t>
      </w:r>
      <w:r>
        <w:t xml:space="preserve"> For example, in food processing, before a coal boiler can be replaced with a biomass boiler, a supplier must be found and design work to integrate it into the existing process must be done. If time is not allowed for these solutions to be implemented,</w:t>
      </w:r>
      <w:r w:rsidRPr="00355F29">
        <w:t xml:space="preserve"> </w:t>
      </w:r>
      <w:r>
        <w:t>some businesses will simply have to shut down. This could lead to potentially more severe</w:t>
      </w:r>
      <w:r w:rsidRPr="00D61460">
        <w:t xml:space="preserve"> social and economic impacts on communities</w:t>
      </w:r>
      <w:r>
        <w:t>,</w:t>
      </w:r>
      <w:r w:rsidRPr="00D61460">
        <w:t xml:space="preserve"> people</w:t>
      </w:r>
      <w:r>
        <w:t xml:space="preserve"> and businesses</w:t>
      </w:r>
      <w:r w:rsidRPr="00D61460">
        <w:t xml:space="preserve"> than would be necessary to</w:t>
      </w:r>
      <w:r>
        <w:t xml:space="preserve"> achieve</w:t>
      </w:r>
      <w:r w:rsidRPr="00D61460">
        <w:t xml:space="preserve"> the same</w:t>
      </w:r>
      <w:r>
        <w:t xml:space="preserve"> amount of</w:t>
      </w:r>
      <w:r w:rsidRPr="00D61460">
        <w:t xml:space="preserve"> emission</w:t>
      </w:r>
      <w:r>
        <w:t xml:space="preserve"> reductions given more time</w:t>
      </w:r>
      <w:r w:rsidRPr="00D61460">
        <w:t xml:space="preserve">. </w:t>
      </w:r>
    </w:p>
    <w:p w14:paraId="640895FD" w14:textId="0E7358CD" w:rsidR="00F03A47" w:rsidRDefault="00F03A47" w:rsidP="00F03A47">
      <w:r>
        <w:t>Another consideration is around the likelihood of achieving the emission budgets. Our modelling shows that it is possible that emissions could potentially be reduced by a greater amount than the budgets we propose. However, this requires technological developments that are not yet proven – particularly technologies to reduce biogenic methane</w:t>
      </w:r>
      <w:r w:rsidRPr="00533B45">
        <w:t>.</w:t>
      </w:r>
      <w:r>
        <w:t xml:space="preserve"> Whether these technologies will be proven and able to be deployed is highly uncertain. Consequently</w:t>
      </w:r>
      <w:r w:rsidRPr="00934BC2">
        <w:t>,</w:t>
      </w:r>
      <w:r>
        <w:t xml:space="preserve"> setting emissions budgets at a more stringent level relying on these technologies introduces significant risks that the budget </w:t>
      </w:r>
      <w:r w:rsidRPr="00010F73">
        <w:t xml:space="preserve">will not be able to </w:t>
      </w:r>
      <w:r>
        <w:t xml:space="preserve">be </w:t>
      </w:r>
      <w:r w:rsidRPr="00010F73">
        <w:t>met domestically</w:t>
      </w:r>
      <w:r>
        <w:t xml:space="preserve">. If they are developed and proven in time, Aotearoa can meet a greater proportion of its NDC domestically and will be in a better position to set a more stringent second NDC. </w:t>
      </w:r>
    </w:p>
    <w:p w14:paraId="386EE3ED" w14:textId="77777777" w:rsidR="00F03A47" w:rsidRDefault="00F03A47" w:rsidP="00F03A47">
      <w:r w:rsidRPr="00697398">
        <w:lastRenderedPageBreak/>
        <w:t>In advising on emission budgets we have looked further than 2030</w:t>
      </w:r>
      <w:r>
        <w:t>, out</w:t>
      </w:r>
      <w:r w:rsidRPr="00697398">
        <w:t xml:space="preserve"> to 2050 and beyond. The first two emission budgets represent our estimate of what </w:t>
      </w:r>
      <w:r>
        <w:t>is</w:t>
      </w:r>
      <w:r w:rsidRPr="00697398">
        <w:t xml:space="preserve"> achiev</w:t>
      </w:r>
      <w:r>
        <w:t>able</w:t>
      </w:r>
      <w:r w:rsidRPr="00697398">
        <w:t xml:space="preserve"> within Aotearoa up to 2030.</w:t>
      </w:r>
      <w:r w:rsidRPr="00533B45">
        <w:t xml:space="preserve"> It will be possible to </w:t>
      </w:r>
      <w:r>
        <w:t xml:space="preserve">reduce emissions </w:t>
      </w:r>
      <w:r w:rsidRPr="00533B45">
        <w:t xml:space="preserve">much </w:t>
      </w:r>
      <w:r>
        <w:t>further</w:t>
      </w:r>
      <w:r w:rsidRPr="00533B45">
        <w:t xml:space="preserve"> after 2030</w:t>
      </w:r>
      <w:r>
        <w:t>, but only</w:t>
      </w:r>
      <w:r w:rsidRPr="00533B45">
        <w:t xml:space="preserve"> if </w:t>
      </w:r>
      <w:r>
        <w:t>the government</w:t>
      </w:r>
      <w:r w:rsidRPr="00533B45">
        <w:t xml:space="preserve"> take</w:t>
      </w:r>
      <w:r>
        <w:t>s</w:t>
      </w:r>
      <w:r w:rsidRPr="00533B45">
        <w:t xml:space="preserve"> decisive policy action early in the first and second budget periods.</w:t>
      </w:r>
      <w:r>
        <w:t xml:space="preserve"> Greater levels of </w:t>
      </w:r>
      <w:r w:rsidRPr="00934BC2">
        <w:t>emissions</w:t>
      </w:r>
      <w:r>
        <w:t xml:space="preserve"> reductions become possible as government, businesses and communities build momentum in the move away from fossil-fuels. </w:t>
      </w:r>
    </w:p>
    <w:p w14:paraId="112ACCD9" w14:textId="77777777" w:rsidR="00F03A47" w:rsidRPr="00406374" w:rsidRDefault="00F03A47" w:rsidP="00F03A47">
      <w:pPr>
        <w:pStyle w:val="Heading3"/>
        <w:rPr>
          <w:rStyle w:val="normaltextrun"/>
        </w:rPr>
      </w:pPr>
      <w:bookmarkStart w:id="320" w:name="_Toc62052784"/>
      <w:bookmarkStart w:id="321" w:name="_Toc62649402"/>
      <w:bookmarkStart w:id="322" w:name="_Toc62650343"/>
      <w:r>
        <w:rPr>
          <w:rStyle w:val="normaltextrun"/>
        </w:rPr>
        <w:t xml:space="preserve">8.7.2 </w:t>
      </w:r>
      <w:r w:rsidRPr="00406374">
        <w:rPr>
          <w:rStyle w:val="normaltextrun"/>
        </w:rPr>
        <w:t>Offshore mitigation</w:t>
      </w:r>
      <w:bookmarkEnd w:id="320"/>
      <w:bookmarkEnd w:id="321"/>
      <w:bookmarkEnd w:id="322"/>
    </w:p>
    <w:p w14:paraId="32015AD4" w14:textId="77777777" w:rsidR="00F03A47" w:rsidRDefault="00F03A47" w:rsidP="00F03A47">
      <w:r>
        <w:t xml:space="preserve">Offshore mitigation is where one country pays for emission reductions in another country and counts those reductions towards its own emissions reduction target. </w:t>
      </w:r>
      <w:r w:rsidRPr="005633E5">
        <w:t>Offshore mitigation</w:t>
      </w:r>
      <w:r>
        <w:t xml:space="preserve"> </w:t>
      </w:r>
      <w:r w:rsidRPr="005633E5">
        <w:t>representing</w:t>
      </w:r>
      <w:r>
        <w:t xml:space="preserve"> </w:t>
      </w:r>
      <w:r w:rsidRPr="005633E5">
        <w:t>real,</w:t>
      </w:r>
      <w:r>
        <w:t xml:space="preserve"> </w:t>
      </w:r>
      <w:r w:rsidRPr="005633E5">
        <w:t>verifiable</w:t>
      </w:r>
      <w:r>
        <w:t xml:space="preserve"> </w:t>
      </w:r>
      <w:r w:rsidRPr="005633E5">
        <w:t>and</w:t>
      </w:r>
      <w:r>
        <w:t xml:space="preserve"> </w:t>
      </w:r>
      <w:r w:rsidRPr="005633E5">
        <w:t>additional</w:t>
      </w:r>
      <w:r>
        <w:t xml:space="preserve"> </w:t>
      </w:r>
      <w:r w:rsidRPr="005633E5">
        <w:t>emission</w:t>
      </w:r>
      <w:r>
        <w:t xml:space="preserve"> </w:t>
      </w:r>
      <w:r w:rsidRPr="005633E5">
        <w:t>reductions</w:t>
      </w:r>
      <w:r>
        <w:t xml:space="preserve"> </w:t>
      </w:r>
      <w:r w:rsidRPr="005633E5">
        <w:t>is</w:t>
      </w:r>
      <w:r>
        <w:t xml:space="preserve"> </w:t>
      </w:r>
      <w:r w:rsidRPr="005633E5">
        <w:t>a</w:t>
      </w:r>
      <w:r>
        <w:t xml:space="preserve"> </w:t>
      </w:r>
      <w:r w:rsidRPr="005633E5">
        <w:t>valid</w:t>
      </w:r>
      <w:r>
        <w:t xml:space="preserve"> </w:t>
      </w:r>
      <w:r w:rsidRPr="005633E5">
        <w:t>contribution</w:t>
      </w:r>
      <w:r>
        <w:t xml:space="preserve"> </w:t>
      </w:r>
      <w:r w:rsidRPr="005633E5">
        <w:t>to</w:t>
      </w:r>
      <w:r>
        <w:t xml:space="preserve"> </w:t>
      </w:r>
      <w:r w:rsidRPr="005633E5">
        <w:t>addressing</w:t>
      </w:r>
      <w:r>
        <w:t xml:space="preserve"> </w:t>
      </w:r>
      <w:r w:rsidRPr="005633E5">
        <w:t>climate</w:t>
      </w:r>
      <w:r>
        <w:t xml:space="preserve"> </w:t>
      </w:r>
      <w:r w:rsidRPr="005633E5">
        <w:t>change.</w:t>
      </w:r>
      <w:r>
        <w:t xml:space="preserve"> </w:t>
      </w:r>
      <w:r w:rsidRPr="005633E5">
        <w:t>The</w:t>
      </w:r>
      <w:r>
        <w:t xml:space="preserve"> </w:t>
      </w:r>
      <w:r w:rsidRPr="005633E5">
        <w:t>benefit</w:t>
      </w:r>
      <w:r>
        <w:t xml:space="preserve"> </w:t>
      </w:r>
      <w:r w:rsidRPr="005633E5">
        <w:t>to</w:t>
      </w:r>
      <w:r>
        <w:t xml:space="preserve"> </w:t>
      </w:r>
      <w:r w:rsidRPr="005633E5">
        <w:t>the</w:t>
      </w:r>
      <w:r>
        <w:t xml:space="preserve"> </w:t>
      </w:r>
      <w:r w:rsidRPr="005633E5">
        <w:t>atmosphere</w:t>
      </w:r>
      <w:r>
        <w:t xml:space="preserve"> </w:t>
      </w:r>
      <w:r w:rsidRPr="005633E5">
        <w:t>of</w:t>
      </w:r>
      <w:r>
        <w:t xml:space="preserve"> </w:t>
      </w:r>
      <w:r w:rsidRPr="005633E5">
        <w:t>an</w:t>
      </w:r>
      <w:r>
        <w:t xml:space="preserve"> </w:t>
      </w:r>
      <w:r w:rsidRPr="005633E5">
        <w:t>emission</w:t>
      </w:r>
      <w:r>
        <w:t xml:space="preserve"> </w:t>
      </w:r>
      <w:r w:rsidRPr="005633E5">
        <w:t>reduction</w:t>
      </w:r>
      <w:r>
        <w:t xml:space="preserve"> </w:t>
      </w:r>
      <w:r w:rsidRPr="005633E5">
        <w:t>is</w:t>
      </w:r>
      <w:r>
        <w:t xml:space="preserve"> </w:t>
      </w:r>
      <w:r w:rsidRPr="005633E5">
        <w:t>the</w:t>
      </w:r>
      <w:r>
        <w:t xml:space="preserve"> </w:t>
      </w:r>
      <w:r w:rsidRPr="005633E5">
        <w:t>same,</w:t>
      </w:r>
      <w:r>
        <w:t xml:space="preserve"> </w:t>
      </w:r>
      <w:r w:rsidRPr="005633E5">
        <w:t>regardless</w:t>
      </w:r>
      <w:r>
        <w:t xml:space="preserve"> </w:t>
      </w:r>
      <w:r w:rsidRPr="005633E5">
        <w:t>where</w:t>
      </w:r>
      <w:r>
        <w:t xml:space="preserve"> </w:t>
      </w:r>
      <w:r w:rsidRPr="005633E5">
        <w:t>it</w:t>
      </w:r>
      <w:r>
        <w:t xml:space="preserve"> </w:t>
      </w:r>
      <w:r w:rsidRPr="005633E5">
        <w:t>happens.</w:t>
      </w:r>
      <w:r>
        <w:t xml:space="preserve"> Unlike emissions budgets under the Act, our NDC deliberately includes a contribution from international mitigation.</w:t>
      </w:r>
    </w:p>
    <w:p w14:paraId="7FFD0E63" w14:textId="4A22696C" w:rsidR="00F03A47" w:rsidRDefault="00F03A47" w:rsidP="00E82FDA">
      <w:r w:rsidRPr="005633E5">
        <w:t>Contributing</w:t>
      </w:r>
      <w:r>
        <w:t xml:space="preserve"> </w:t>
      </w:r>
      <w:r w:rsidRPr="005633E5">
        <w:t>this</w:t>
      </w:r>
      <w:r>
        <w:t xml:space="preserve"> </w:t>
      </w:r>
      <w:r w:rsidRPr="005633E5">
        <w:t>way</w:t>
      </w:r>
      <w:r>
        <w:t xml:space="preserve"> </w:t>
      </w:r>
      <w:r w:rsidRPr="005633E5">
        <w:t>mean</w:t>
      </w:r>
      <w:r>
        <w:t xml:space="preserve">s </w:t>
      </w:r>
      <w:r w:rsidRPr="005633E5">
        <w:t>that</w:t>
      </w:r>
      <w:r>
        <w:t xml:space="preserve"> </w:t>
      </w:r>
      <w:r w:rsidRPr="005633E5">
        <w:t>in</w:t>
      </w:r>
      <w:r>
        <w:t xml:space="preserve"> </w:t>
      </w:r>
      <w:r w:rsidRPr="005633E5">
        <w:t>addition</w:t>
      </w:r>
      <w:r>
        <w:t xml:space="preserve"> </w:t>
      </w:r>
      <w:r w:rsidRPr="005633E5">
        <w:t>to</w:t>
      </w:r>
      <w:r>
        <w:t xml:space="preserve"> </w:t>
      </w:r>
      <w:r w:rsidRPr="005633E5">
        <w:t>doing</w:t>
      </w:r>
      <w:r>
        <w:t xml:space="preserve"> </w:t>
      </w:r>
      <w:r w:rsidRPr="005633E5">
        <w:t>as</w:t>
      </w:r>
      <w:r>
        <w:t xml:space="preserve"> </w:t>
      </w:r>
      <w:r w:rsidRPr="005633E5">
        <w:t>much</w:t>
      </w:r>
      <w:r>
        <w:t xml:space="preserve"> </w:t>
      </w:r>
      <w:r w:rsidRPr="005633E5">
        <w:t>as</w:t>
      </w:r>
      <w:r>
        <w:t xml:space="preserve"> </w:t>
      </w:r>
      <w:r w:rsidRPr="005633E5">
        <w:t>possible</w:t>
      </w:r>
      <w:r>
        <w:t xml:space="preserve"> </w:t>
      </w:r>
      <w:r w:rsidRPr="005633E5">
        <w:t>domestically,</w:t>
      </w:r>
      <w:r>
        <w:t xml:space="preserve"> </w:t>
      </w:r>
      <w:r w:rsidRPr="005633E5">
        <w:t>Aotearoa</w:t>
      </w:r>
      <w:r>
        <w:t xml:space="preserve"> </w:t>
      </w:r>
      <w:r w:rsidRPr="005633E5">
        <w:t>would</w:t>
      </w:r>
      <w:r>
        <w:t xml:space="preserve"> help </w:t>
      </w:r>
      <w:r w:rsidRPr="005633E5">
        <w:t>other</w:t>
      </w:r>
      <w:r>
        <w:t xml:space="preserve"> </w:t>
      </w:r>
      <w:r w:rsidRPr="005633E5">
        <w:t>countries</w:t>
      </w:r>
      <w:r>
        <w:t xml:space="preserve"> to avoid </w:t>
      </w:r>
      <w:r w:rsidRPr="005633E5">
        <w:t>locking</w:t>
      </w:r>
      <w:r>
        <w:t xml:space="preserve"> </w:t>
      </w:r>
      <w:r w:rsidRPr="005633E5">
        <w:t>in</w:t>
      </w:r>
      <w:r>
        <w:t xml:space="preserve"> </w:t>
      </w:r>
      <w:r w:rsidRPr="005633E5">
        <w:t>high</w:t>
      </w:r>
      <w:r>
        <w:t xml:space="preserve"> </w:t>
      </w:r>
      <w:r w:rsidRPr="005633E5">
        <w:t>emissions</w:t>
      </w:r>
      <w:r>
        <w:t xml:space="preserve"> </w:t>
      </w:r>
      <w:r w:rsidRPr="005633E5">
        <w:t>and</w:t>
      </w:r>
      <w:r>
        <w:t xml:space="preserve"> to </w:t>
      </w:r>
      <w:r w:rsidRPr="005633E5">
        <w:t>develop</w:t>
      </w:r>
      <w:r>
        <w:t xml:space="preserve"> </w:t>
      </w:r>
      <w:r w:rsidRPr="005633E5">
        <w:t>more</w:t>
      </w:r>
      <w:r>
        <w:t xml:space="preserve"> </w:t>
      </w:r>
      <w:r w:rsidRPr="005633E5">
        <w:t>sustainably.</w:t>
      </w:r>
      <w:r w:rsidR="00073EAF">
        <w:t xml:space="preserve"> </w:t>
      </w:r>
      <w:r>
        <w:t xml:space="preserve">The </w:t>
      </w:r>
      <w:r w:rsidRPr="005633E5">
        <w:t>Paris</w:t>
      </w:r>
      <w:r>
        <w:t xml:space="preserve"> </w:t>
      </w:r>
      <w:r w:rsidRPr="005633E5">
        <w:t>Agreement</w:t>
      </w:r>
      <w:r>
        <w:t xml:space="preserve"> </w:t>
      </w:r>
      <w:r w:rsidRPr="005633E5">
        <w:t>recognises</w:t>
      </w:r>
      <w:r>
        <w:t xml:space="preserve"> </w:t>
      </w:r>
      <w:r w:rsidRPr="005633E5">
        <w:t>that</w:t>
      </w:r>
      <w:r>
        <w:t xml:space="preserve"> </w:t>
      </w:r>
      <w:r w:rsidRPr="005633E5">
        <w:t>international</w:t>
      </w:r>
      <w:r>
        <w:t xml:space="preserve"> </w:t>
      </w:r>
      <w:r w:rsidRPr="005633E5">
        <w:t>cooperation</w:t>
      </w:r>
      <w:r>
        <w:t xml:space="preserve"> </w:t>
      </w:r>
      <w:r w:rsidRPr="005633E5">
        <w:t>through</w:t>
      </w:r>
      <w:r>
        <w:t xml:space="preserve"> </w:t>
      </w:r>
      <w:r w:rsidRPr="005633E5">
        <w:t>market</w:t>
      </w:r>
      <w:r>
        <w:t xml:space="preserve"> </w:t>
      </w:r>
      <w:r w:rsidRPr="005633E5">
        <w:t>mechanisms</w:t>
      </w:r>
      <w:r>
        <w:t xml:space="preserve"> </w:t>
      </w:r>
      <w:r w:rsidRPr="005633E5">
        <w:t>can</w:t>
      </w:r>
      <w:r>
        <w:t xml:space="preserve"> </w:t>
      </w:r>
      <w:r w:rsidRPr="005633E5">
        <w:t>serve</w:t>
      </w:r>
      <w:r>
        <w:t xml:space="preserve"> </w:t>
      </w:r>
      <w:r w:rsidRPr="005633E5">
        <w:t>the</w:t>
      </w:r>
      <w:r>
        <w:t xml:space="preserve"> </w:t>
      </w:r>
      <w:r w:rsidRPr="005633E5">
        <w:t>goals</w:t>
      </w:r>
      <w:r>
        <w:t xml:space="preserve"> </w:t>
      </w:r>
      <w:r w:rsidRPr="005633E5">
        <w:t>of</w:t>
      </w:r>
      <w:r>
        <w:t xml:space="preserve"> </w:t>
      </w:r>
      <w:r w:rsidRPr="005633E5">
        <w:t>increasing</w:t>
      </w:r>
      <w:r>
        <w:t xml:space="preserve"> </w:t>
      </w:r>
      <w:r w:rsidRPr="005633E5">
        <w:t>ambition</w:t>
      </w:r>
      <w:r>
        <w:t xml:space="preserve"> </w:t>
      </w:r>
      <w:r w:rsidRPr="005633E5">
        <w:t>and</w:t>
      </w:r>
      <w:r>
        <w:t xml:space="preserve"> </w:t>
      </w:r>
      <w:r w:rsidRPr="005633E5">
        <w:t>of</w:t>
      </w:r>
      <w:r>
        <w:t xml:space="preserve"> </w:t>
      </w:r>
      <w:r w:rsidRPr="005633E5">
        <w:t>promoting</w:t>
      </w:r>
      <w:r>
        <w:t xml:space="preserve"> </w:t>
      </w:r>
      <w:r w:rsidRPr="005633E5">
        <w:t>sustainable</w:t>
      </w:r>
      <w:r>
        <w:t xml:space="preserve"> </w:t>
      </w:r>
      <w:r w:rsidRPr="005633E5">
        <w:t>development</w:t>
      </w:r>
      <w:r>
        <w:t xml:space="preserve"> </w:t>
      </w:r>
      <w:r w:rsidRPr="005633E5">
        <w:t>and</w:t>
      </w:r>
      <w:r>
        <w:t xml:space="preserve"> </w:t>
      </w:r>
      <w:r w:rsidRPr="005633E5">
        <w:t>environmental</w:t>
      </w:r>
      <w:r>
        <w:t xml:space="preserve"> </w:t>
      </w:r>
      <w:r w:rsidRPr="005633E5">
        <w:t>integrity.</w:t>
      </w:r>
      <w:r>
        <w:t xml:space="preserve"> </w:t>
      </w:r>
      <w:r w:rsidRPr="005633E5">
        <w:t>This</w:t>
      </w:r>
      <w:r>
        <w:t xml:space="preserve"> </w:t>
      </w:r>
      <w:r w:rsidRPr="005633E5">
        <w:t>is</w:t>
      </w:r>
      <w:r>
        <w:t xml:space="preserve"> </w:t>
      </w:r>
      <w:r w:rsidRPr="005633E5">
        <w:t>consistent</w:t>
      </w:r>
      <w:r>
        <w:t xml:space="preserve"> </w:t>
      </w:r>
      <w:r w:rsidRPr="005633E5">
        <w:t>with</w:t>
      </w:r>
      <w:r>
        <w:t xml:space="preserve"> </w:t>
      </w:r>
      <w:r w:rsidRPr="005633E5">
        <w:t>the</w:t>
      </w:r>
      <w:r>
        <w:t xml:space="preserve"> </w:t>
      </w:r>
      <w:r w:rsidRPr="005633E5">
        <w:t>value</w:t>
      </w:r>
      <w:r>
        <w:t xml:space="preserve"> </w:t>
      </w:r>
      <w:r w:rsidRPr="005633E5">
        <w:t>of</w:t>
      </w:r>
      <w:r>
        <w:t xml:space="preserve"> </w:t>
      </w:r>
      <w:r w:rsidRPr="005633E5">
        <w:t>whanaungatanga</w:t>
      </w:r>
      <w:r>
        <w:t xml:space="preserve"> </w:t>
      </w:r>
      <w:r w:rsidRPr="005633E5">
        <w:t>–</w:t>
      </w:r>
      <w:r>
        <w:t xml:space="preserve"> </w:t>
      </w:r>
      <w:r w:rsidRPr="005633E5">
        <w:t>the</w:t>
      </w:r>
      <w:r>
        <w:t xml:space="preserve"> </w:t>
      </w:r>
      <w:r w:rsidRPr="005633E5">
        <w:t>interconnectedness</w:t>
      </w:r>
      <w:r>
        <w:t xml:space="preserve"> </w:t>
      </w:r>
      <w:r w:rsidRPr="005633E5">
        <w:t>of</w:t>
      </w:r>
      <w:r>
        <w:t xml:space="preserve"> </w:t>
      </w:r>
      <w:r w:rsidRPr="005633E5">
        <w:t>the</w:t>
      </w:r>
      <w:r>
        <w:t xml:space="preserve"> </w:t>
      </w:r>
      <w:r w:rsidRPr="005633E5">
        <w:t>climate</w:t>
      </w:r>
      <w:r>
        <w:t xml:space="preserve"> </w:t>
      </w:r>
      <w:r w:rsidRPr="005633E5">
        <w:t>and</w:t>
      </w:r>
      <w:r>
        <w:t xml:space="preserve"> </w:t>
      </w:r>
      <w:r w:rsidRPr="005633E5">
        <w:t>global</w:t>
      </w:r>
      <w:r>
        <w:t xml:space="preserve"> </w:t>
      </w:r>
      <w:r w:rsidRPr="005633E5">
        <w:t>system</w:t>
      </w:r>
      <w:r>
        <w:t xml:space="preserve">, and tikanga </w:t>
      </w:r>
      <w:r w:rsidRPr="005633E5">
        <w:t>–</w:t>
      </w:r>
      <w:r>
        <w:t xml:space="preserve"> doing the right thing in the right way. This is why the NDC is set at a more stringent level than emissions budgets set under the Act. The NDC represents </w:t>
      </w:r>
      <w:r w:rsidR="008D5039">
        <w:t>the</w:t>
      </w:r>
      <w:r>
        <w:t xml:space="preserve"> total mitigation contribution to the world beyond just what we can do at home as illustrated in </w:t>
      </w:r>
      <w:r w:rsidR="00A20446">
        <w:t>Figure 8.4</w:t>
      </w:r>
      <w:r w:rsidR="009D6CE8">
        <w:t>.</w:t>
      </w:r>
      <w:r w:rsidR="00E82FDA">
        <w:rPr>
          <w:noProof/>
        </w:rPr>
        <w:drawing>
          <wp:inline distT="0" distB="0" distL="0" distR="0" wp14:anchorId="7E8C49C3" wp14:editId="04FF8183">
            <wp:extent cx="5831840" cy="3552825"/>
            <wp:effectExtent l="0" t="0" r="0" b="9525"/>
            <wp:docPr id="32" name="Picture 3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DC and offshore mitigation 3.JPG"/>
                    <pic:cNvPicPr/>
                  </pic:nvPicPr>
                  <pic:blipFill rotWithShape="1">
                    <a:blip r:embed="rId65">
                      <a:extLst>
                        <a:ext uri="{28A0092B-C50C-407E-A947-70E740481C1C}">
                          <a14:useLocalDpi xmlns:a14="http://schemas.microsoft.com/office/drawing/2010/main" val="0"/>
                        </a:ext>
                      </a:extLst>
                    </a:blip>
                    <a:srcRect b="4244"/>
                    <a:stretch/>
                  </pic:blipFill>
                  <pic:spPr bwMode="auto">
                    <a:xfrm>
                      <a:off x="0" y="0"/>
                      <a:ext cx="5831840" cy="3552825"/>
                    </a:xfrm>
                    <a:prstGeom prst="rect">
                      <a:avLst/>
                    </a:prstGeom>
                    <a:ln>
                      <a:noFill/>
                    </a:ln>
                    <a:extLst>
                      <a:ext uri="{53640926-AAD7-44D8-BBD7-CCE9431645EC}">
                        <a14:shadowObscured xmlns:a14="http://schemas.microsoft.com/office/drawing/2010/main"/>
                      </a:ext>
                    </a:extLst>
                  </pic:spPr>
                </pic:pic>
              </a:graphicData>
            </a:graphic>
          </wp:inline>
        </w:drawing>
      </w:r>
    </w:p>
    <w:p w14:paraId="2A1DDAC9" w14:textId="09B24C7A" w:rsidR="00F03A47" w:rsidRPr="00864C55" w:rsidRDefault="00F03A47" w:rsidP="00F03A47">
      <w:pPr>
        <w:pStyle w:val="Caption"/>
      </w:pPr>
      <w:bookmarkStart w:id="323" w:name="_Ref62049218"/>
      <w:r w:rsidRPr="00864C55">
        <w:lastRenderedPageBreak/>
        <w:t>Figure 8</w:t>
      </w:r>
      <w:bookmarkEnd w:id="323"/>
      <w:r w:rsidRPr="00864C55">
        <w:t>.</w:t>
      </w:r>
      <w:r w:rsidR="009D6CE8">
        <w:t>4</w:t>
      </w:r>
      <w:r>
        <w:fldChar w:fldCharType="begin"/>
      </w:r>
      <w:r>
        <w:instrText>SEQ Figure \* ARABIC</w:instrText>
      </w:r>
      <w:r>
        <w:fldChar w:fldCharType="end"/>
      </w:r>
      <w:r w:rsidRPr="00864C55">
        <w:t>: Illustration of the role of international mitigation in NDC compared to emissions budgets</w:t>
      </w:r>
    </w:p>
    <w:p w14:paraId="565F1D5F" w14:textId="77777777" w:rsidR="00F03A47" w:rsidRDefault="00F03A47" w:rsidP="00F03A47">
      <w:pPr>
        <w:pStyle w:val="Heading3"/>
      </w:pPr>
      <w:bookmarkStart w:id="324" w:name="_Toc62052785"/>
      <w:bookmarkStart w:id="325" w:name="_Toc62649403"/>
      <w:bookmarkStart w:id="326" w:name="_Toc62650344"/>
      <w:r>
        <w:t xml:space="preserve">8.7.3 How much </w:t>
      </w:r>
      <w:r w:rsidRPr="00320B6C">
        <w:t>international</w:t>
      </w:r>
      <w:r>
        <w:t xml:space="preserve"> </w:t>
      </w:r>
      <w:r w:rsidRPr="00320B6C">
        <w:t>mitigation</w:t>
      </w:r>
      <w:r>
        <w:t xml:space="preserve"> will </w:t>
      </w:r>
      <w:r w:rsidRPr="00320B6C">
        <w:t>be</w:t>
      </w:r>
      <w:r>
        <w:t xml:space="preserve"> need</w:t>
      </w:r>
      <w:r w:rsidRPr="00320B6C">
        <w:t>ed?</w:t>
      </w:r>
      <w:bookmarkEnd w:id="324"/>
      <w:bookmarkEnd w:id="325"/>
      <w:bookmarkEnd w:id="326"/>
    </w:p>
    <w:p w14:paraId="19F6A2E0" w14:textId="6C8B7177" w:rsidR="00F03A47" w:rsidRDefault="00F03A47" w:rsidP="00F03A47">
      <w:r>
        <w:t xml:space="preserve">The gap between </w:t>
      </w:r>
      <w:r w:rsidR="008D5039">
        <w:t>the</w:t>
      </w:r>
      <w:r>
        <w:t xml:space="preserve"> </w:t>
      </w:r>
      <w:r w:rsidR="008D5039">
        <w:t>first</w:t>
      </w:r>
      <w:r>
        <w:t xml:space="preserve"> NDC and our recommended emissions budgets for domestic action is </w:t>
      </w:r>
      <w:r w:rsidRPr="00FE5B85">
        <w:t>43</w:t>
      </w:r>
      <w:r>
        <w:t xml:space="preserve"> Mt CO</w:t>
      </w:r>
      <w:r w:rsidRPr="004169AE">
        <w:rPr>
          <w:vertAlign w:val="subscript"/>
        </w:rPr>
        <w:t>2</w:t>
      </w:r>
      <w:r>
        <w:t>e. This will need to be met by purchasing mitigation from overseas. Our modelling suggests that if a methane inhibitor or vaccine can be developed and deployed by the mid-2020s, this gap could be significantly reduced.</w:t>
      </w:r>
    </w:p>
    <w:p w14:paraId="25D32B4A" w14:textId="77777777" w:rsidR="00F03A47" w:rsidRDefault="00F03A47" w:rsidP="00F03A47">
      <w:r>
        <w:t>This means that if the government was to increase the NDC to make it compatible with the 1.5</w:t>
      </w:r>
      <w:r>
        <w:rPr>
          <w:rFonts w:cstheme="minorHAnsi"/>
        </w:rPr>
        <w:t>°C</w:t>
      </w:r>
      <w:r>
        <w:t xml:space="preserve"> goal, this would primarily increase the quantity of mitigation that needs to be purchased from overseas.</w:t>
      </w:r>
    </w:p>
    <w:p w14:paraId="31308D66" w14:textId="608E61AE" w:rsidR="00F03A47" w:rsidRPr="00CF49E1" w:rsidRDefault="009D6CE8" w:rsidP="00F03A47">
      <w:r>
        <w:t>Table 8.3</w:t>
      </w:r>
      <w:r w:rsidR="00F03A47">
        <w:t xml:space="preserve"> shows the level of the NDC and the likely quantity of offshore mitigation needed for </w:t>
      </w:r>
      <w:r w:rsidR="008D5039">
        <w:t>the</w:t>
      </w:r>
      <w:r w:rsidR="00F03A47">
        <w:t xml:space="preserve"> </w:t>
      </w:r>
      <w:r w:rsidR="008D5039">
        <w:t>first</w:t>
      </w:r>
      <w:r w:rsidR="00F03A47">
        <w:t xml:space="preserve"> NDC and an NDC based on the middle or upper end of the IPCC 1.5°C pathways. If Aotearoa were to take responsibility for past emissions or set the NDC based on </w:t>
      </w:r>
      <w:r w:rsidR="0081048E">
        <w:t xml:space="preserve">the </w:t>
      </w:r>
      <w:r w:rsidR="00F03A47">
        <w:t>relative wealth</w:t>
      </w:r>
      <w:r w:rsidR="0081048E">
        <w:t xml:space="preserve"> of</w:t>
      </w:r>
      <w:r w:rsidR="00860327">
        <w:t xml:space="preserve"> the country</w:t>
      </w:r>
      <w:r w:rsidR="00F03A47">
        <w:t>, the resulting NDC would show much deeper cuts to emissions.</w:t>
      </w:r>
      <w:r w:rsidR="00F03A47" w:rsidRPr="00134AA3">
        <w:rPr>
          <w:rStyle w:val="FootnoteReference"/>
        </w:rPr>
        <w:t xml:space="preserve"> </w:t>
      </w:r>
    </w:p>
    <w:p w14:paraId="2EAD61E4" w14:textId="58070C1A" w:rsidR="00F03A47" w:rsidRPr="00864C55" w:rsidRDefault="00F03A47" w:rsidP="00F03A47">
      <w:pPr>
        <w:pStyle w:val="Caption"/>
        <w:rPr>
          <w:rFonts w:ascii="Segoe UI" w:eastAsia="Times New Roman" w:hAnsi="Segoe UI" w:cs="Segoe UI"/>
          <w:lang w:eastAsia="en-NZ"/>
        </w:rPr>
      </w:pPr>
      <w:bookmarkStart w:id="327" w:name="_Ref58426402"/>
      <w:r w:rsidRPr="00864C55">
        <w:t>Table 8</w:t>
      </w:r>
      <w:bookmarkEnd w:id="327"/>
      <w:r w:rsidRPr="00864C55">
        <w:t>.</w:t>
      </w:r>
      <w:r w:rsidR="009D6CE8">
        <w:t>3:</w:t>
      </w:r>
      <w:r w:rsidRPr="00864C55">
        <w:t xml:space="preserve"> Th</w:t>
      </w:r>
      <w:r w:rsidRPr="00864C55">
        <w:rPr>
          <w:rFonts w:ascii="Calibri" w:eastAsia="Times New Roman" w:hAnsi="Calibri" w:cs="Calibri"/>
          <w:lang w:eastAsia="en-NZ"/>
        </w:rPr>
        <w:t>e amount of offshore mitigation that would need to be purchased under different NDC levels</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78"/>
        <w:gridCol w:w="2816"/>
        <w:gridCol w:w="2816"/>
      </w:tblGrid>
      <w:tr w:rsidR="00F03A47" w:rsidRPr="00D55603" w14:paraId="7538C52C" w14:textId="77777777" w:rsidTr="007602C9">
        <w:tc>
          <w:tcPr>
            <w:tcW w:w="33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912784" w14:textId="77777777" w:rsidR="00F03A47" w:rsidRPr="00223209" w:rsidRDefault="00F03A47" w:rsidP="007602C9">
            <w:pPr>
              <w:spacing w:after="0" w:line="240" w:lineRule="auto"/>
              <w:ind w:firstLine="57"/>
              <w:rPr>
                <w:b/>
                <w:bCs/>
              </w:rPr>
            </w:pPr>
            <w:r w:rsidRPr="00223209">
              <w:rPr>
                <w:b/>
                <w:bCs/>
              </w:rPr>
              <w:t>NDC approach</w:t>
            </w:r>
          </w:p>
        </w:tc>
        <w:tc>
          <w:tcPr>
            <w:tcW w:w="2816" w:type="dxa"/>
            <w:tcBorders>
              <w:top w:val="single" w:sz="6" w:space="0" w:color="auto"/>
              <w:left w:val="nil"/>
              <w:bottom w:val="single" w:sz="6" w:space="0" w:color="auto"/>
              <w:right w:val="single" w:sz="6" w:space="0" w:color="auto"/>
            </w:tcBorders>
            <w:shd w:val="clear" w:color="auto" w:fill="auto"/>
            <w:hideMark/>
          </w:tcPr>
          <w:p w14:paraId="77A5DBED" w14:textId="4315F58A" w:rsidR="00F03A47" w:rsidRPr="00D55603" w:rsidRDefault="00F03A47" w:rsidP="007602C9">
            <w:pPr>
              <w:spacing w:after="0" w:line="240" w:lineRule="auto"/>
              <w:jc w:val="center"/>
              <w:textAlignment w:val="baseline"/>
              <w:rPr>
                <w:rFonts w:ascii="Times New Roman" w:eastAsia="Times New Roman" w:hAnsi="Times New Roman" w:cs="Times New Roman"/>
                <w:sz w:val="24"/>
                <w:szCs w:val="24"/>
                <w:lang w:eastAsia="en-NZ"/>
              </w:rPr>
            </w:pPr>
            <w:r w:rsidRPr="00D55603">
              <w:rPr>
                <w:rFonts w:ascii="Calibri" w:eastAsia="Times New Roman" w:hAnsi="Calibri" w:cs="Calibri"/>
                <w:b/>
                <w:bCs/>
                <w:lang w:eastAsia="en-NZ"/>
              </w:rPr>
              <w:t>Level</w:t>
            </w:r>
            <w:r>
              <w:rPr>
                <w:rFonts w:ascii="Calibri" w:eastAsia="Times New Roman" w:hAnsi="Calibri" w:cs="Calibri"/>
                <w:b/>
                <w:bCs/>
                <w:lang w:eastAsia="en-NZ"/>
              </w:rPr>
              <w:t xml:space="preserve"> </w:t>
            </w:r>
            <w:r w:rsidRPr="00D55603">
              <w:rPr>
                <w:rFonts w:ascii="Calibri" w:eastAsia="Times New Roman" w:hAnsi="Calibri" w:cs="Calibri"/>
                <w:lang w:eastAsia="en-NZ"/>
              </w:rPr>
              <w:br/>
            </w:r>
            <w:r w:rsidRPr="00D55603">
              <w:rPr>
                <w:rFonts w:ascii="Calibri" w:eastAsia="Times New Roman" w:hAnsi="Calibri" w:cs="Calibri"/>
                <w:b/>
                <w:bCs/>
                <w:lang w:eastAsia="en-NZ"/>
              </w:rPr>
              <w:t>(Mt</w:t>
            </w:r>
            <w:r>
              <w:rPr>
                <w:rFonts w:ascii="Calibri" w:eastAsia="Times New Roman" w:hAnsi="Calibri" w:cs="Calibri"/>
                <w:b/>
                <w:bCs/>
                <w:lang w:eastAsia="en-NZ"/>
              </w:rPr>
              <w:t xml:space="preserve"> </w:t>
            </w:r>
            <w:r w:rsidRPr="00D55603">
              <w:rPr>
                <w:rFonts w:ascii="Calibri" w:eastAsia="Times New Roman" w:hAnsi="Calibri" w:cs="Calibri"/>
                <w:b/>
                <w:bCs/>
                <w:lang w:eastAsia="en-NZ"/>
              </w:rPr>
              <w:t>CO</w:t>
            </w:r>
            <w:r w:rsidRPr="00D55603">
              <w:rPr>
                <w:rFonts w:ascii="Calibri" w:eastAsia="Times New Roman" w:hAnsi="Calibri" w:cs="Calibri"/>
                <w:b/>
                <w:bCs/>
                <w:sz w:val="17"/>
                <w:szCs w:val="17"/>
                <w:vertAlign w:val="subscript"/>
                <w:lang w:eastAsia="en-NZ"/>
              </w:rPr>
              <w:t>2</w:t>
            </w:r>
            <w:r w:rsidRPr="00D55603">
              <w:rPr>
                <w:rFonts w:ascii="Calibri" w:eastAsia="Times New Roman" w:hAnsi="Calibri" w:cs="Calibri"/>
                <w:b/>
                <w:bCs/>
                <w:lang w:eastAsia="en-NZ"/>
              </w:rPr>
              <w:t>e)</w:t>
            </w:r>
          </w:p>
        </w:tc>
        <w:tc>
          <w:tcPr>
            <w:tcW w:w="2816" w:type="dxa"/>
            <w:tcBorders>
              <w:top w:val="single" w:sz="6" w:space="0" w:color="auto"/>
              <w:left w:val="nil"/>
              <w:bottom w:val="single" w:sz="6" w:space="0" w:color="auto"/>
              <w:right w:val="single" w:sz="6" w:space="0" w:color="auto"/>
            </w:tcBorders>
            <w:shd w:val="clear" w:color="auto" w:fill="auto"/>
            <w:hideMark/>
          </w:tcPr>
          <w:p w14:paraId="30F2FF4C" w14:textId="1EB93C6C" w:rsidR="00F03A47" w:rsidRPr="00D55603" w:rsidRDefault="00F03A47" w:rsidP="007602C9">
            <w:pPr>
              <w:spacing w:after="0" w:line="240" w:lineRule="auto"/>
              <w:jc w:val="center"/>
              <w:textAlignment w:val="baseline"/>
              <w:rPr>
                <w:rFonts w:ascii="Times New Roman" w:eastAsia="Times New Roman" w:hAnsi="Times New Roman" w:cs="Times New Roman"/>
                <w:sz w:val="24"/>
                <w:szCs w:val="24"/>
                <w:lang w:eastAsia="en-NZ"/>
              </w:rPr>
            </w:pPr>
            <w:r w:rsidRPr="00D55603">
              <w:rPr>
                <w:rFonts w:ascii="Calibri" w:eastAsia="Times New Roman" w:hAnsi="Calibri" w:cs="Calibri"/>
                <w:b/>
                <w:bCs/>
                <w:lang w:eastAsia="en-NZ"/>
              </w:rPr>
              <w:t>Implied</w:t>
            </w:r>
            <w:r>
              <w:rPr>
                <w:rFonts w:ascii="Calibri" w:eastAsia="Times New Roman" w:hAnsi="Calibri" w:cs="Calibri"/>
                <w:b/>
                <w:bCs/>
                <w:lang w:eastAsia="en-NZ"/>
              </w:rPr>
              <w:t xml:space="preserve"> </w:t>
            </w:r>
            <w:r w:rsidRPr="00D55603">
              <w:rPr>
                <w:rFonts w:ascii="Calibri" w:eastAsia="Times New Roman" w:hAnsi="Calibri" w:cs="Calibri"/>
                <w:b/>
                <w:bCs/>
                <w:lang w:eastAsia="en-NZ"/>
              </w:rPr>
              <w:t>offshore</w:t>
            </w:r>
            <w:r>
              <w:rPr>
                <w:rFonts w:ascii="Calibri" w:eastAsia="Times New Roman" w:hAnsi="Calibri" w:cs="Calibri"/>
                <w:b/>
                <w:bCs/>
                <w:lang w:eastAsia="en-NZ"/>
              </w:rPr>
              <w:t xml:space="preserve"> </w:t>
            </w:r>
            <w:r w:rsidRPr="00D55603">
              <w:rPr>
                <w:rFonts w:ascii="Calibri" w:eastAsia="Times New Roman" w:hAnsi="Calibri" w:cs="Calibri"/>
                <w:b/>
                <w:bCs/>
                <w:lang w:eastAsia="en-NZ"/>
              </w:rPr>
              <w:t>mitigation</w:t>
            </w:r>
            <w:r>
              <w:rPr>
                <w:rFonts w:ascii="Calibri" w:eastAsia="Times New Roman" w:hAnsi="Calibri" w:cs="Calibri"/>
                <w:b/>
                <w:bCs/>
                <w:lang w:eastAsia="en-NZ"/>
              </w:rPr>
              <w:t xml:space="preserve"> </w:t>
            </w:r>
            <w:r w:rsidRPr="00D55603">
              <w:rPr>
                <w:rFonts w:ascii="Calibri" w:eastAsia="Times New Roman" w:hAnsi="Calibri" w:cs="Calibri"/>
                <w:lang w:eastAsia="en-NZ"/>
              </w:rPr>
              <w:br/>
            </w:r>
            <w:r w:rsidRPr="00D55603">
              <w:rPr>
                <w:rFonts w:ascii="Calibri" w:eastAsia="Times New Roman" w:hAnsi="Calibri" w:cs="Calibri"/>
                <w:b/>
                <w:bCs/>
                <w:lang w:eastAsia="en-NZ"/>
              </w:rPr>
              <w:t>(Mt</w:t>
            </w:r>
            <w:r>
              <w:rPr>
                <w:rFonts w:ascii="Calibri" w:eastAsia="Times New Roman" w:hAnsi="Calibri" w:cs="Calibri"/>
                <w:b/>
                <w:bCs/>
                <w:lang w:eastAsia="en-NZ"/>
              </w:rPr>
              <w:t xml:space="preserve"> </w:t>
            </w:r>
            <w:r w:rsidRPr="00D55603">
              <w:rPr>
                <w:rFonts w:ascii="Calibri" w:eastAsia="Times New Roman" w:hAnsi="Calibri" w:cs="Calibri"/>
                <w:b/>
                <w:bCs/>
                <w:lang w:eastAsia="en-NZ"/>
              </w:rPr>
              <w:t>CO</w:t>
            </w:r>
            <w:r w:rsidRPr="00D55603">
              <w:rPr>
                <w:rFonts w:ascii="Calibri" w:eastAsia="Times New Roman" w:hAnsi="Calibri" w:cs="Calibri"/>
                <w:b/>
                <w:bCs/>
                <w:sz w:val="17"/>
                <w:szCs w:val="17"/>
                <w:vertAlign w:val="subscript"/>
                <w:lang w:eastAsia="en-NZ"/>
              </w:rPr>
              <w:t>2</w:t>
            </w:r>
            <w:r w:rsidRPr="00D55603">
              <w:rPr>
                <w:rFonts w:ascii="Calibri" w:eastAsia="Times New Roman" w:hAnsi="Calibri" w:cs="Calibri"/>
                <w:b/>
                <w:bCs/>
                <w:lang w:eastAsia="en-NZ"/>
              </w:rPr>
              <w:t>e)</w:t>
            </w:r>
          </w:p>
        </w:tc>
      </w:tr>
      <w:tr w:rsidR="00F03A47" w:rsidRPr="00D55603" w14:paraId="35CC6B0D" w14:textId="77777777" w:rsidTr="007602C9">
        <w:tc>
          <w:tcPr>
            <w:tcW w:w="3378" w:type="dxa"/>
            <w:tcBorders>
              <w:top w:val="nil"/>
              <w:left w:val="single" w:sz="6" w:space="0" w:color="auto"/>
              <w:bottom w:val="single" w:sz="6" w:space="0" w:color="auto"/>
              <w:right w:val="single" w:sz="6" w:space="0" w:color="auto"/>
            </w:tcBorders>
            <w:shd w:val="clear" w:color="auto" w:fill="auto"/>
            <w:hideMark/>
          </w:tcPr>
          <w:p w14:paraId="1DF11C87" w14:textId="3C73531D" w:rsidR="00F03A47" w:rsidRPr="00223209" w:rsidRDefault="00F03A47" w:rsidP="007602C9">
            <w:pPr>
              <w:spacing w:after="0" w:line="240" w:lineRule="auto"/>
              <w:ind w:firstLine="57"/>
              <w:rPr>
                <w:b/>
                <w:bCs/>
              </w:rPr>
            </w:pPr>
            <w:r w:rsidRPr="00223209">
              <w:rPr>
                <w:b/>
                <w:bCs/>
              </w:rPr>
              <w:t xml:space="preserve">2017 estimate of the </w:t>
            </w:r>
            <w:r w:rsidR="00710915">
              <w:rPr>
                <w:b/>
                <w:bCs/>
              </w:rPr>
              <w:t>first</w:t>
            </w:r>
            <w:r w:rsidRPr="00223209">
              <w:rPr>
                <w:b/>
                <w:bCs/>
              </w:rPr>
              <w:t xml:space="preserve"> NDC</w:t>
            </w:r>
          </w:p>
        </w:tc>
        <w:tc>
          <w:tcPr>
            <w:tcW w:w="2816" w:type="dxa"/>
            <w:tcBorders>
              <w:top w:val="nil"/>
              <w:left w:val="nil"/>
              <w:bottom w:val="single" w:sz="6" w:space="0" w:color="auto"/>
              <w:right w:val="single" w:sz="6" w:space="0" w:color="auto"/>
            </w:tcBorders>
            <w:shd w:val="clear" w:color="auto" w:fill="auto"/>
            <w:hideMark/>
          </w:tcPr>
          <w:p w14:paraId="45E01E1D" w14:textId="77777777" w:rsidR="00F03A47" w:rsidRPr="00D55603" w:rsidRDefault="00F03A47" w:rsidP="007602C9">
            <w:pPr>
              <w:spacing w:after="0" w:line="240" w:lineRule="auto"/>
              <w:jc w:val="center"/>
              <w:textAlignment w:val="baseline"/>
              <w:rPr>
                <w:rFonts w:ascii="Times New Roman" w:eastAsia="Times New Roman" w:hAnsi="Times New Roman" w:cs="Times New Roman"/>
                <w:sz w:val="24"/>
                <w:szCs w:val="24"/>
                <w:lang w:eastAsia="en-NZ"/>
              </w:rPr>
            </w:pPr>
            <w:r w:rsidRPr="00D55603">
              <w:rPr>
                <w:rFonts w:ascii="Calibri" w:eastAsia="Times New Roman" w:hAnsi="Calibri" w:cs="Calibri"/>
                <w:lang w:eastAsia="en-NZ"/>
              </w:rPr>
              <w:t>601</w:t>
            </w:r>
          </w:p>
        </w:tc>
        <w:tc>
          <w:tcPr>
            <w:tcW w:w="2816" w:type="dxa"/>
            <w:tcBorders>
              <w:top w:val="nil"/>
              <w:left w:val="nil"/>
              <w:bottom w:val="single" w:sz="6" w:space="0" w:color="auto"/>
              <w:right w:val="single" w:sz="6" w:space="0" w:color="auto"/>
            </w:tcBorders>
            <w:shd w:val="clear" w:color="auto" w:fill="auto"/>
            <w:hideMark/>
          </w:tcPr>
          <w:p w14:paraId="41F02BC8" w14:textId="77777777" w:rsidR="00F03A47" w:rsidRPr="00D55603" w:rsidRDefault="00F03A47" w:rsidP="007602C9">
            <w:pPr>
              <w:spacing w:after="0" w:line="240" w:lineRule="auto"/>
              <w:jc w:val="center"/>
              <w:textAlignment w:val="baseline"/>
              <w:rPr>
                <w:rFonts w:ascii="Times New Roman" w:eastAsia="Times New Roman" w:hAnsi="Times New Roman" w:cs="Times New Roman"/>
                <w:sz w:val="24"/>
                <w:szCs w:val="24"/>
                <w:lang w:eastAsia="en-NZ"/>
              </w:rPr>
            </w:pPr>
            <w:r>
              <w:rPr>
                <w:rFonts w:ascii="Calibri" w:eastAsia="Times New Roman" w:hAnsi="Calibri" w:cs="Calibri"/>
                <w:lang w:eastAsia="en-NZ"/>
              </w:rPr>
              <w:t>27</w:t>
            </w:r>
          </w:p>
        </w:tc>
      </w:tr>
      <w:tr w:rsidR="00F03A47" w:rsidRPr="00D55603" w14:paraId="6B419684" w14:textId="77777777" w:rsidTr="007602C9">
        <w:tc>
          <w:tcPr>
            <w:tcW w:w="3378" w:type="dxa"/>
            <w:tcBorders>
              <w:top w:val="nil"/>
              <w:left w:val="single" w:sz="6" w:space="0" w:color="auto"/>
              <w:bottom w:val="single" w:sz="6" w:space="0" w:color="auto"/>
              <w:right w:val="single" w:sz="6" w:space="0" w:color="auto"/>
            </w:tcBorders>
            <w:shd w:val="clear" w:color="auto" w:fill="auto"/>
          </w:tcPr>
          <w:p w14:paraId="7E33B1ED" w14:textId="7A2F769B" w:rsidR="00F03A47" w:rsidRPr="00223209" w:rsidRDefault="00F03A47" w:rsidP="007602C9">
            <w:pPr>
              <w:spacing w:after="0" w:line="240" w:lineRule="auto"/>
              <w:ind w:firstLine="57"/>
              <w:rPr>
                <w:b/>
                <w:bCs/>
              </w:rPr>
            </w:pPr>
            <w:r w:rsidRPr="00223209">
              <w:rPr>
                <w:b/>
                <w:bCs/>
              </w:rPr>
              <w:t xml:space="preserve">Latest estimate of the </w:t>
            </w:r>
            <w:r w:rsidR="00710915">
              <w:rPr>
                <w:b/>
                <w:bCs/>
              </w:rPr>
              <w:t>first</w:t>
            </w:r>
            <w:r w:rsidRPr="00223209">
              <w:rPr>
                <w:b/>
                <w:bCs/>
              </w:rPr>
              <w:t xml:space="preserve"> NDC</w:t>
            </w:r>
          </w:p>
        </w:tc>
        <w:tc>
          <w:tcPr>
            <w:tcW w:w="2816" w:type="dxa"/>
            <w:tcBorders>
              <w:top w:val="nil"/>
              <w:left w:val="nil"/>
              <w:bottom w:val="single" w:sz="6" w:space="0" w:color="auto"/>
              <w:right w:val="single" w:sz="6" w:space="0" w:color="auto"/>
            </w:tcBorders>
            <w:shd w:val="clear" w:color="auto" w:fill="auto"/>
          </w:tcPr>
          <w:p w14:paraId="203DD9FE" w14:textId="77777777" w:rsidR="00F03A47" w:rsidRPr="002D4DDA" w:rsidRDefault="00F03A47" w:rsidP="007602C9">
            <w:pPr>
              <w:spacing w:after="0" w:line="240" w:lineRule="auto"/>
              <w:jc w:val="center"/>
              <w:textAlignment w:val="baseline"/>
              <w:rPr>
                <w:rFonts w:ascii="Calibri" w:eastAsia="Times New Roman" w:hAnsi="Calibri" w:cs="Calibri"/>
                <w:highlight w:val="yellow"/>
                <w:lang w:eastAsia="en-NZ"/>
              </w:rPr>
            </w:pPr>
            <w:r w:rsidRPr="005E51AF">
              <w:rPr>
                <w:rFonts w:ascii="Calibri" w:eastAsia="Times New Roman" w:hAnsi="Calibri" w:cs="Calibri"/>
                <w:lang w:eastAsia="en-NZ"/>
              </w:rPr>
              <w:t>585</w:t>
            </w:r>
          </w:p>
        </w:tc>
        <w:tc>
          <w:tcPr>
            <w:tcW w:w="2816" w:type="dxa"/>
            <w:tcBorders>
              <w:top w:val="nil"/>
              <w:left w:val="nil"/>
              <w:bottom w:val="single" w:sz="6" w:space="0" w:color="auto"/>
              <w:right w:val="single" w:sz="6" w:space="0" w:color="auto"/>
            </w:tcBorders>
            <w:shd w:val="clear" w:color="auto" w:fill="auto"/>
          </w:tcPr>
          <w:p w14:paraId="7FE0B9B7" w14:textId="77777777" w:rsidR="00F03A47" w:rsidRPr="002D4DDA" w:rsidRDefault="00F03A47" w:rsidP="007602C9">
            <w:pPr>
              <w:spacing w:after="0" w:line="240" w:lineRule="auto"/>
              <w:jc w:val="center"/>
              <w:textAlignment w:val="baseline"/>
              <w:rPr>
                <w:rFonts w:ascii="Calibri" w:eastAsia="Times New Roman" w:hAnsi="Calibri" w:cs="Calibri"/>
                <w:highlight w:val="yellow"/>
                <w:lang w:eastAsia="en-NZ"/>
              </w:rPr>
            </w:pPr>
            <w:r w:rsidRPr="005E51AF">
              <w:rPr>
                <w:rFonts w:ascii="Calibri" w:eastAsia="Times New Roman" w:hAnsi="Calibri" w:cs="Calibri"/>
                <w:lang w:eastAsia="en-NZ"/>
              </w:rPr>
              <w:t>43</w:t>
            </w:r>
          </w:p>
        </w:tc>
      </w:tr>
      <w:tr w:rsidR="00F03A47" w:rsidRPr="00D55603" w14:paraId="1CD635E6" w14:textId="77777777" w:rsidTr="007602C9">
        <w:tc>
          <w:tcPr>
            <w:tcW w:w="3378" w:type="dxa"/>
            <w:tcBorders>
              <w:top w:val="nil"/>
              <w:left w:val="single" w:sz="6" w:space="0" w:color="auto"/>
              <w:bottom w:val="single" w:sz="6" w:space="0" w:color="auto"/>
              <w:right w:val="single" w:sz="6" w:space="0" w:color="auto"/>
            </w:tcBorders>
            <w:shd w:val="clear" w:color="auto" w:fill="auto"/>
            <w:hideMark/>
          </w:tcPr>
          <w:p w14:paraId="4E383BAA" w14:textId="77777777" w:rsidR="00F03A47" w:rsidRPr="00223209" w:rsidRDefault="00F03A47" w:rsidP="007602C9">
            <w:pPr>
              <w:spacing w:after="0" w:line="240" w:lineRule="auto"/>
              <w:ind w:firstLine="57"/>
              <w:rPr>
                <w:b/>
                <w:bCs/>
              </w:rPr>
            </w:pPr>
            <w:r w:rsidRPr="00223209">
              <w:rPr>
                <w:b/>
                <w:bCs/>
              </w:rPr>
              <w:t>Middle of the IPCC</w:t>
            </w:r>
          </w:p>
          <w:p w14:paraId="5E55D062" w14:textId="77777777" w:rsidR="00F03A47" w:rsidRPr="00223209" w:rsidRDefault="00F03A47" w:rsidP="007602C9">
            <w:pPr>
              <w:spacing w:after="0" w:line="240" w:lineRule="auto"/>
              <w:ind w:firstLine="57"/>
              <w:rPr>
                <w:b/>
                <w:bCs/>
              </w:rPr>
            </w:pPr>
            <w:r w:rsidRPr="00223209">
              <w:rPr>
                <w:b/>
                <w:bCs/>
              </w:rPr>
              <w:t>interquartile range</w:t>
            </w:r>
          </w:p>
        </w:tc>
        <w:tc>
          <w:tcPr>
            <w:tcW w:w="2816" w:type="dxa"/>
            <w:tcBorders>
              <w:top w:val="nil"/>
              <w:left w:val="nil"/>
              <w:bottom w:val="single" w:sz="6" w:space="0" w:color="auto"/>
              <w:right w:val="single" w:sz="6" w:space="0" w:color="auto"/>
            </w:tcBorders>
            <w:shd w:val="clear" w:color="auto" w:fill="auto"/>
            <w:hideMark/>
          </w:tcPr>
          <w:p w14:paraId="1D282176" w14:textId="77777777" w:rsidR="00F03A47" w:rsidRPr="005E51AF" w:rsidRDefault="00F03A47" w:rsidP="007602C9">
            <w:pPr>
              <w:spacing w:after="0" w:line="240" w:lineRule="auto"/>
              <w:jc w:val="center"/>
              <w:textAlignment w:val="baseline"/>
              <w:rPr>
                <w:rFonts w:ascii="Times New Roman" w:eastAsia="Times New Roman" w:hAnsi="Times New Roman" w:cs="Times New Roman"/>
                <w:sz w:val="24"/>
                <w:szCs w:val="24"/>
                <w:highlight w:val="yellow"/>
                <w:lang w:eastAsia="en-NZ"/>
              </w:rPr>
            </w:pPr>
            <w:r w:rsidRPr="005E51AF">
              <w:rPr>
                <w:rFonts w:ascii="Calibri" w:eastAsia="Times New Roman" w:hAnsi="Calibri" w:cs="Calibri"/>
                <w:lang w:eastAsia="en-NZ"/>
              </w:rPr>
              <w:t>564</w:t>
            </w:r>
          </w:p>
        </w:tc>
        <w:tc>
          <w:tcPr>
            <w:tcW w:w="2816" w:type="dxa"/>
            <w:tcBorders>
              <w:top w:val="nil"/>
              <w:left w:val="nil"/>
              <w:bottom w:val="single" w:sz="6" w:space="0" w:color="auto"/>
              <w:right w:val="single" w:sz="6" w:space="0" w:color="auto"/>
            </w:tcBorders>
            <w:shd w:val="clear" w:color="auto" w:fill="auto"/>
            <w:hideMark/>
          </w:tcPr>
          <w:p w14:paraId="279867E3" w14:textId="77777777" w:rsidR="00F03A47" w:rsidRPr="005E51AF" w:rsidRDefault="00F03A47" w:rsidP="007602C9">
            <w:pPr>
              <w:spacing w:after="0" w:line="240" w:lineRule="auto"/>
              <w:jc w:val="center"/>
              <w:textAlignment w:val="baseline"/>
              <w:rPr>
                <w:rFonts w:ascii="Times New Roman" w:eastAsia="Times New Roman" w:hAnsi="Times New Roman" w:cs="Times New Roman"/>
                <w:sz w:val="24"/>
                <w:szCs w:val="24"/>
                <w:highlight w:val="yellow"/>
                <w:lang w:eastAsia="en-NZ"/>
              </w:rPr>
            </w:pPr>
            <w:r w:rsidRPr="005E51AF">
              <w:rPr>
                <w:rFonts w:ascii="Calibri" w:eastAsia="Times New Roman" w:hAnsi="Calibri" w:cs="Calibri"/>
                <w:lang w:eastAsia="en-NZ"/>
              </w:rPr>
              <w:t>64</w:t>
            </w:r>
          </w:p>
        </w:tc>
      </w:tr>
      <w:tr w:rsidR="00F03A47" w:rsidRPr="00D55603" w14:paraId="4F216972" w14:textId="77777777" w:rsidTr="007602C9">
        <w:tc>
          <w:tcPr>
            <w:tcW w:w="3378" w:type="dxa"/>
            <w:tcBorders>
              <w:top w:val="nil"/>
              <w:left w:val="single" w:sz="6" w:space="0" w:color="auto"/>
              <w:bottom w:val="single" w:sz="6" w:space="0" w:color="auto"/>
              <w:right w:val="single" w:sz="6" w:space="0" w:color="auto"/>
            </w:tcBorders>
            <w:shd w:val="clear" w:color="auto" w:fill="auto"/>
            <w:hideMark/>
          </w:tcPr>
          <w:p w14:paraId="60DE8880" w14:textId="77777777" w:rsidR="00F03A47" w:rsidRPr="00223209" w:rsidRDefault="00F03A47" w:rsidP="007602C9">
            <w:pPr>
              <w:spacing w:after="0" w:line="240" w:lineRule="auto"/>
              <w:ind w:firstLine="57"/>
              <w:rPr>
                <w:b/>
                <w:bCs/>
              </w:rPr>
            </w:pPr>
            <w:r w:rsidRPr="00223209">
              <w:rPr>
                <w:b/>
                <w:bCs/>
              </w:rPr>
              <w:t>Upper end of the IPCC</w:t>
            </w:r>
          </w:p>
          <w:p w14:paraId="54278F6F" w14:textId="77777777" w:rsidR="00F03A47" w:rsidRPr="00223209" w:rsidRDefault="00F03A47" w:rsidP="007602C9">
            <w:pPr>
              <w:spacing w:after="0" w:line="240" w:lineRule="auto"/>
              <w:ind w:firstLine="57"/>
              <w:rPr>
                <w:b/>
                <w:bCs/>
              </w:rPr>
            </w:pPr>
            <w:r w:rsidRPr="00223209">
              <w:rPr>
                <w:b/>
                <w:bCs/>
              </w:rPr>
              <w:t>interquartile range</w:t>
            </w:r>
          </w:p>
        </w:tc>
        <w:tc>
          <w:tcPr>
            <w:tcW w:w="2816" w:type="dxa"/>
            <w:tcBorders>
              <w:top w:val="nil"/>
              <w:left w:val="nil"/>
              <w:bottom w:val="single" w:sz="6" w:space="0" w:color="auto"/>
              <w:right w:val="single" w:sz="6" w:space="0" w:color="auto"/>
            </w:tcBorders>
            <w:shd w:val="clear" w:color="auto" w:fill="auto"/>
            <w:hideMark/>
          </w:tcPr>
          <w:p w14:paraId="0CB6759C" w14:textId="77777777" w:rsidR="00F03A47" w:rsidRPr="005E51AF" w:rsidRDefault="00F03A47" w:rsidP="007602C9">
            <w:pPr>
              <w:spacing w:after="0" w:line="240" w:lineRule="auto"/>
              <w:jc w:val="center"/>
              <w:textAlignment w:val="baseline"/>
              <w:rPr>
                <w:rFonts w:ascii="Times New Roman" w:eastAsia="Times New Roman" w:hAnsi="Times New Roman" w:cs="Times New Roman"/>
                <w:sz w:val="24"/>
                <w:szCs w:val="24"/>
                <w:highlight w:val="yellow"/>
                <w:lang w:eastAsia="en-NZ"/>
              </w:rPr>
            </w:pPr>
            <w:r w:rsidRPr="005E51AF">
              <w:rPr>
                <w:rFonts w:ascii="Calibri" w:eastAsia="Times New Roman" w:hAnsi="Calibri" w:cs="Calibri"/>
                <w:lang w:eastAsia="en-NZ"/>
              </w:rPr>
              <w:t>524</w:t>
            </w:r>
          </w:p>
        </w:tc>
        <w:tc>
          <w:tcPr>
            <w:tcW w:w="2816" w:type="dxa"/>
            <w:tcBorders>
              <w:top w:val="nil"/>
              <w:left w:val="nil"/>
              <w:bottom w:val="single" w:sz="6" w:space="0" w:color="auto"/>
              <w:right w:val="single" w:sz="6" w:space="0" w:color="auto"/>
            </w:tcBorders>
            <w:shd w:val="clear" w:color="auto" w:fill="auto"/>
            <w:hideMark/>
          </w:tcPr>
          <w:p w14:paraId="4ECAA4CF" w14:textId="77777777" w:rsidR="00F03A47" w:rsidRPr="005E51AF" w:rsidRDefault="00F03A47" w:rsidP="007602C9">
            <w:pPr>
              <w:spacing w:after="0" w:line="240" w:lineRule="auto"/>
              <w:jc w:val="center"/>
              <w:textAlignment w:val="baseline"/>
              <w:rPr>
                <w:rFonts w:ascii="Times New Roman" w:eastAsia="Times New Roman" w:hAnsi="Times New Roman" w:cs="Times New Roman"/>
                <w:sz w:val="24"/>
                <w:szCs w:val="24"/>
                <w:highlight w:val="yellow"/>
                <w:lang w:eastAsia="en-NZ"/>
              </w:rPr>
            </w:pPr>
            <w:r w:rsidRPr="005E51AF">
              <w:rPr>
                <w:rFonts w:ascii="Calibri" w:eastAsia="Times New Roman" w:hAnsi="Calibri" w:cs="Calibri"/>
                <w:lang w:eastAsia="en-NZ"/>
              </w:rPr>
              <w:t>104</w:t>
            </w:r>
          </w:p>
        </w:tc>
      </w:tr>
    </w:tbl>
    <w:p w14:paraId="0C474FB9" w14:textId="475EC049" w:rsidR="00F03A47" w:rsidRDefault="00F03A47" w:rsidP="00F03A47">
      <w:r>
        <w:t xml:space="preserve">The total cost of offshore mitigation used to meet </w:t>
      </w:r>
      <w:r w:rsidR="00A351FC">
        <w:t>an</w:t>
      </w:r>
      <w:r>
        <w:t xml:space="preserve"> NDC will depend on the level of the NDC, how much of the NDC is met with domestic emission reductions and removals, and the price of offshore mitigation.</w:t>
      </w:r>
    </w:p>
    <w:p w14:paraId="26CA30D8" w14:textId="77777777" w:rsidR="00F03A47" w:rsidRDefault="00F03A47" w:rsidP="00F03A47">
      <w:r>
        <w:t>It is currently uncertain how much offshore mitigation will cost. Its cost will depend on which country or countries the government partners with, the types of mitigation available there. Once the Government has formalised a partnership for offshore mitigation with another country it will have to decide how the mitigation will be paid for. Offshore mitigation could be paid for by the Government, by emitters or a combination of the two.</w:t>
      </w:r>
    </w:p>
    <w:p w14:paraId="35C090A2" w14:textId="6663A5F4" w:rsidR="00F03A47" w:rsidRDefault="00F03A47" w:rsidP="00F03A47">
      <w:r>
        <w:t xml:space="preserve">The overall economic impact of expenditure on offshore mitigation will be greater than the purchase price, due to multiplier effects. Were an equivalent amount to be spent within Aotearoa, it would have a knock-on effect stimulating spending in downstream industries. With offshore mitigation these knock-on effects occur overseas, and so we do not get these benefits. However, we gain the benefit of cheaper emission reductions, and greater availability of mitigation options while the country builds momentum in decarbonising at home.  </w:t>
      </w:r>
    </w:p>
    <w:p w14:paraId="0595F9A8" w14:textId="2D790026" w:rsidR="00D54015" w:rsidRDefault="00F03A47" w:rsidP="00F03A47">
      <w:r>
        <w:lastRenderedPageBreak/>
        <w:t xml:space="preserve">It is uncertain both how much mitigation will cost and what multiplier would be appropriate to account for the terms of trade effects. This means there is a wide range of possible economic costs to offshore mitigation. If Aotearoa was to change the NDC to reflect the middle of the IPCC </w:t>
      </w:r>
      <w:r w:rsidRPr="001F1D82">
        <w:t>range</w:t>
      </w:r>
      <w:r w:rsidRPr="00FB34D7">
        <w:t>, then the range of economic costs of this component are desc</w:t>
      </w:r>
      <w:r w:rsidRPr="001F1D82">
        <w:t>ribed in</w:t>
      </w:r>
      <w:bookmarkStart w:id="328" w:name="_Ref59529575"/>
      <w:r>
        <w:t xml:space="preserve"> </w:t>
      </w:r>
      <w:r w:rsidR="00CB2A3D">
        <w:t>Table 8.4</w:t>
      </w:r>
      <w:r>
        <w:t xml:space="preserve"> </w:t>
      </w:r>
      <w:r w:rsidRPr="00F11888">
        <w:t>below.</w:t>
      </w:r>
    </w:p>
    <w:p w14:paraId="45615074" w14:textId="2F4358F5" w:rsidR="00F03A47" w:rsidRPr="00864C55" w:rsidRDefault="00F03A47" w:rsidP="00F03A47">
      <w:pPr>
        <w:pStyle w:val="Caption"/>
      </w:pPr>
      <w:bookmarkStart w:id="329" w:name="_Ref62049284"/>
      <w:r w:rsidRPr="00864C55">
        <w:t>Table 8</w:t>
      </w:r>
      <w:bookmarkEnd w:id="329"/>
      <w:r w:rsidRPr="00864C55">
        <w:t>.</w:t>
      </w:r>
      <w:r w:rsidR="00CB2A3D">
        <w:t>4:</w:t>
      </w:r>
      <w:r w:rsidRPr="00864C55">
        <w:t xml:space="preserve"> Possible economic costs of offshore mitigation used to meet an enhanced NDC</w:t>
      </w:r>
      <w:bookmarkEnd w:id="328"/>
    </w:p>
    <w:tbl>
      <w:tblPr>
        <w:tblStyle w:val="TableGrid"/>
        <w:tblW w:w="0" w:type="auto"/>
        <w:tblLook w:val="04A0" w:firstRow="1" w:lastRow="0" w:firstColumn="1" w:lastColumn="0" w:noHBand="0" w:noVBand="1"/>
      </w:tblPr>
      <w:tblGrid>
        <w:gridCol w:w="2875"/>
        <w:gridCol w:w="1633"/>
        <w:gridCol w:w="2254"/>
        <w:gridCol w:w="2254"/>
      </w:tblGrid>
      <w:tr w:rsidR="00F03A47" w14:paraId="32C933B5" w14:textId="77777777" w:rsidTr="007602C9">
        <w:tc>
          <w:tcPr>
            <w:tcW w:w="2875" w:type="dxa"/>
          </w:tcPr>
          <w:p w14:paraId="41583D12" w14:textId="77777777" w:rsidR="00F03A47" w:rsidRDefault="00F03A47" w:rsidP="007602C9"/>
        </w:tc>
        <w:tc>
          <w:tcPr>
            <w:tcW w:w="6141" w:type="dxa"/>
            <w:gridSpan w:val="3"/>
          </w:tcPr>
          <w:p w14:paraId="712BA797" w14:textId="77777777" w:rsidR="00F03A47" w:rsidRPr="001523FD" w:rsidRDefault="00F03A47" w:rsidP="007602C9">
            <w:pPr>
              <w:jc w:val="center"/>
              <w:rPr>
                <w:b/>
                <w:bCs/>
              </w:rPr>
            </w:pPr>
            <w:r w:rsidRPr="001523FD">
              <w:rPr>
                <w:b/>
                <w:bCs/>
              </w:rPr>
              <w:t xml:space="preserve">Price </w:t>
            </w:r>
            <w:r>
              <w:rPr>
                <w:b/>
                <w:bCs/>
              </w:rPr>
              <w:t>(</w:t>
            </w:r>
            <w:r w:rsidRPr="001523FD">
              <w:rPr>
                <w:b/>
                <w:bCs/>
              </w:rPr>
              <w:t>$/tonne</w:t>
            </w:r>
            <w:r>
              <w:rPr>
                <w:b/>
                <w:bCs/>
              </w:rPr>
              <w:t>)</w:t>
            </w:r>
          </w:p>
        </w:tc>
      </w:tr>
      <w:tr w:rsidR="00F03A47" w14:paraId="36BFF4D1" w14:textId="77777777" w:rsidTr="007602C9">
        <w:tc>
          <w:tcPr>
            <w:tcW w:w="2875" w:type="dxa"/>
          </w:tcPr>
          <w:p w14:paraId="6BD1774D" w14:textId="77777777" w:rsidR="00F03A47" w:rsidRPr="001523FD" w:rsidRDefault="00F03A47" w:rsidP="007602C9">
            <w:pPr>
              <w:rPr>
                <w:b/>
                <w:bCs/>
              </w:rPr>
            </w:pPr>
            <w:r w:rsidRPr="001523FD">
              <w:rPr>
                <w:b/>
                <w:bCs/>
              </w:rPr>
              <w:t>Multiplier for terms of trade</w:t>
            </w:r>
          </w:p>
        </w:tc>
        <w:tc>
          <w:tcPr>
            <w:tcW w:w="1633" w:type="dxa"/>
          </w:tcPr>
          <w:p w14:paraId="5DDAA8ED" w14:textId="77777777" w:rsidR="00F03A47" w:rsidRPr="001523FD" w:rsidRDefault="00F03A47" w:rsidP="007602C9">
            <w:pPr>
              <w:rPr>
                <w:i/>
                <w:iCs/>
              </w:rPr>
            </w:pPr>
            <w:r w:rsidRPr="001523FD">
              <w:rPr>
                <w:i/>
                <w:iCs/>
              </w:rPr>
              <w:t>$30</w:t>
            </w:r>
          </w:p>
        </w:tc>
        <w:tc>
          <w:tcPr>
            <w:tcW w:w="2254" w:type="dxa"/>
          </w:tcPr>
          <w:p w14:paraId="288F71ED" w14:textId="77777777" w:rsidR="00F03A47" w:rsidRPr="001523FD" w:rsidRDefault="00F03A47" w:rsidP="007602C9">
            <w:pPr>
              <w:rPr>
                <w:i/>
                <w:iCs/>
              </w:rPr>
            </w:pPr>
            <w:r w:rsidRPr="001523FD">
              <w:rPr>
                <w:i/>
                <w:iCs/>
              </w:rPr>
              <w:t>$50</w:t>
            </w:r>
          </w:p>
        </w:tc>
        <w:tc>
          <w:tcPr>
            <w:tcW w:w="2254" w:type="dxa"/>
          </w:tcPr>
          <w:p w14:paraId="2212652B" w14:textId="77777777" w:rsidR="00F03A47" w:rsidRPr="001523FD" w:rsidRDefault="00F03A47" w:rsidP="007602C9">
            <w:pPr>
              <w:rPr>
                <w:i/>
                <w:iCs/>
              </w:rPr>
            </w:pPr>
            <w:r w:rsidRPr="001523FD">
              <w:rPr>
                <w:i/>
                <w:iCs/>
              </w:rPr>
              <w:t>$100</w:t>
            </w:r>
          </w:p>
        </w:tc>
      </w:tr>
      <w:tr w:rsidR="00F03A47" w14:paraId="2E3B17AF" w14:textId="77777777" w:rsidTr="007602C9">
        <w:tc>
          <w:tcPr>
            <w:tcW w:w="2875" w:type="dxa"/>
          </w:tcPr>
          <w:p w14:paraId="7D1FD9BA" w14:textId="77777777" w:rsidR="00F03A47" w:rsidRPr="001523FD" w:rsidRDefault="00F03A47" w:rsidP="007602C9">
            <w:pPr>
              <w:rPr>
                <w:i/>
                <w:iCs/>
              </w:rPr>
            </w:pPr>
            <w:r w:rsidRPr="001523FD">
              <w:rPr>
                <w:i/>
                <w:iCs/>
              </w:rPr>
              <w:t>No multiplier</w:t>
            </w:r>
          </w:p>
        </w:tc>
        <w:tc>
          <w:tcPr>
            <w:tcW w:w="1633" w:type="dxa"/>
          </w:tcPr>
          <w:p w14:paraId="49F0B2AD" w14:textId="77777777" w:rsidR="00F03A47" w:rsidRPr="00C3289F" w:rsidRDefault="00F03A47" w:rsidP="007602C9">
            <w:pPr>
              <w:rPr>
                <w:highlight w:val="yellow"/>
              </w:rPr>
            </w:pPr>
            <w:r w:rsidRPr="00003BB1">
              <w:t>$1.9b</w:t>
            </w:r>
          </w:p>
        </w:tc>
        <w:tc>
          <w:tcPr>
            <w:tcW w:w="2254" w:type="dxa"/>
          </w:tcPr>
          <w:p w14:paraId="3203654C" w14:textId="77777777" w:rsidR="00F03A47" w:rsidRPr="00003BB1" w:rsidRDefault="00F03A47" w:rsidP="007602C9">
            <w:r w:rsidRPr="00003BB1">
              <w:t>$3.2b</w:t>
            </w:r>
          </w:p>
        </w:tc>
        <w:tc>
          <w:tcPr>
            <w:tcW w:w="2254" w:type="dxa"/>
          </w:tcPr>
          <w:p w14:paraId="4751F544" w14:textId="77777777" w:rsidR="00F03A47" w:rsidRPr="00003BB1" w:rsidRDefault="00F03A47" w:rsidP="007602C9">
            <w:r w:rsidRPr="00003BB1">
              <w:t>$6.4b</w:t>
            </w:r>
          </w:p>
        </w:tc>
      </w:tr>
      <w:tr w:rsidR="00F03A47" w14:paraId="7AB00F9A" w14:textId="77777777" w:rsidTr="007602C9">
        <w:tc>
          <w:tcPr>
            <w:tcW w:w="2875" w:type="dxa"/>
          </w:tcPr>
          <w:p w14:paraId="2C085038" w14:textId="77777777" w:rsidR="00F03A47" w:rsidRPr="001523FD" w:rsidRDefault="00F03A47" w:rsidP="007602C9">
            <w:pPr>
              <w:rPr>
                <w:i/>
                <w:iCs/>
              </w:rPr>
            </w:pPr>
            <w:r w:rsidRPr="001523FD">
              <w:rPr>
                <w:i/>
                <w:iCs/>
              </w:rPr>
              <w:t>1.8 multiplier</w:t>
            </w:r>
          </w:p>
        </w:tc>
        <w:tc>
          <w:tcPr>
            <w:tcW w:w="1633" w:type="dxa"/>
          </w:tcPr>
          <w:p w14:paraId="55FA3E4C" w14:textId="77777777" w:rsidR="00F03A47" w:rsidRPr="00003BB1" w:rsidRDefault="00F03A47" w:rsidP="007602C9">
            <w:r w:rsidRPr="00003BB1">
              <w:t>$3.5b</w:t>
            </w:r>
          </w:p>
        </w:tc>
        <w:tc>
          <w:tcPr>
            <w:tcW w:w="2254" w:type="dxa"/>
          </w:tcPr>
          <w:p w14:paraId="7C34CE29" w14:textId="77777777" w:rsidR="00F03A47" w:rsidRPr="00003BB1" w:rsidRDefault="00F03A47" w:rsidP="007602C9">
            <w:r w:rsidRPr="00003BB1">
              <w:t>$5.8b</w:t>
            </w:r>
          </w:p>
        </w:tc>
        <w:tc>
          <w:tcPr>
            <w:tcW w:w="2254" w:type="dxa"/>
          </w:tcPr>
          <w:p w14:paraId="10D5F1F5" w14:textId="77777777" w:rsidR="00F03A47" w:rsidRPr="00003BB1" w:rsidRDefault="00F03A47" w:rsidP="007602C9">
            <w:r w:rsidRPr="00003BB1">
              <w:t>$11.5b</w:t>
            </w:r>
          </w:p>
        </w:tc>
      </w:tr>
    </w:tbl>
    <w:p w14:paraId="4F5391B6" w14:textId="77777777" w:rsidR="00F03A47" w:rsidRPr="00934BC2" w:rsidRDefault="00F03A47" w:rsidP="00F03A47">
      <w:r>
        <w:t xml:space="preserve">Note: Estimates of the possible multiplier to account for terms of trade effects vary. Here we have used 1.8 based on work done by </w:t>
      </w:r>
      <w:proofErr w:type="spellStart"/>
      <w:r>
        <w:t>Infometrics</w:t>
      </w:r>
      <w:proofErr w:type="spellEnd"/>
      <w:r>
        <w:t xml:space="preserve"> to assess the impact of possible NDCs in 2015 –</w:t>
      </w:r>
      <w:r w:rsidRPr="00230A36">
        <w:rPr>
          <w:i/>
          <w:iCs/>
        </w:rPr>
        <w:t xml:space="preserve"> A general equilibrium analysis of options for New Zealand’s post-2020 climate change contribution.</w:t>
      </w:r>
    </w:p>
    <w:p w14:paraId="5409DC3E" w14:textId="77777777" w:rsidR="00F03A47" w:rsidRPr="005E104E" w:rsidRDefault="00F03A47" w:rsidP="00F03A47">
      <w:pPr>
        <w:pStyle w:val="Heading2"/>
      </w:pPr>
      <w:bookmarkStart w:id="330" w:name="_Toc62052786"/>
      <w:bookmarkStart w:id="331" w:name="_Toc62650345"/>
      <w:r>
        <w:t xml:space="preserve">8.8 </w:t>
      </w:r>
      <w:r w:rsidRPr="005E104E">
        <w:t xml:space="preserve">How might </w:t>
      </w:r>
      <w:r>
        <w:t>Government</w:t>
      </w:r>
      <w:r w:rsidRPr="005E104E">
        <w:t xml:space="preserve"> decide </w:t>
      </w:r>
      <w:r>
        <w:t>the level of</w:t>
      </w:r>
      <w:r w:rsidRPr="005E104E">
        <w:t xml:space="preserve"> the NDC?</w:t>
      </w:r>
      <w:bookmarkEnd w:id="330"/>
      <w:bookmarkEnd w:id="331"/>
    </w:p>
    <w:p w14:paraId="19530A4C" w14:textId="77777777" w:rsidR="00F03A47" w:rsidRDefault="00F03A47" w:rsidP="00F03A47">
      <w:r>
        <w:t>The middle of the IPCC range, representing the average reductions required of the world to keep warming to 1.5</w:t>
      </w:r>
      <w:r>
        <w:rPr>
          <w:rFonts w:cstheme="minorHAnsi"/>
        </w:rPr>
        <w:t>°</w:t>
      </w:r>
      <w:r>
        <w:t xml:space="preserve">C, would be an NDC of no more than </w:t>
      </w:r>
      <w:r w:rsidRPr="00FE6B3D">
        <w:t>564 Mt</w:t>
      </w:r>
      <w:r>
        <w:t xml:space="preserve"> CO</w:t>
      </w:r>
      <w:r w:rsidRPr="004A4B66">
        <w:rPr>
          <w:vertAlign w:val="subscript"/>
        </w:rPr>
        <w:t>2</w:t>
      </w:r>
      <w:r>
        <w:t xml:space="preserve">e, equivalent to a reduction of </w:t>
      </w:r>
      <w:r w:rsidRPr="00FE6B3D">
        <w:t>35</w:t>
      </w:r>
      <w:r>
        <w:t>% on 2005 levels by 2030.</w:t>
      </w:r>
    </w:p>
    <w:p w14:paraId="21BEBBEF" w14:textId="37B1A31B" w:rsidR="00F03A47" w:rsidRDefault="00F03A47" w:rsidP="00F03A47">
      <w:r>
        <w:t xml:space="preserve">How much deeper than this level the NDC should be set depends on </w:t>
      </w:r>
      <w:r w:rsidRPr="004A4B66">
        <w:t>a range of factors that are outside the Commission</w:t>
      </w:r>
      <w:r>
        <w:t>’</w:t>
      </w:r>
      <w:r w:rsidRPr="004A4B66">
        <w:t>s remit and capability</w:t>
      </w:r>
      <w:r>
        <w:t xml:space="preserve">. </w:t>
      </w:r>
      <w:r w:rsidRPr="004A4B66">
        <w:t>This is because</w:t>
      </w:r>
      <w:r>
        <w:t xml:space="preserve"> </w:t>
      </w:r>
      <w:r w:rsidR="00A351FC">
        <w:t>the</w:t>
      </w:r>
      <w:r>
        <w:t xml:space="preserve"> first NDC will reflect a deeper level of emission reductions than we believe is practical to achieve domestically. The decision on the level of the NDC therefore does not reflect trade-offs about how we transition </w:t>
      </w:r>
      <w:r w:rsidR="00A351FC">
        <w:t>the</w:t>
      </w:r>
      <w:r>
        <w:t xml:space="preserve"> economy, but decisions about the level of economic effort the country is willing to make over and above the domestic transition, in service of a global effort to mitigate climate change.</w:t>
      </w:r>
    </w:p>
    <w:p w14:paraId="2D3C8DC0" w14:textId="77777777" w:rsidR="00F03A47" w:rsidRDefault="00F03A47" w:rsidP="00F03A47">
      <w:r>
        <w:t xml:space="preserve">Decisions on the level of offshore mitigation purchased will need to balance a wider range of factors including judgements about </w:t>
      </w:r>
    </w:p>
    <w:p w14:paraId="0716D4FF" w14:textId="77777777" w:rsidR="00F03A47" w:rsidRPr="00790771" w:rsidRDefault="00F03A47" w:rsidP="009B509E">
      <w:pPr>
        <w:pStyle w:val="ListParagraph"/>
        <w:numPr>
          <w:ilvl w:val="0"/>
          <w:numId w:val="84"/>
        </w:numPr>
        <w:spacing w:before="0" w:after="160"/>
      </w:pPr>
      <w:r>
        <w:t>the expectations of other countries and their governments</w:t>
      </w:r>
    </w:p>
    <w:p w14:paraId="11F5F0BD" w14:textId="77777777" w:rsidR="00F03A47" w:rsidRDefault="00F03A47" w:rsidP="009B509E">
      <w:pPr>
        <w:pStyle w:val="ListParagraph"/>
        <w:numPr>
          <w:ilvl w:val="0"/>
          <w:numId w:val="84"/>
        </w:numPr>
        <w:spacing w:before="0" w:after="160"/>
      </w:pPr>
      <w:r>
        <w:t>the economic impacts of extending the NDC</w:t>
      </w:r>
    </w:p>
    <w:p w14:paraId="23213BAF" w14:textId="77777777" w:rsidR="00F03A47" w:rsidRDefault="00F03A47" w:rsidP="009B509E">
      <w:pPr>
        <w:pStyle w:val="ListParagraph"/>
        <w:numPr>
          <w:ilvl w:val="0"/>
          <w:numId w:val="84"/>
        </w:numPr>
        <w:spacing w:before="0" w:after="160"/>
      </w:pPr>
      <w:r>
        <w:t>tolerance for climate risks</w:t>
      </w:r>
    </w:p>
    <w:p w14:paraId="4CFB64D1" w14:textId="77777777" w:rsidR="00F03A47" w:rsidRDefault="00F03A47" w:rsidP="009B509E">
      <w:pPr>
        <w:pStyle w:val="ListParagraph"/>
        <w:numPr>
          <w:ilvl w:val="0"/>
          <w:numId w:val="84"/>
        </w:numPr>
        <w:spacing w:before="0" w:after="160"/>
      </w:pPr>
      <w:r>
        <w:t>t</w:t>
      </w:r>
      <w:r w:rsidRPr="00790771">
        <w:t>he relative importance of funding greater levels of climate change action against other domestic or international priorities</w:t>
      </w:r>
    </w:p>
    <w:p w14:paraId="63578143" w14:textId="77777777" w:rsidR="00F03A47" w:rsidRDefault="00F03A47" w:rsidP="009B509E">
      <w:pPr>
        <w:pStyle w:val="ListParagraph"/>
        <w:numPr>
          <w:ilvl w:val="0"/>
          <w:numId w:val="84"/>
        </w:numPr>
        <w:spacing w:before="0" w:after="160"/>
      </w:pPr>
      <w:r>
        <w:t>the Government’s approach to equity between countries.</w:t>
      </w:r>
    </w:p>
    <w:p w14:paraId="2F06D14A" w14:textId="337669F3" w:rsidR="00F03A47" w:rsidRPr="00790771" w:rsidRDefault="00F03A47" w:rsidP="00F03A47">
      <w:r>
        <w:t>W</w:t>
      </w:r>
      <w:r w:rsidRPr="004A4B66">
        <w:t xml:space="preserve">e consider that </w:t>
      </w:r>
      <w:r w:rsidRPr="00D96CD9">
        <w:t>the</w:t>
      </w:r>
      <w:r>
        <w:t>se judgements, and the</w:t>
      </w:r>
      <w:r w:rsidRPr="00D96CD9">
        <w:t xml:space="preserve"> decision o</w:t>
      </w:r>
      <w:r w:rsidRPr="004A4B66">
        <w:t>n</w:t>
      </w:r>
      <w:r w:rsidRPr="00D96CD9">
        <w:t xml:space="preserve"> the level of</w:t>
      </w:r>
      <w:r w:rsidRPr="004A4B66">
        <w:t xml:space="preserve"> international</w:t>
      </w:r>
      <w:r w:rsidRPr="00D96CD9">
        <w:t xml:space="preserve"> commitment</w:t>
      </w:r>
      <w:r>
        <w:t>,</w:t>
      </w:r>
      <w:r w:rsidRPr="00D96CD9">
        <w:t xml:space="preserve"> </w:t>
      </w:r>
      <w:r>
        <w:t>should be</w:t>
      </w:r>
      <w:r w:rsidRPr="00D96CD9">
        <w:t xml:space="preserve"> made by </w:t>
      </w:r>
      <w:r w:rsidRPr="004A4B66">
        <w:t xml:space="preserve">the </w:t>
      </w:r>
      <w:r>
        <w:t xml:space="preserve">elected </w:t>
      </w:r>
      <w:r w:rsidRPr="004A4B66">
        <w:t>government of the day.</w:t>
      </w:r>
      <w:r>
        <w:t xml:space="preserve"> However, it is also important that future governments uphold the NDC, and so cross-party support for any changes to the NDC should be sought.</w:t>
      </w:r>
    </w:p>
    <w:p w14:paraId="3397D794" w14:textId="77777777" w:rsidR="00F03A47" w:rsidRDefault="00F03A47" w:rsidP="00F03A47">
      <w:r>
        <w:t>We can however describe some principles the government can use to guide its analysis of deciding the level of the first NDC and some limitations in their application.</w:t>
      </w:r>
    </w:p>
    <w:p w14:paraId="63361E7B" w14:textId="77777777" w:rsidR="00F03A47" w:rsidRDefault="00F03A47" w:rsidP="00F03A47">
      <w:pPr>
        <w:pStyle w:val="Heading2"/>
      </w:pPr>
      <w:bookmarkStart w:id="332" w:name="_Toc62052787"/>
      <w:bookmarkStart w:id="333" w:name="_Toc62650346"/>
      <w:r>
        <w:lastRenderedPageBreak/>
        <w:t>8.9 Non-mitigation contributions</w:t>
      </w:r>
      <w:bookmarkEnd w:id="332"/>
      <w:bookmarkEnd w:id="333"/>
    </w:p>
    <w:p w14:paraId="2E3C4D18" w14:textId="77777777" w:rsidR="00F03A47" w:rsidRDefault="00F03A47" w:rsidP="00F03A47">
      <w:r>
        <w:t xml:space="preserve">NDCs represent countries’ mitigation commitments – how much each will contribute to the collective effort to peak global emissions and rapidly reduce them thereafter. </w:t>
      </w:r>
    </w:p>
    <w:p w14:paraId="5A666796" w14:textId="77777777" w:rsidR="00F03A47" w:rsidRDefault="00F03A47" w:rsidP="00F03A47">
      <w:r>
        <w:t xml:space="preserve">Other measures that can also support climate change efforts include wider elements such as climate finance to support developing countries to adapt to the effects of climate change and to mitigate their own emissions. Non-mitigation measures cannot replace mitigation, but can be included as supplementary commitments inside or outside NDCs to demonstrate a commitment to equity. </w:t>
      </w:r>
    </w:p>
    <w:p w14:paraId="25A0C57A" w14:textId="77777777" w:rsidR="00F03A47" w:rsidRDefault="00F03A47" w:rsidP="00F03A47">
      <w:r>
        <w:t>As the terms of reference for the review of the NDC were in reference to limiting warming to 1.5</w:t>
      </w:r>
      <w:r>
        <w:rPr>
          <w:rFonts w:cstheme="minorHAnsi"/>
        </w:rPr>
        <w:t>°</w:t>
      </w:r>
      <w:r>
        <w:t>C, we have not included non-mitigation commitments in our analysis. However, including an additional non-mitigation contribution in the country’s first NDC is one option the government could consider.</w:t>
      </w:r>
    </w:p>
    <w:p w14:paraId="23C4A6F3" w14:textId="13F43CB1" w:rsidR="00F03A47" w:rsidRDefault="00F03A47" w:rsidP="00F03A47">
      <w:pPr>
        <w:pStyle w:val="Heading2"/>
      </w:pPr>
      <w:bookmarkStart w:id="334" w:name="_Toc62052788"/>
      <w:bookmarkStart w:id="335" w:name="_Toc62650347"/>
      <w:r>
        <w:t xml:space="preserve">8.10 Principles </w:t>
      </w:r>
      <w:r w:rsidR="00FE30B4">
        <w:t>for</w:t>
      </w:r>
      <w:r>
        <w:t xml:space="preserve"> setting </w:t>
      </w:r>
      <w:r w:rsidR="00FE30B4">
        <w:t>an</w:t>
      </w:r>
      <w:r>
        <w:t xml:space="preserve"> NDC</w:t>
      </w:r>
      <w:bookmarkEnd w:id="334"/>
      <w:bookmarkEnd w:id="335"/>
    </w:p>
    <w:p w14:paraId="4A4572A5" w14:textId="670C539B" w:rsidR="00F03A47" w:rsidRDefault="00F03A47" w:rsidP="00F03A47">
      <w:r>
        <w:t>Aotearoa cannot ensure that warming is kept to 1.5</w:t>
      </w:r>
      <w:r>
        <w:rPr>
          <w:rFonts w:cstheme="minorHAnsi"/>
        </w:rPr>
        <w:t>°</w:t>
      </w:r>
      <w:r>
        <w:t>C on its own. It will take a global effort to do so. In seeking to make its NDC compatible with such a global effort, the government must either implicitly or explicitly make assumptions about how its NDC relates to the effort of other countries. There are different approaches to sharing the global effort between countries and they each imply different levels of NDC for Aotearoa. This section discusses some of the key principles and approaches used to estimate suitable contributions from different countries.</w:t>
      </w:r>
    </w:p>
    <w:p w14:paraId="654C10E3" w14:textId="77777777" w:rsidR="00F03A47" w:rsidRDefault="00F03A47" w:rsidP="00F03A47">
      <w:r w:rsidRPr="004E04BB">
        <w:t xml:space="preserve">The IPCC described the main set of </w:t>
      </w:r>
      <w:r>
        <w:t>effort</w:t>
      </w:r>
      <w:r w:rsidRPr="004E04BB">
        <w:t xml:space="preserve"> sharing approaches in the Fifth Assessment Report</w:t>
      </w:r>
      <w:r>
        <w:t>. There are three main principles and different approaches to effort sharing balance these principles differently</w:t>
      </w:r>
      <w:r w:rsidRPr="00934BC2">
        <w:t>.</w:t>
      </w:r>
    </w:p>
    <w:p w14:paraId="3230B25A" w14:textId="77777777" w:rsidR="00F03A47" w:rsidRDefault="00F03A47" w:rsidP="00F03A47">
      <w:pPr>
        <w:spacing w:after="200"/>
        <w:ind w:left="360"/>
      </w:pPr>
      <w:r>
        <w:rPr>
          <w:noProof/>
        </w:rPr>
        <w:drawing>
          <wp:inline distT="0" distB="0" distL="0" distR="0" wp14:anchorId="455F0744" wp14:editId="3E2A5582">
            <wp:extent cx="5018945" cy="2571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66">
                      <a:extLst>
                        <a:ext uri="{28A0092B-C50C-407E-A947-70E740481C1C}">
                          <a14:useLocalDpi xmlns:a14="http://schemas.microsoft.com/office/drawing/2010/main" val="0"/>
                        </a:ext>
                      </a:extLst>
                    </a:blip>
                    <a:stretch>
                      <a:fillRect/>
                    </a:stretch>
                  </pic:blipFill>
                  <pic:spPr>
                    <a:xfrm>
                      <a:off x="0" y="0"/>
                      <a:ext cx="5018945" cy="2571750"/>
                    </a:xfrm>
                    <a:prstGeom prst="rect">
                      <a:avLst/>
                    </a:prstGeom>
                  </pic:spPr>
                </pic:pic>
              </a:graphicData>
            </a:graphic>
          </wp:inline>
        </w:drawing>
      </w:r>
    </w:p>
    <w:p w14:paraId="1136F107" w14:textId="77777777" w:rsidR="00F03A47" w:rsidRPr="00380664" w:rsidRDefault="00F03A47" w:rsidP="009B509E">
      <w:pPr>
        <w:pStyle w:val="ListParagraph"/>
        <w:numPr>
          <w:ilvl w:val="0"/>
          <w:numId w:val="81"/>
        </w:numPr>
        <w:spacing w:before="0" w:after="160"/>
      </w:pPr>
      <w:r w:rsidRPr="00632F45">
        <w:rPr>
          <w:b/>
          <w:bCs/>
        </w:rPr>
        <w:t>Equality:</w:t>
      </w:r>
      <w:r w:rsidRPr="00380664">
        <w:t xml:space="preserve"> This principle focuses on equal access to the atmosphere. What </w:t>
      </w:r>
      <w:r w:rsidRPr="00934BC2">
        <w:t>emissions</w:t>
      </w:r>
      <w:r w:rsidRPr="00380664">
        <w:t xml:space="preserve"> budget remains is shared between all people equally. There are a range of approaches</w:t>
      </w:r>
      <w:r w:rsidRPr="007F27FA">
        <w:t>:</w:t>
      </w:r>
    </w:p>
    <w:p w14:paraId="03C95437" w14:textId="77777777" w:rsidR="00F03A47" w:rsidRDefault="00F03A47" w:rsidP="009B509E">
      <w:pPr>
        <w:pStyle w:val="ListParagraph"/>
        <w:numPr>
          <w:ilvl w:val="1"/>
          <w:numId w:val="81"/>
        </w:numPr>
        <w:spacing w:before="0" w:after="160"/>
        <w:rPr>
          <w:rStyle w:val="normaltextrun"/>
          <w:rFonts w:cstheme="minorHAnsi"/>
        </w:rPr>
      </w:pPr>
      <w:r w:rsidRPr="007F27FA">
        <w:t>Equal</w:t>
      </w:r>
      <w:r>
        <w:t xml:space="preserve"> </w:t>
      </w:r>
      <w:r w:rsidRPr="007F27FA">
        <w:t>proportional</w:t>
      </w:r>
      <w:r>
        <w:t xml:space="preserve"> </w:t>
      </w:r>
      <w:r w:rsidRPr="00934BC2">
        <w:t xml:space="preserve">emissions </w:t>
      </w:r>
      <w:r w:rsidRPr="007F27FA">
        <w:t>cuts</w:t>
      </w:r>
      <w:r>
        <w:t xml:space="preserve"> </w:t>
      </w:r>
      <w:r w:rsidRPr="007F27FA">
        <w:t>–</w:t>
      </w:r>
      <w:r>
        <w:t xml:space="preserve"> </w:t>
      </w:r>
      <w:r w:rsidRPr="007F27FA">
        <w:t>all</w:t>
      </w:r>
      <w:r>
        <w:t xml:space="preserve"> </w:t>
      </w:r>
      <w:r w:rsidRPr="007F27FA">
        <w:t>countries</w:t>
      </w:r>
      <w:r>
        <w:t xml:space="preserve"> </w:t>
      </w:r>
      <w:r w:rsidRPr="007F27FA">
        <w:t>reduce</w:t>
      </w:r>
      <w:r>
        <w:t xml:space="preserve"> </w:t>
      </w:r>
      <w:r w:rsidRPr="007F27FA">
        <w:t>emissions</w:t>
      </w:r>
      <w:r>
        <w:t xml:space="preserve"> </w:t>
      </w:r>
      <w:r w:rsidRPr="007F27FA">
        <w:t>at</w:t>
      </w:r>
      <w:r>
        <w:t xml:space="preserve"> </w:t>
      </w:r>
      <w:r w:rsidRPr="007F27FA">
        <w:t>the</w:t>
      </w:r>
      <w:r>
        <w:t xml:space="preserve"> </w:t>
      </w:r>
      <w:r w:rsidRPr="007F27FA">
        <w:t>same</w:t>
      </w:r>
      <w:r>
        <w:rPr>
          <w:rStyle w:val="normaltextrun"/>
          <w:rFonts w:cstheme="minorHAnsi"/>
        </w:rPr>
        <w:t xml:space="preserve"> rate.</w:t>
      </w:r>
    </w:p>
    <w:p w14:paraId="5DB07E12" w14:textId="77777777" w:rsidR="00F03A47" w:rsidRPr="00943202" w:rsidRDefault="00F03A47" w:rsidP="009B509E">
      <w:pPr>
        <w:pStyle w:val="ListParagraph"/>
        <w:numPr>
          <w:ilvl w:val="1"/>
          <w:numId w:val="81"/>
        </w:numPr>
        <w:spacing w:before="0" w:after="160"/>
        <w:rPr>
          <w:rStyle w:val="normaltextrun"/>
          <w:rFonts w:cstheme="minorHAnsi"/>
        </w:rPr>
      </w:pPr>
      <w:r w:rsidRPr="007F27FA">
        <w:t>Equal</w:t>
      </w:r>
      <w:r>
        <w:t xml:space="preserve"> </w:t>
      </w:r>
      <w:r w:rsidRPr="007F27FA">
        <w:t>per</w:t>
      </w:r>
      <w:r>
        <w:t xml:space="preserve"> </w:t>
      </w:r>
      <w:r w:rsidRPr="007F27FA">
        <w:t>capita</w:t>
      </w:r>
      <w:r>
        <w:t xml:space="preserve"> </w:t>
      </w:r>
      <w:r w:rsidRPr="007F27FA">
        <w:t>emissions</w:t>
      </w:r>
      <w:r>
        <w:t xml:space="preserve"> </w:t>
      </w:r>
      <w:r w:rsidRPr="007F27FA">
        <w:t>–</w:t>
      </w:r>
      <w:r>
        <w:t xml:space="preserve"> </w:t>
      </w:r>
      <w:r w:rsidRPr="007F27FA">
        <w:t>emissions</w:t>
      </w:r>
      <w:r w:rsidRPr="00943202">
        <w:rPr>
          <w:rStyle w:val="normaltextrun"/>
          <w:rFonts w:cstheme="minorHAnsi"/>
        </w:rPr>
        <w:t xml:space="preserve"> per capita converge to, or immediately reach, the same level for all countries</w:t>
      </w:r>
      <w:r>
        <w:rPr>
          <w:rStyle w:val="normaltextrun"/>
          <w:rFonts w:cstheme="minorHAnsi"/>
        </w:rPr>
        <w:t>.</w:t>
      </w:r>
    </w:p>
    <w:p w14:paraId="56E16C4D" w14:textId="77777777" w:rsidR="00F03A47" w:rsidRPr="00380664" w:rsidRDefault="00F03A47" w:rsidP="009B509E">
      <w:pPr>
        <w:pStyle w:val="ListParagraph"/>
        <w:numPr>
          <w:ilvl w:val="0"/>
          <w:numId w:val="81"/>
        </w:numPr>
        <w:spacing w:before="0" w:after="160"/>
      </w:pPr>
      <w:r w:rsidRPr="00632F45">
        <w:rPr>
          <w:b/>
          <w:bCs/>
        </w:rPr>
        <w:t>Responsibility:</w:t>
      </w:r>
      <w:r w:rsidRPr="00380664">
        <w:t xml:space="preserve"> This principle focuses on countries taking responsibility for their historic emissions. Countries that have emitted more historically have to take deeper and faster cuts. </w:t>
      </w:r>
    </w:p>
    <w:p w14:paraId="2104B82A" w14:textId="77777777" w:rsidR="00F03A47" w:rsidRPr="00380664" w:rsidRDefault="00F03A47" w:rsidP="009B509E">
      <w:pPr>
        <w:pStyle w:val="ListParagraph"/>
        <w:numPr>
          <w:ilvl w:val="0"/>
          <w:numId w:val="81"/>
        </w:numPr>
        <w:spacing w:before="0" w:after="160"/>
      </w:pPr>
      <w:r w:rsidRPr="00632F45">
        <w:rPr>
          <w:b/>
          <w:bCs/>
        </w:rPr>
        <w:lastRenderedPageBreak/>
        <w:t>Capability/need:</w:t>
      </w:r>
      <w:r w:rsidRPr="00380664">
        <w:t xml:space="preserve"> This principle focuses on a country’s level of economic development</w:t>
      </w:r>
      <w:r w:rsidRPr="007F27FA">
        <w:t>.</w:t>
      </w:r>
      <w:r w:rsidRPr="00380664">
        <w:t xml:space="preserve"> Higher levels of economic development imply a higher capability to reduce emissions. Lower levels of economic development imply a greater need for further development</w:t>
      </w:r>
      <w:r>
        <w:t xml:space="preserve"> and a greater use of the world </w:t>
      </w:r>
      <w:r w:rsidRPr="00934BC2">
        <w:t>emissions</w:t>
      </w:r>
      <w:r>
        <w:t xml:space="preserve"> budget</w:t>
      </w:r>
      <w:r w:rsidRPr="00380664">
        <w:t xml:space="preserve">. Consequently, richer countries are tasked with reducing deeper and faster, while less developed countries take more time before needing to cut emissions in order to develop economically. </w:t>
      </w:r>
    </w:p>
    <w:p w14:paraId="4D19F634" w14:textId="77777777" w:rsidR="00F03A47" w:rsidRDefault="00F03A47" w:rsidP="00F03A47">
      <w:r>
        <w:t xml:space="preserve">In addition to the main principles, there are approaches that combine the different </w:t>
      </w:r>
      <w:r w:rsidRPr="007F27FA">
        <w:t>element</w:t>
      </w:r>
      <w:r>
        <w:t>s</w:t>
      </w:r>
      <w:r w:rsidRPr="007F27FA">
        <w:t>.</w:t>
      </w:r>
      <w:r>
        <w:t xml:space="preserve"> The two most relevant are:</w:t>
      </w:r>
    </w:p>
    <w:p w14:paraId="780705A6" w14:textId="77777777" w:rsidR="00F03A47" w:rsidRDefault="00F03A47" w:rsidP="009B509E">
      <w:pPr>
        <w:pStyle w:val="ListParagraph"/>
        <w:numPr>
          <w:ilvl w:val="0"/>
          <w:numId w:val="83"/>
        </w:numPr>
        <w:spacing w:before="0" w:after="160"/>
      </w:pPr>
      <w:r w:rsidRPr="00632F45">
        <w:rPr>
          <w:b/>
          <w:bCs/>
        </w:rPr>
        <w:t>Equal cumulative per capita emissions:</w:t>
      </w:r>
      <w:r w:rsidRPr="002F6D50">
        <w:t> emissions need to be reduced so that cumulative emissions per capita reach the same level. This allows countries with a high population and low historic emissions further time to develop. This approach combines elements of</w:t>
      </w:r>
      <w:r>
        <w:t xml:space="preserve"> </w:t>
      </w:r>
      <w:r w:rsidRPr="002F6D50">
        <w:t>equality and</w:t>
      </w:r>
      <w:r>
        <w:t xml:space="preserve"> </w:t>
      </w:r>
      <w:r w:rsidRPr="002F6D50">
        <w:t>historical</w:t>
      </w:r>
      <w:r>
        <w:t xml:space="preserve"> </w:t>
      </w:r>
      <w:r w:rsidRPr="002F6D50">
        <w:t>responsibility.</w:t>
      </w:r>
      <w:r w:rsidRPr="00763118">
        <w:rPr>
          <w:vertAlign w:val="superscript"/>
        </w:rPr>
        <w:t xml:space="preserve"> </w:t>
      </w:r>
    </w:p>
    <w:p w14:paraId="4070AC90" w14:textId="77777777" w:rsidR="00F03A47" w:rsidRDefault="00F03A47" w:rsidP="009B509E">
      <w:pPr>
        <w:pStyle w:val="ListParagraph"/>
        <w:numPr>
          <w:ilvl w:val="0"/>
          <w:numId w:val="83"/>
        </w:numPr>
        <w:spacing w:before="0" w:after="160"/>
      </w:pPr>
      <w:r w:rsidRPr="00616B11">
        <w:rPr>
          <w:b/>
          <w:bCs/>
        </w:rPr>
        <w:t>Responsibility/capability/need:</w:t>
      </w:r>
      <w:r w:rsidRPr="00A42473">
        <w:t xml:space="preserve"> a range of studies have explicitly used responsibility and capability as the basis for distributing emissions reductions. The approach taken will depend on the relative weighting given to responsibility vs capability. </w:t>
      </w:r>
    </w:p>
    <w:p w14:paraId="3D98E282" w14:textId="77777777" w:rsidR="00F03A47" w:rsidRDefault="00F03A47" w:rsidP="00F03A47">
      <w:r w:rsidRPr="00102407">
        <w:t>Each of these approaches relies on assessing a global emissions budget that is compatible with the temperature goal and dividing it between countries</w:t>
      </w:r>
      <w:r>
        <w:t xml:space="preserve">, in ways that </w:t>
      </w:r>
      <w:r w:rsidRPr="00934BC2">
        <w:t>reflect</w:t>
      </w:r>
      <w:r>
        <w:t xml:space="preserve"> equity considerations</w:t>
      </w:r>
      <w:r w:rsidRPr="00102407">
        <w:t>.</w:t>
      </w:r>
      <w:r>
        <w:t xml:space="preserve"> However, careful judgements need to be made about how different gases are treated in these approaches. In particular, care must be taken to consider how short-lived gases are treated in approaches that are based on calculating cumulative emissions. </w:t>
      </w:r>
    </w:p>
    <w:p w14:paraId="2D367908" w14:textId="77777777" w:rsidR="00F03A47" w:rsidRDefault="00F03A47" w:rsidP="00F03A47">
      <w:r>
        <w:t xml:space="preserve">Various organisations and researchers have analysed targets and NDCs specific to </w:t>
      </w:r>
      <w:r w:rsidRPr="00934BC2">
        <w:t xml:space="preserve">Aotearoa </w:t>
      </w:r>
      <w:r>
        <w:t>under different effort sharing approaches including Climate Analytics and the New Climate Institute (Climate Action Tracker) and du Pont et al (Paris Equity Check). These analyses generally exclude forestry emissions/sequestration and so are not directly comparable with an NDC that includes forest sequestration but are illustrative of the depth of reductions required if these equity approaches are applied.</w:t>
      </w:r>
    </w:p>
    <w:p w14:paraId="1DCDFFA6" w14:textId="6F1548DF" w:rsidR="00F03A47" w:rsidRPr="00790771" w:rsidRDefault="00F03A47" w:rsidP="00F03A47">
      <w:r w:rsidRPr="00EF14C2">
        <w:t>Oxfam New Zealand</w:t>
      </w:r>
      <w:r w:rsidRPr="00AE7BC6">
        <w:t xml:space="preserve"> (</w:t>
      </w:r>
      <w:r w:rsidRPr="00AE7BC6">
        <w:rPr>
          <w:i/>
          <w:iCs/>
        </w:rPr>
        <w:t>A Fair</w:t>
      </w:r>
      <w:r>
        <w:rPr>
          <w:i/>
          <w:iCs/>
        </w:rPr>
        <w:t xml:space="preserve"> </w:t>
      </w:r>
      <w:r w:rsidRPr="00366153">
        <w:rPr>
          <w:i/>
          <w:iCs/>
        </w:rPr>
        <w:t>Target</w:t>
      </w:r>
      <w:r>
        <w:rPr>
          <w:i/>
          <w:iCs/>
        </w:rPr>
        <w:t xml:space="preserve"> </w:t>
      </w:r>
      <w:r w:rsidRPr="00366153">
        <w:rPr>
          <w:i/>
          <w:iCs/>
        </w:rPr>
        <w:t>for</w:t>
      </w:r>
      <w:r>
        <w:rPr>
          <w:i/>
          <w:iCs/>
        </w:rPr>
        <w:t xml:space="preserve"> </w:t>
      </w:r>
      <w:r w:rsidRPr="00366153">
        <w:rPr>
          <w:i/>
          <w:iCs/>
        </w:rPr>
        <w:t>2030</w:t>
      </w:r>
      <w:r>
        <w:rPr>
          <w:i/>
          <w:iCs/>
        </w:rPr>
        <w:t xml:space="preserve"> </w:t>
      </w:r>
      <w:r w:rsidRPr="00366153">
        <w:rPr>
          <w:i/>
          <w:iCs/>
        </w:rPr>
        <w:t>for</w:t>
      </w:r>
      <w:r>
        <w:rPr>
          <w:i/>
          <w:iCs/>
        </w:rPr>
        <w:t xml:space="preserve"> </w:t>
      </w:r>
      <w:r w:rsidRPr="00366153">
        <w:rPr>
          <w:i/>
          <w:iCs/>
        </w:rPr>
        <w:t>Aotearoa</w:t>
      </w:r>
      <w:r>
        <w:t xml:space="preserve">, 2020) provides a useful overview of the different equity approaches that can be applied and what they would mean for </w:t>
      </w:r>
      <w:r w:rsidR="00AD7A22">
        <w:t>the</w:t>
      </w:r>
      <w:r>
        <w:t xml:space="preserve"> NDC specifically and have noted the methodological issues that need to be managed in each case. </w:t>
      </w:r>
    </w:p>
    <w:p w14:paraId="02D551AF" w14:textId="432ADAAE" w:rsidR="00F03A47" w:rsidRDefault="00F03A47" w:rsidP="00F03A47">
      <w:r>
        <w:t>In general, applying these equity approaches implies that Aotearoa should make significantly deeper reductions than the global average. For approaches under the equality principle, the scale of reductions needed depends heavily on what is being held equal – the allowed budget per person, or the proportionate level of reductions. Holding the proportionate reductions equal across countries is not an equitable approach and is not compatible with</w:t>
      </w:r>
      <w:r w:rsidR="00AD7A22">
        <w:t xml:space="preserve"> the</w:t>
      </w:r>
      <w:r>
        <w:t xml:space="preserve"> international commitments </w:t>
      </w:r>
      <w:r w:rsidR="00AD7A22">
        <w:t>Aotearoa has</w:t>
      </w:r>
      <w:r w:rsidR="00E23025">
        <w:t>,</w:t>
      </w:r>
      <w:r w:rsidR="00AD7A22">
        <w:t xml:space="preserve"> </w:t>
      </w:r>
      <w:r>
        <w:t xml:space="preserve">as it ignores differences in national circumstances and instead requires the same proportionate reductions of developed and developing countries alike. </w:t>
      </w:r>
    </w:p>
    <w:p w14:paraId="4CAB59E6" w14:textId="77777777" w:rsidR="00F03A47" w:rsidRDefault="00F03A47" w:rsidP="00F03A47">
      <w:r w:rsidRPr="00934BC2">
        <w:t>Emissions</w:t>
      </w:r>
      <w:r>
        <w:t xml:space="preserve"> trajectories based on the country’s relative economic capacity generally lead to deeper reductions by 2030 than the IPCC range before reaching net zero all-gases between 2040 and 2050. </w:t>
      </w:r>
      <w:r w:rsidRPr="00934BC2">
        <w:t>Emissions</w:t>
      </w:r>
      <w:r>
        <w:t xml:space="preserve"> trajectories that account for historic responsibility follow a similar path towards net zero in the 2040s but continue to reduce emissions after net zero to address past contributions to climate change. </w:t>
      </w:r>
    </w:p>
    <w:p w14:paraId="64A4B6A7" w14:textId="77777777" w:rsidR="00F03A47" w:rsidRPr="00A42473" w:rsidDel="004360D0" w:rsidRDefault="00F03A47" w:rsidP="00F03A47">
      <w:r>
        <w:lastRenderedPageBreak/>
        <w:t>If the government applies any of these approaches to determine its contribution, it should be clear about the methods it uses to do so.</w:t>
      </w:r>
    </w:p>
    <w:p w14:paraId="1E001D4E" w14:textId="77777777" w:rsidR="00F03A47" w:rsidRPr="002C1C64" w:rsidRDefault="00F03A47" w:rsidP="00F03A47">
      <w:pPr>
        <w:pStyle w:val="Heading2"/>
      </w:pPr>
      <w:bookmarkStart w:id="336" w:name="_Toc62052789"/>
      <w:bookmarkStart w:id="337" w:name="_Toc62650348"/>
      <w:bookmarkStart w:id="338" w:name="_Hlk57909634"/>
      <w:r>
        <w:t>8.11 The f</w:t>
      </w:r>
      <w:r w:rsidRPr="002C1C64">
        <w:t>orm</w:t>
      </w:r>
      <w:r>
        <w:t xml:space="preserve"> </w:t>
      </w:r>
      <w:r w:rsidRPr="002C1C64">
        <w:t>of</w:t>
      </w:r>
      <w:r>
        <w:t xml:space="preserve"> </w:t>
      </w:r>
      <w:r w:rsidRPr="002C1C64">
        <w:t>the</w:t>
      </w:r>
      <w:r>
        <w:t xml:space="preserve"> </w:t>
      </w:r>
      <w:r w:rsidRPr="002C1C64">
        <w:t>NDC</w:t>
      </w:r>
      <w:bookmarkEnd w:id="336"/>
      <w:bookmarkEnd w:id="337"/>
    </w:p>
    <w:p w14:paraId="0570FDC0" w14:textId="77777777" w:rsidR="00F03A47" w:rsidRDefault="00F03A47" w:rsidP="00F03A47">
      <w:pPr>
        <w:pStyle w:val="Heading3"/>
      </w:pPr>
      <w:bookmarkStart w:id="339" w:name="_Toc62052790"/>
      <w:bookmarkStart w:id="340" w:name="_Toc62649408"/>
      <w:bookmarkStart w:id="341" w:name="_Toc62650349"/>
      <w:r>
        <w:t>8.11.1 All-gas or split-gas format</w:t>
      </w:r>
      <w:bookmarkEnd w:id="339"/>
      <w:bookmarkEnd w:id="340"/>
      <w:bookmarkEnd w:id="341"/>
      <w:r>
        <w:t xml:space="preserve"> </w:t>
      </w:r>
    </w:p>
    <w:p w14:paraId="5AC35C01" w14:textId="77777777" w:rsidR="00F03A47" w:rsidRDefault="00F03A47" w:rsidP="00F03A47">
      <w:r>
        <w:t>The Act sets Aotearoa a split-gas domestic target for 2050. This raises a question about whether the NDC should also be expressed in a split-gas format or continue to be expressed as an all-gases target. In considering this question, it is important to keep in mind that the NDC serves a different purpose to the domestic 2050 target and that</w:t>
      </w:r>
      <w:r w:rsidRPr="00934BC2">
        <w:t>,</w:t>
      </w:r>
      <w:r>
        <w:t xml:space="preserve"> in addition to domestic</w:t>
      </w:r>
      <w:r w:rsidRPr="00D701AC">
        <w:t xml:space="preserve"> </w:t>
      </w:r>
      <w:r>
        <w:t>emission reductions</w:t>
      </w:r>
      <w:r w:rsidRPr="00934BC2">
        <w:t>,</w:t>
      </w:r>
      <w:r>
        <w:t xml:space="preserve"> the NDC also includes an international contribution through funding offshore mitigation.</w:t>
      </w:r>
    </w:p>
    <w:p w14:paraId="13AD877B" w14:textId="77777777" w:rsidR="00F03A47" w:rsidRDefault="00F03A47" w:rsidP="00F03A47">
      <w:r>
        <w:t xml:space="preserve">There are a range of options for the form of the NDC, between a fully all-gas or fully split-gas format: </w:t>
      </w:r>
    </w:p>
    <w:p w14:paraId="0333297E" w14:textId="77777777" w:rsidR="00F03A47" w:rsidRPr="00943C63" w:rsidRDefault="00F03A47" w:rsidP="009B509E">
      <w:pPr>
        <w:pStyle w:val="ListParagraph"/>
        <w:numPr>
          <w:ilvl w:val="0"/>
          <w:numId w:val="85"/>
        </w:numPr>
        <w:spacing w:before="0" w:after="160"/>
        <w:ind w:left="714" w:hanging="357"/>
        <w:contextualSpacing w:val="0"/>
      </w:pPr>
      <w:r w:rsidRPr="00BF7607">
        <w:rPr>
          <w:b/>
          <w:bCs/>
        </w:rPr>
        <w:t>Fully all-gas:</w:t>
      </w:r>
      <w:r>
        <w:t xml:space="preserve"> m</w:t>
      </w:r>
      <w:r w:rsidRPr="00943C63">
        <w:t>aintain</w:t>
      </w:r>
      <w:r>
        <w:t xml:space="preserve"> </w:t>
      </w:r>
      <w:r w:rsidRPr="00943C63">
        <w:t>an</w:t>
      </w:r>
      <w:r>
        <w:t xml:space="preserve"> </w:t>
      </w:r>
      <w:r w:rsidRPr="00943C63">
        <w:t>all</w:t>
      </w:r>
      <w:r>
        <w:t>-</w:t>
      </w:r>
      <w:r w:rsidRPr="00943C63">
        <w:t>gas</w:t>
      </w:r>
      <w:r>
        <w:t xml:space="preserve"> </w:t>
      </w:r>
      <w:r w:rsidRPr="00943C63">
        <w:t>headline</w:t>
      </w:r>
      <w:r>
        <w:t xml:space="preserve"> </w:t>
      </w:r>
      <w:r w:rsidRPr="00943C63">
        <w:t>target,</w:t>
      </w:r>
      <w:r>
        <w:t xml:space="preserve"> </w:t>
      </w:r>
      <w:r w:rsidRPr="00943C63">
        <w:t>with</w:t>
      </w:r>
      <w:r>
        <w:t xml:space="preserve"> </w:t>
      </w:r>
      <w:r w:rsidRPr="00943C63">
        <w:t>no</w:t>
      </w:r>
      <w:r>
        <w:t xml:space="preserve"> </w:t>
      </w:r>
      <w:r w:rsidRPr="00943C63">
        <w:t>specific</w:t>
      </w:r>
      <w:r>
        <w:t xml:space="preserve"> </w:t>
      </w:r>
      <w:r w:rsidRPr="00943C63">
        <w:t>reference</w:t>
      </w:r>
      <w:r>
        <w:t xml:space="preserve"> </w:t>
      </w:r>
      <w:r w:rsidRPr="00943C63">
        <w:t>to</w:t>
      </w:r>
      <w:r>
        <w:t xml:space="preserve"> </w:t>
      </w:r>
      <w:r w:rsidRPr="00943C63">
        <w:t>the</w:t>
      </w:r>
      <w:r>
        <w:t xml:space="preserve"> </w:t>
      </w:r>
      <w:r w:rsidRPr="00943C63">
        <w:t>domestic</w:t>
      </w:r>
      <w:r>
        <w:t xml:space="preserve"> </w:t>
      </w:r>
      <w:r w:rsidRPr="00943C63">
        <w:t>split</w:t>
      </w:r>
      <w:r>
        <w:t xml:space="preserve"> </w:t>
      </w:r>
      <w:r w:rsidRPr="00943C63">
        <w:t>gas</w:t>
      </w:r>
      <w:r>
        <w:t xml:space="preserve"> </w:t>
      </w:r>
      <w:r w:rsidRPr="00943C63">
        <w:t>contribution</w:t>
      </w:r>
      <w:r>
        <w:t xml:space="preserve"> </w:t>
      </w:r>
      <w:r w:rsidRPr="00943C63">
        <w:t>either</w:t>
      </w:r>
      <w:r>
        <w:t xml:space="preserve"> </w:t>
      </w:r>
      <w:r w:rsidRPr="00943C63">
        <w:t>in</w:t>
      </w:r>
      <w:r>
        <w:t xml:space="preserve"> </w:t>
      </w:r>
      <w:r w:rsidRPr="00943C63">
        <w:t>the</w:t>
      </w:r>
      <w:r>
        <w:t xml:space="preserve"> </w:t>
      </w:r>
      <w:r w:rsidRPr="00943C63">
        <w:t>headline</w:t>
      </w:r>
      <w:r>
        <w:t xml:space="preserve"> </w:t>
      </w:r>
      <w:r w:rsidRPr="00943C63">
        <w:t>target</w:t>
      </w:r>
      <w:r>
        <w:t xml:space="preserve"> </w:t>
      </w:r>
      <w:r w:rsidRPr="00943C63">
        <w:t>or</w:t>
      </w:r>
      <w:r>
        <w:t xml:space="preserve"> </w:t>
      </w:r>
      <w:r w:rsidRPr="00943C63">
        <w:t>elsewhere</w:t>
      </w:r>
      <w:r>
        <w:t xml:space="preserve"> </w:t>
      </w:r>
      <w:r w:rsidRPr="00943C63">
        <w:t>in</w:t>
      </w:r>
      <w:r>
        <w:t xml:space="preserve"> </w:t>
      </w:r>
      <w:r w:rsidRPr="00943C63">
        <w:t>the</w:t>
      </w:r>
      <w:r>
        <w:t xml:space="preserve"> </w:t>
      </w:r>
      <w:r w:rsidRPr="00943C63">
        <w:t>NDC</w:t>
      </w:r>
      <w:r>
        <w:t xml:space="preserve"> </w:t>
      </w:r>
    </w:p>
    <w:p w14:paraId="5CCB75E7" w14:textId="622A0B5F" w:rsidR="00F03A47" w:rsidRPr="00943C63" w:rsidRDefault="00F03A47" w:rsidP="009B509E">
      <w:pPr>
        <w:pStyle w:val="ListParagraph"/>
        <w:numPr>
          <w:ilvl w:val="0"/>
          <w:numId w:val="85"/>
        </w:numPr>
        <w:spacing w:before="0" w:after="160"/>
        <w:ind w:left="714" w:hanging="357"/>
        <w:contextualSpacing w:val="0"/>
      </w:pPr>
      <w:r w:rsidRPr="00BF7607">
        <w:rPr>
          <w:b/>
          <w:bCs/>
        </w:rPr>
        <w:t xml:space="preserve">All-gas with acknowledgement of </w:t>
      </w:r>
      <w:r>
        <w:rPr>
          <w:b/>
          <w:bCs/>
        </w:rPr>
        <w:t xml:space="preserve">the </w:t>
      </w:r>
      <w:r w:rsidRPr="00BF7607">
        <w:rPr>
          <w:b/>
          <w:bCs/>
        </w:rPr>
        <w:t xml:space="preserve">split-gas domestic target: </w:t>
      </w:r>
      <w:r>
        <w:t>m</w:t>
      </w:r>
      <w:r w:rsidRPr="00943C63">
        <w:t>aintain</w:t>
      </w:r>
      <w:r>
        <w:t xml:space="preserve"> </w:t>
      </w:r>
      <w:r w:rsidRPr="00943C63">
        <w:t>an</w:t>
      </w:r>
      <w:r>
        <w:t xml:space="preserve"> </w:t>
      </w:r>
      <w:r w:rsidRPr="00943C63">
        <w:t>all</w:t>
      </w:r>
      <w:r>
        <w:t>-</w:t>
      </w:r>
      <w:r w:rsidRPr="00943C63">
        <w:t>gas</w:t>
      </w:r>
      <w:r>
        <w:t xml:space="preserve"> </w:t>
      </w:r>
      <w:r w:rsidRPr="00943C63">
        <w:t>headline</w:t>
      </w:r>
      <w:r>
        <w:t xml:space="preserve"> </w:t>
      </w:r>
      <w:r w:rsidRPr="00943C63">
        <w:t>target</w:t>
      </w:r>
      <w:r>
        <w:t xml:space="preserve"> </w:t>
      </w:r>
      <w:r w:rsidRPr="00943C63">
        <w:t>but</w:t>
      </w:r>
      <w:r>
        <w:t xml:space="preserve"> </w:t>
      </w:r>
      <w:r w:rsidRPr="00943C63">
        <w:t>mention</w:t>
      </w:r>
      <w:r>
        <w:t xml:space="preserve"> </w:t>
      </w:r>
      <w:r w:rsidRPr="00943C63">
        <w:t>the</w:t>
      </w:r>
      <w:r>
        <w:t xml:space="preserve"> </w:t>
      </w:r>
      <w:r w:rsidRPr="00943C63">
        <w:t>domestic</w:t>
      </w:r>
      <w:r>
        <w:t xml:space="preserve"> </w:t>
      </w:r>
      <w:r w:rsidRPr="00943C63">
        <w:t>split</w:t>
      </w:r>
      <w:r>
        <w:t xml:space="preserve"> </w:t>
      </w:r>
      <w:r w:rsidRPr="00943C63">
        <w:t>gas</w:t>
      </w:r>
      <w:r>
        <w:t xml:space="preserve"> </w:t>
      </w:r>
      <w:r w:rsidRPr="00943C63">
        <w:t>contribution</w:t>
      </w:r>
      <w:r>
        <w:t xml:space="preserve"> </w:t>
      </w:r>
      <w:r w:rsidRPr="00943C63">
        <w:t>elsewhere</w:t>
      </w:r>
      <w:r>
        <w:t xml:space="preserve"> </w:t>
      </w:r>
      <w:r w:rsidRPr="00943C63">
        <w:t>in</w:t>
      </w:r>
      <w:r>
        <w:t xml:space="preserve"> </w:t>
      </w:r>
      <w:r w:rsidRPr="00943C63">
        <w:t>the</w:t>
      </w:r>
      <w:r>
        <w:t xml:space="preserve"> </w:t>
      </w:r>
      <w:r w:rsidRPr="00943C63">
        <w:t>NDC.</w:t>
      </w:r>
      <w:r>
        <w:t xml:space="preserve"> </w:t>
      </w:r>
      <w:r w:rsidRPr="00943C63">
        <w:t>This</w:t>
      </w:r>
      <w:r>
        <w:t xml:space="preserve"> </w:t>
      </w:r>
      <w:r w:rsidRPr="00943C63">
        <w:t>could</w:t>
      </w:r>
      <w:r>
        <w:t xml:space="preserve"> involve </w:t>
      </w:r>
      <w:r w:rsidRPr="00943C63">
        <w:t>either</w:t>
      </w:r>
      <w:r>
        <w:t xml:space="preserve"> </w:t>
      </w:r>
      <w:r w:rsidRPr="00943C63">
        <w:t>a</w:t>
      </w:r>
      <w:r>
        <w:t xml:space="preserve"> </w:t>
      </w:r>
      <w:r w:rsidRPr="00943C63">
        <w:t>general</w:t>
      </w:r>
      <w:r>
        <w:t xml:space="preserve"> reference in </w:t>
      </w:r>
      <w:r w:rsidRPr="00934BC2">
        <w:t xml:space="preserve">the </w:t>
      </w:r>
      <w:r>
        <w:t xml:space="preserve">NDC’s supporting information </w:t>
      </w:r>
      <w:r w:rsidRPr="00943C63">
        <w:t>or</w:t>
      </w:r>
      <w:r w:rsidDel="002E355C">
        <w:t xml:space="preserve"> </w:t>
      </w:r>
      <w:r w:rsidRPr="00943C63" w:rsidDel="002E355C">
        <w:t>specifying</w:t>
      </w:r>
      <w:r w:rsidDel="002E355C">
        <w:t xml:space="preserve"> </w:t>
      </w:r>
      <w:r w:rsidRPr="00943C63">
        <w:t>in</w:t>
      </w:r>
      <w:r>
        <w:t xml:space="preserve"> </w:t>
      </w:r>
      <w:r w:rsidRPr="00943C63">
        <w:t>detail</w:t>
      </w:r>
      <w:r>
        <w:t xml:space="preserve"> </w:t>
      </w:r>
      <w:r w:rsidRPr="00943C63">
        <w:t>the</w:t>
      </w:r>
      <w:r>
        <w:t xml:space="preserve"> </w:t>
      </w:r>
      <w:r w:rsidRPr="00943C63">
        <w:t>2030</w:t>
      </w:r>
      <w:r>
        <w:t xml:space="preserve"> </w:t>
      </w:r>
      <w:r w:rsidRPr="00943C63">
        <w:t>methane</w:t>
      </w:r>
      <w:r>
        <w:t xml:space="preserve"> </w:t>
      </w:r>
      <w:r w:rsidRPr="00943C63">
        <w:t>sub-target</w:t>
      </w:r>
      <w:r>
        <w:t xml:space="preserve"> </w:t>
      </w:r>
      <w:r w:rsidRPr="00943C63">
        <w:t>and</w:t>
      </w:r>
      <w:r>
        <w:t xml:space="preserve"> </w:t>
      </w:r>
      <w:r w:rsidRPr="00943C63">
        <w:t>gas-by-gas</w:t>
      </w:r>
      <w:r>
        <w:t xml:space="preserve"> </w:t>
      </w:r>
      <w:r w:rsidRPr="00943C63">
        <w:t>breakdown</w:t>
      </w:r>
      <w:r>
        <w:t xml:space="preserve"> </w:t>
      </w:r>
      <w:r w:rsidRPr="00943C63">
        <w:t>of</w:t>
      </w:r>
      <w:r>
        <w:t xml:space="preserve"> </w:t>
      </w:r>
      <w:r w:rsidRPr="00943C63">
        <w:t>emissions</w:t>
      </w:r>
      <w:r>
        <w:t xml:space="preserve"> </w:t>
      </w:r>
      <w:r w:rsidRPr="00943C63">
        <w:t>budgets</w:t>
      </w:r>
      <w:r>
        <w:t xml:space="preserve"> </w:t>
      </w:r>
      <w:r w:rsidRPr="00943C63">
        <w:t>one</w:t>
      </w:r>
      <w:r>
        <w:t xml:space="preserve"> </w:t>
      </w:r>
      <w:r w:rsidRPr="00943C63">
        <w:t>and</w:t>
      </w:r>
      <w:r>
        <w:t xml:space="preserve"> </w:t>
      </w:r>
      <w:r w:rsidRPr="00943C63">
        <w:t>two.</w:t>
      </w:r>
      <w:r>
        <w:t xml:space="preserve">  </w:t>
      </w:r>
    </w:p>
    <w:p w14:paraId="0477026E" w14:textId="0C915B3A" w:rsidR="00F03A47" w:rsidRPr="00943C63" w:rsidRDefault="00F03A47" w:rsidP="009B509E">
      <w:pPr>
        <w:pStyle w:val="ListParagraph"/>
        <w:numPr>
          <w:ilvl w:val="0"/>
          <w:numId w:val="85"/>
        </w:numPr>
        <w:spacing w:before="0" w:after="160"/>
        <w:ind w:left="714" w:hanging="357"/>
        <w:contextualSpacing w:val="0"/>
      </w:pPr>
      <w:r w:rsidRPr="00BF7607">
        <w:rPr>
          <w:b/>
          <w:bCs/>
        </w:rPr>
        <w:t xml:space="preserve">All-gas with </w:t>
      </w:r>
      <w:r>
        <w:rPr>
          <w:b/>
          <w:bCs/>
        </w:rPr>
        <w:t xml:space="preserve">the </w:t>
      </w:r>
      <w:r w:rsidRPr="00BF7607">
        <w:rPr>
          <w:b/>
          <w:bCs/>
        </w:rPr>
        <w:t xml:space="preserve">split-gas domestic target incorporated into the headline </w:t>
      </w:r>
      <w:r>
        <w:rPr>
          <w:b/>
          <w:bCs/>
        </w:rPr>
        <w:t>target</w:t>
      </w:r>
      <w:r w:rsidRPr="00BF7607">
        <w:rPr>
          <w:b/>
          <w:bCs/>
        </w:rPr>
        <w:t xml:space="preserve">: </w:t>
      </w:r>
      <w:r>
        <w:t xml:space="preserve">the split-gas domestic target would be brought up into the headline target statement, with the NDC also expressed in all-gas terms overall. The </w:t>
      </w:r>
      <w:r w:rsidRPr="00943C63">
        <w:t>international</w:t>
      </w:r>
      <w:r>
        <w:t xml:space="preserve"> </w:t>
      </w:r>
      <w:r w:rsidRPr="00943C63">
        <w:t>contribution</w:t>
      </w:r>
      <w:r>
        <w:t xml:space="preserve"> would </w:t>
      </w:r>
      <w:r w:rsidRPr="00943C63">
        <w:t>remain</w:t>
      </w:r>
      <w:r>
        <w:t xml:space="preserve"> </w:t>
      </w:r>
      <w:r w:rsidRPr="00943C63">
        <w:t>all</w:t>
      </w:r>
      <w:r>
        <w:t>-</w:t>
      </w:r>
      <w:r w:rsidRPr="00943C63">
        <w:t>gas</w:t>
      </w:r>
      <w:r w:rsidRPr="00943C63" w:rsidDel="0084482F">
        <w:t>.</w:t>
      </w:r>
      <w:r w:rsidDel="0084482F">
        <w:t xml:space="preserve"> </w:t>
      </w:r>
      <w:r>
        <w:t>This could be worded in a similar way to the following:</w:t>
      </w:r>
      <w:r w:rsidRPr="00EF2B24">
        <w:t xml:space="preserve"> </w:t>
      </w:r>
      <w:r w:rsidRPr="008026D9">
        <w:rPr>
          <w:i/>
        </w:rPr>
        <w:t>“</w:t>
      </w:r>
      <w:r w:rsidRPr="00934BC2">
        <w:rPr>
          <w:i/>
        </w:rPr>
        <w:t>Aotearoa</w:t>
      </w:r>
      <w:r w:rsidRPr="008026D9">
        <w:rPr>
          <w:i/>
        </w:rPr>
        <w:t xml:space="preserve"> commits to reduce domestic biogenic methane emissions to</w:t>
      </w:r>
      <w:r>
        <w:rPr>
          <w:i/>
        </w:rPr>
        <w:t xml:space="preserve"> </w:t>
      </w:r>
      <w:r w:rsidRPr="008026D9">
        <w:rPr>
          <w:i/>
        </w:rPr>
        <w:t>10% below 2017 levels by 2030, reduce domestic emissions of other gases by 42% on 2005 levels by 2030 and cooperate on international mitigation outcomes to reduce emissions overall to 30% below 2005 levels by 2030”.</w:t>
      </w:r>
      <w:r>
        <w:t xml:space="preserve"> </w:t>
      </w:r>
    </w:p>
    <w:p w14:paraId="64A4E277" w14:textId="77777777" w:rsidR="00F03A47" w:rsidRPr="00943C63" w:rsidRDefault="00F03A47" w:rsidP="009B509E">
      <w:pPr>
        <w:pStyle w:val="ListParagraph"/>
        <w:numPr>
          <w:ilvl w:val="0"/>
          <w:numId w:val="85"/>
        </w:numPr>
        <w:spacing w:before="0" w:after="160"/>
        <w:ind w:left="714" w:hanging="357"/>
        <w:contextualSpacing w:val="0"/>
      </w:pPr>
      <w:r w:rsidRPr="00BF7607">
        <w:rPr>
          <w:b/>
          <w:bCs/>
        </w:rPr>
        <w:t>Fully split-gas:</w:t>
      </w:r>
      <w:r>
        <w:t xml:space="preserve"> </w:t>
      </w:r>
      <w:r w:rsidRPr="00943C63">
        <w:t>An</w:t>
      </w:r>
      <w:r>
        <w:t xml:space="preserve"> </w:t>
      </w:r>
      <w:r w:rsidRPr="00943C63">
        <w:t>overall</w:t>
      </w:r>
      <w:r>
        <w:t xml:space="preserve"> </w:t>
      </w:r>
      <w:r w:rsidRPr="00943C63">
        <w:t>split</w:t>
      </w:r>
      <w:r>
        <w:t>-</w:t>
      </w:r>
      <w:r w:rsidRPr="00943C63">
        <w:t>gas</w:t>
      </w:r>
      <w:r>
        <w:t xml:space="preserve"> </w:t>
      </w:r>
      <w:r w:rsidRPr="00943C63">
        <w:t>headline</w:t>
      </w:r>
      <w:r>
        <w:t xml:space="preserve"> </w:t>
      </w:r>
      <w:r w:rsidRPr="00943C63">
        <w:t>target,</w:t>
      </w:r>
      <w:r>
        <w:t xml:space="preserve"> </w:t>
      </w:r>
      <w:r w:rsidRPr="00943C63">
        <w:t>applying</w:t>
      </w:r>
      <w:r>
        <w:t xml:space="preserve"> </w:t>
      </w:r>
      <w:r w:rsidRPr="00943C63">
        <w:t>to</w:t>
      </w:r>
      <w:r>
        <w:t xml:space="preserve"> </w:t>
      </w:r>
      <w:r w:rsidRPr="00943C63">
        <w:t>both</w:t>
      </w:r>
      <w:r>
        <w:t xml:space="preserve"> </w:t>
      </w:r>
      <w:r w:rsidRPr="00943C63">
        <w:t>the</w:t>
      </w:r>
      <w:r>
        <w:t xml:space="preserve"> </w:t>
      </w:r>
      <w:r w:rsidRPr="00943C63">
        <w:t>domestic</w:t>
      </w:r>
      <w:r>
        <w:t xml:space="preserve"> </w:t>
      </w:r>
      <w:r w:rsidRPr="00943C63">
        <w:t>and</w:t>
      </w:r>
      <w:r>
        <w:t xml:space="preserve"> </w:t>
      </w:r>
      <w:r w:rsidRPr="00943C63">
        <w:t>international</w:t>
      </w:r>
      <w:r>
        <w:t xml:space="preserve"> </w:t>
      </w:r>
      <w:r w:rsidRPr="00943C63">
        <w:t>contributions</w:t>
      </w:r>
      <w:r>
        <w:t xml:space="preserve"> </w:t>
      </w:r>
      <w:r w:rsidRPr="00943C63">
        <w:t>by</w:t>
      </w:r>
      <w:r>
        <w:t xml:space="preserve"> </w:t>
      </w:r>
      <w:r w:rsidRPr="00943C63">
        <w:t>Aotearoa</w:t>
      </w:r>
      <w:r>
        <w:t xml:space="preserve"> </w:t>
      </w:r>
      <w:r w:rsidRPr="00943C63">
        <w:t>e.g.</w:t>
      </w:r>
      <w:r>
        <w:t xml:space="preserve"> </w:t>
      </w:r>
      <w:r w:rsidRPr="008026D9">
        <w:rPr>
          <w:i/>
        </w:rPr>
        <w:t>“</w:t>
      </w:r>
      <w:r w:rsidRPr="00934BC2">
        <w:rPr>
          <w:i/>
        </w:rPr>
        <w:t>Aotearoa</w:t>
      </w:r>
      <w:r w:rsidRPr="008026D9">
        <w:rPr>
          <w:i/>
        </w:rPr>
        <w:t xml:space="preserve"> commits to reduce biogenic emissions biogenic methane to 10% below 2017 levels by 2030 and all other gases to 42% below 2005 levels by 2030”</w:t>
      </w:r>
      <w:r>
        <w:rPr>
          <w:i/>
        </w:rPr>
        <w:t>.</w:t>
      </w:r>
      <w:r>
        <w:t xml:space="preserve"> </w:t>
      </w:r>
    </w:p>
    <w:p w14:paraId="2490EB63" w14:textId="77777777" w:rsidR="00F03A47" w:rsidRPr="00943C63" w:rsidRDefault="00F03A47" w:rsidP="00F03A47">
      <w:pPr>
        <w:pStyle w:val="Heading3"/>
      </w:pPr>
      <w:bookmarkStart w:id="342" w:name="_Toc62052791"/>
      <w:bookmarkStart w:id="343" w:name="_Toc62649409"/>
      <w:bookmarkStart w:id="344" w:name="_Toc62650350"/>
      <w:r>
        <w:t>8.11.2 Effect of moving to a split-gas NDC</w:t>
      </w:r>
      <w:bookmarkEnd w:id="342"/>
      <w:bookmarkEnd w:id="343"/>
      <w:bookmarkEnd w:id="344"/>
      <w:r>
        <w:t xml:space="preserve"> </w:t>
      </w:r>
    </w:p>
    <w:p w14:paraId="66A30DFA" w14:textId="192D5C8B" w:rsidR="00F03A47" w:rsidRDefault="00F03A47" w:rsidP="00F03A47">
      <w:r>
        <w:t xml:space="preserve">To answer the question about the appropriate form for the NDC, we need to think about what Aotearoa might want to achieve with the way the NDC is presented. Unlike the domestic 2050 target, the NDC is adopted under an international agreement, so it plays an important role in communicating Aotearoa’s level of effort to the rest of the world.  </w:t>
      </w:r>
    </w:p>
    <w:p w14:paraId="185C27EF" w14:textId="77777777" w:rsidR="00F03A47" w:rsidRPr="00943C63" w:rsidRDefault="00F03A47" w:rsidP="00F03A47">
      <w:pPr>
        <w:keepNext/>
      </w:pPr>
      <w:r>
        <w:t>Possible objectives in choosing between an all gases or a split-gas form of NDC could include:</w:t>
      </w:r>
    </w:p>
    <w:p w14:paraId="2274B5D2" w14:textId="6BB4846B" w:rsidR="00F03A47" w:rsidRDefault="00F03A47" w:rsidP="009B509E">
      <w:pPr>
        <w:pStyle w:val="ListParagraph"/>
        <w:numPr>
          <w:ilvl w:val="0"/>
          <w:numId w:val="79"/>
        </w:numPr>
        <w:spacing w:before="0" w:after="160"/>
      </w:pPr>
      <w:r>
        <w:t xml:space="preserve">Ensuring </w:t>
      </w:r>
      <w:r w:rsidR="00E23025">
        <w:t>the</w:t>
      </w:r>
      <w:r>
        <w:t xml:space="preserve"> NDC is delivered in line with 1.5°C pathways, in terms of both international and domestic contributions, including the contribution of biogenic methane emission reductions</w:t>
      </w:r>
    </w:p>
    <w:p w14:paraId="72700364" w14:textId="77777777" w:rsidR="00F03A47" w:rsidRPr="00943C63" w:rsidRDefault="00F03A47" w:rsidP="009B509E">
      <w:pPr>
        <w:pStyle w:val="ListParagraph"/>
        <w:numPr>
          <w:ilvl w:val="0"/>
          <w:numId w:val="79"/>
        </w:numPr>
        <w:spacing w:before="0" w:after="160"/>
        <w:ind w:left="714" w:hanging="357"/>
        <w:contextualSpacing w:val="0"/>
      </w:pPr>
      <w:r>
        <w:t>I</w:t>
      </w:r>
      <w:r w:rsidRPr="00943C63">
        <w:t>nfluenc</w:t>
      </w:r>
      <w:r>
        <w:t xml:space="preserve">ing </w:t>
      </w:r>
      <w:r w:rsidRPr="00943C63">
        <w:t>the</w:t>
      </w:r>
      <w:r>
        <w:t xml:space="preserve"> </w:t>
      </w:r>
      <w:r w:rsidRPr="00943C63">
        <w:t>international</w:t>
      </w:r>
      <w:r>
        <w:t xml:space="preserve"> </w:t>
      </w:r>
      <w:r w:rsidRPr="00943C63">
        <w:t>community’s</w:t>
      </w:r>
      <w:r>
        <w:t xml:space="preserve"> </w:t>
      </w:r>
      <w:r w:rsidRPr="00943C63">
        <w:t>expectations</w:t>
      </w:r>
      <w:r>
        <w:t xml:space="preserve"> in order </w:t>
      </w:r>
      <w:r w:rsidRPr="00943C63">
        <w:t>to</w:t>
      </w:r>
      <w:r>
        <w:t xml:space="preserve"> </w:t>
      </w:r>
      <w:r w:rsidRPr="00943C63">
        <w:t>gain</w:t>
      </w:r>
      <w:r>
        <w:t xml:space="preserve"> </w:t>
      </w:r>
      <w:r w:rsidRPr="00943C63">
        <w:t>more</w:t>
      </w:r>
      <w:r>
        <w:t xml:space="preserve"> </w:t>
      </w:r>
      <w:r w:rsidRPr="00943C63">
        <w:t>legitimacy</w:t>
      </w:r>
      <w:r>
        <w:t xml:space="preserve"> </w:t>
      </w:r>
      <w:r w:rsidRPr="00943C63">
        <w:t>for</w:t>
      </w:r>
      <w:r>
        <w:t xml:space="preserve"> </w:t>
      </w:r>
      <w:r w:rsidRPr="00943C63">
        <w:t>split-gas</w:t>
      </w:r>
      <w:r>
        <w:t xml:space="preserve"> </w:t>
      </w:r>
      <w:r w:rsidRPr="00943C63">
        <w:t>targets</w:t>
      </w:r>
      <w:r>
        <w:t xml:space="preserve"> </w:t>
      </w:r>
      <w:r w:rsidRPr="00943C63">
        <w:t>that</w:t>
      </w:r>
      <w:r>
        <w:t xml:space="preserve"> </w:t>
      </w:r>
      <w:r w:rsidRPr="00943C63">
        <w:t>recognise</w:t>
      </w:r>
      <w:r>
        <w:t xml:space="preserve"> </w:t>
      </w:r>
      <w:r w:rsidRPr="00943C63">
        <w:t>the</w:t>
      </w:r>
      <w:r>
        <w:t xml:space="preserve"> </w:t>
      </w:r>
      <w:r w:rsidRPr="00943C63">
        <w:t>different</w:t>
      </w:r>
      <w:r>
        <w:t xml:space="preserve"> </w:t>
      </w:r>
      <w:r w:rsidRPr="00943C63">
        <w:t>warming</w:t>
      </w:r>
      <w:r>
        <w:t xml:space="preserve"> </w:t>
      </w:r>
      <w:r w:rsidRPr="00943C63">
        <w:t>impacts</w:t>
      </w:r>
      <w:r>
        <w:t xml:space="preserve"> </w:t>
      </w:r>
      <w:r w:rsidRPr="00943C63">
        <w:t>of</w:t>
      </w:r>
      <w:r>
        <w:t xml:space="preserve"> </w:t>
      </w:r>
      <w:r w:rsidRPr="00943C63">
        <w:t>biogenic</w:t>
      </w:r>
      <w:r>
        <w:t xml:space="preserve"> </w:t>
      </w:r>
      <w:r w:rsidRPr="00943C63">
        <w:t>methane</w:t>
      </w:r>
      <w:r>
        <w:t xml:space="preserve"> </w:t>
      </w:r>
    </w:p>
    <w:p w14:paraId="4E3F05D1" w14:textId="77777777" w:rsidR="00F03A47" w:rsidRPr="00943C63" w:rsidRDefault="00F03A47" w:rsidP="009B509E">
      <w:pPr>
        <w:pStyle w:val="ListParagraph"/>
        <w:numPr>
          <w:ilvl w:val="0"/>
          <w:numId w:val="79"/>
        </w:numPr>
        <w:spacing w:before="0" w:after="160"/>
        <w:ind w:left="714" w:hanging="357"/>
        <w:contextualSpacing w:val="0"/>
      </w:pPr>
      <w:r w:rsidRPr="00943C63">
        <w:t>Meet</w:t>
      </w:r>
      <w:r>
        <w:t xml:space="preserve">ing </w:t>
      </w:r>
      <w:r w:rsidRPr="00943C63">
        <w:t>current</w:t>
      </w:r>
      <w:r>
        <w:t xml:space="preserve"> </w:t>
      </w:r>
      <w:r w:rsidRPr="00943C63">
        <w:t>international</w:t>
      </w:r>
      <w:r>
        <w:t xml:space="preserve"> </w:t>
      </w:r>
      <w:r w:rsidRPr="00943C63">
        <w:t>expectations</w:t>
      </w:r>
      <w:r>
        <w:t xml:space="preserve"> </w:t>
      </w:r>
      <w:r w:rsidRPr="00943C63">
        <w:t>about</w:t>
      </w:r>
      <w:r>
        <w:t xml:space="preserve"> the </w:t>
      </w:r>
      <w:r w:rsidRPr="00943C63">
        <w:t>nature</w:t>
      </w:r>
      <w:r>
        <w:t xml:space="preserve"> </w:t>
      </w:r>
      <w:r w:rsidRPr="00943C63">
        <w:t>of</w:t>
      </w:r>
      <w:r>
        <w:t xml:space="preserve"> </w:t>
      </w:r>
      <w:r w:rsidRPr="00943C63">
        <w:t>developed</w:t>
      </w:r>
      <w:r>
        <w:t xml:space="preserve"> </w:t>
      </w:r>
      <w:r w:rsidRPr="00943C63">
        <w:t>country</w:t>
      </w:r>
      <w:r>
        <w:t xml:space="preserve"> </w:t>
      </w:r>
      <w:r w:rsidRPr="00943C63">
        <w:t>NDCs</w:t>
      </w:r>
      <w:r>
        <w:t xml:space="preserve">. </w:t>
      </w:r>
    </w:p>
    <w:p w14:paraId="62CF11BE" w14:textId="0C52B1CD" w:rsidR="00F03A47" w:rsidRDefault="00F03A47" w:rsidP="00F03A47">
      <w:r>
        <w:lastRenderedPageBreak/>
        <w:t xml:space="preserve">Possible </w:t>
      </w:r>
      <w:r w:rsidRPr="00943C63">
        <w:t>objective</w:t>
      </w:r>
      <w:r>
        <w:t xml:space="preserve"> (a) </w:t>
      </w:r>
      <w:r w:rsidRPr="00943C63">
        <w:t>most</w:t>
      </w:r>
      <w:r>
        <w:t xml:space="preserve"> </w:t>
      </w:r>
      <w:r w:rsidRPr="00943C63">
        <w:t>directly</w:t>
      </w:r>
      <w:r>
        <w:t xml:space="preserve"> </w:t>
      </w:r>
      <w:r w:rsidRPr="00943C63">
        <w:t>relate</w:t>
      </w:r>
      <w:r>
        <w:t xml:space="preserve">s </w:t>
      </w:r>
      <w:r w:rsidRPr="00943C63">
        <w:t>to</w:t>
      </w:r>
      <w:r>
        <w:t xml:space="preserve"> </w:t>
      </w:r>
      <w:r w:rsidRPr="00943C63">
        <w:t>the</w:t>
      </w:r>
      <w:r>
        <w:t xml:space="preserve"> </w:t>
      </w:r>
      <w:r w:rsidRPr="00943C63">
        <w:t>Commission’s</w:t>
      </w:r>
      <w:r>
        <w:t xml:space="preserve"> </w:t>
      </w:r>
      <w:r w:rsidRPr="00943C63">
        <w:t>task</w:t>
      </w:r>
      <w:r>
        <w:t>, advising on the NDC’s compatibility with the 1.5</w:t>
      </w:r>
      <w:r>
        <w:rPr>
          <w:rFonts w:cstheme="minorHAnsi"/>
        </w:rPr>
        <w:t>°</w:t>
      </w:r>
      <w:r>
        <w:t>C goal</w:t>
      </w:r>
      <w:r w:rsidRPr="00943C63">
        <w:t>.</w:t>
      </w:r>
      <w:r>
        <w:t xml:space="preserve"> </w:t>
      </w:r>
      <w:r w:rsidRPr="001747B5">
        <w:t xml:space="preserve">Any form of </w:t>
      </w:r>
      <w:r w:rsidR="007415E3">
        <w:t>the</w:t>
      </w:r>
      <w:r w:rsidRPr="001747B5">
        <w:t xml:space="preserve"> NDC can be made compatible with a 1.5</w:t>
      </w:r>
      <w:r>
        <w:rPr>
          <w:rFonts w:cstheme="minorHAnsi"/>
        </w:rPr>
        <w:t>°</w:t>
      </w:r>
      <w:r>
        <w:t>C</w:t>
      </w:r>
      <w:r w:rsidRPr="001747B5">
        <w:t xml:space="preserve"> trajectory – it is the level and timing of emission reductions that is most relevant to compatibility rather than the form of the target. </w:t>
      </w:r>
      <w:r>
        <w:t xml:space="preserve">It </w:t>
      </w:r>
      <w:r w:rsidRPr="00943C63">
        <w:t>is</w:t>
      </w:r>
      <w:r>
        <w:t xml:space="preserve"> </w:t>
      </w:r>
      <w:r w:rsidRPr="00943C63">
        <w:t>not</w:t>
      </w:r>
      <w:r>
        <w:t xml:space="preserve"> </w:t>
      </w:r>
      <w:r w:rsidRPr="00943C63">
        <w:t>necessary</w:t>
      </w:r>
      <w:r>
        <w:t xml:space="preserve"> </w:t>
      </w:r>
      <w:r w:rsidRPr="00943C63">
        <w:t>for</w:t>
      </w:r>
      <w:r>
        <w:t xml:space="preserve"> </w:t>
      </w:r>
      <w:r w:rsidRPr="00943C63">
        <w:t>the</w:t>
      </w:r>
      <w:r>
        <w:t xml:space="preserve"> </w:t>
      </w:r>
      <w:r w:rsidRPr="00943C63">
        <w:t>NDC</w:t>
      </w:r>
      <w:r>
        <w:t xml:space="preserve"> </w:t>
      </w:r>
      <w:r w:rsidRPr="00943C63">
        <w:t>to</w:t>
      </w:r>
      <w:r>
        <w:t xml:space="preserve"> </w:t>
      </w:r>
      <w:r w:rsidRPr="00943C63">
        <w:t>be</w:t>
      </w:r>
      <w:r>
        <w:t xml:space="preserve"> </w:t>
      </w:r>
      <w:r w:rsidRPr="00943C63">
        <w:t>expressed</w:t>
      </w:r>
      <w:r>
        <w:t xml:space="preserve"> </w:t>
      </w:r>
      <w:r w:rsidRPr="00943C63">
        <w:t>in</w:t>
      </w:r>
      <w:r>
        <w:t xml:space="preserve"> </w:t>
      </w:r>
      <w:r w:rsidRPr="00943C63">
        <w:t>a</w:t>
      </w:r>
      <w:r>
        <w:t xml:space="preserve"> </w:t>
      </w:r>
      <w:r w:rsidRPr="00943C63">
        <w:t>split-gas</w:t>
      </w:r>
      <w:r>
        <w:t xml:space="preserve"> </w:t>
      </w:r>
      <w:r w:rsidRPr="00943C63">
        <w:t>format</w:t>
      </w:r>
      <w:r>
        <w:t xml:space="preserve"> to be </w:t>
      </w:r>
      <w:r w:rsidRPr="00943C63">
        <w:t>compatible</w:t>
      </w:r>
      <w:r>
        <w:t xml:space="preserve"> </w:t>
      </w:r>
      <w:r w:rsidRPr="00943C63">
        <w:t>with</w:t>
      </w:r>
      <w:r>
        <w:t xml:space="preserve"> limiting global warming </w:t>
      </w:r>
      <w:r w:rsidRPr="00943C63">
        <w:t>to</w:t>
      </w:r>
      <w:r>
        <w:t xml:space="preserve"> </w:t>
      </w:r>
      <w:r w:rsidRPr="00943C63">
        <w:t>1.</w:t>
      </w:r>
      <w:r>
        <w:t>5</w:t>
      </w:r>
      <w:r w:rsidRPr="00594DAB">
        <w:t>°</w:t>
      </w:r>
      <w:r>
        <w:t>C</w:t>
      </w:r>
      <w:r w:rsidRPr="00943C63">
        <w:t>.</w:t>
      </w:r>
      <w:r>
        <w:t xml:space="preserve"> Moreover, the contribution of domestic emission reductions to meeting the NDC, including the amount of domestic biogenic methane reductions, is not set by the form of the NDC. Rather, it is determined by the domestic 2030 and 2050 emission reduction targets and emissions budgets set under domestic legislation.</w:t>
      </w:r>
    </w:p>
    <w:p w14:paraId="3CE898AA" w14:textId="77777777" w:rsidR="00F03A47" w:rsidRDefault="00F03A47" w:rsidP="00F03A47">
      <w:r w:rsidRPr="00943C63">
        <w:t>The</w:t>
      </w:r>
      <w:r>
        <w:t xml:space="preserve"> </w:t>
      </w:r>
      <w:r w:rsidRPr="00943C63">
        <w:t>other</w:t>
      </w:r>
      <w:r>
        <w:t xml:space="preserve"> two possible </w:t>
      </w:r>
      <w:r w:rsidRPr="00943C63">
        <w:t>objectives</w:t>
      </w:r>
      <w:r>
        <w:t xml:space="preserve"> </w:t>
      </w:r>
      <w:r w:rsidRPr="00943C63">
        <w:t>bring</w:t>
      </w:r>
      <w:r>
        <w:t xml:space="preserve"> </w:t>
      </w:r>
      <w:r w:rsidRPr="00943C63">
        <w:t>in</w:t>
      </w:r>
      <w:r>
        <w:t xml:space="preserve"> </w:t>
      </w:r>
      <w:r w:rsidRPr="00943C63">
        <w:t>wider</w:t>
      </w:r>
      <w:r>
        <w:t xml:space="preserve"> </w:t>
      </w:r>
      <w:r w:rsidRPr="00943C63">
        <w:t>issues</w:t>
      </w:r>
      <w:r>
        <w:t xml:space="preserve"> </w:t>
      </w:r>
      <w:r w:rsidRPr="00943C63">
        <w:t>related</w:t>
      </w:r>
      <w:r>
        <w:t xml:space="preserve"> </w:t>
      </w:r>
      <w:r w:rsidRPr="00943C63">
        <w:t>to</w:t>
      </w:r>
      <w:r>
        <w:t xml:space="preserve"> </w:t>
      </w:r>
      <w:r w:rsidRPr="00943C63">
        <w:t>foreign</w:t>
      </w:r>
      <w:r>
        <w:t xml:space="preserve"> </w:t>
      </w:r>
      <w:r w:rsidRPr="00943C63">
        <w:t>policy</w:t>
      </w:r>
      <w:r>
        <w:t xml:space="preserve"> </w:t>
      </w:r>
      <w:r w:rsidRPr="00943C63">
        <w:t>and</w:t>
      </w:r>
      <w:r>
        <w:t xml:space="preserve"> </w:t>
      </w:r>
      <w:r w:rsidRPr="00943C63">
        <w:t>the</w:t>
      </w:r>
      <w:r>
        <w:t xml:space="preserve"> </w:t>
      </w:r>
      <w:r w:rsidRPr="00943C63">
        <w:t>effectiveness</w:t>
      </w:r>
      <w:r>
        <w:t xml:space="preserve"> </w:t>
      </w:r>
      <w:r w:rsidRPr="00943C63">
        <w:t>of</w:t>
      </w:r>
      <w:r>
        <w:t xml:space="preserve"> </w:t>
      </w:r>
      <w:r w:rsidRPr="00943C63">
        <w:t>the</w:t>
      </w:r>
      <w:r>
        <w:t xml:space="preserve"> </w:t>
      </w:r>
      <w:r w:rsidRPr="00943C63">
        <w:t>Paris</w:t>
      </w:r>
      <w:r>
        <w:t xml:space="preserve"> </w:t>
      </w:r>
      <w:r w:rsidRPr="00943C63">
        <w:t>Agreement</w:t>
      </w:r>
      <w:r>
        <w:t>.</w:t>
      </w:r>
    </w:p>
    <w:p w14:paraId="42358826" w14:textId="77777777" w:rsidR="00F03A47" w:rsidRDefault="00F03A47" w:rsidP="00F03A47">
      <w:r>
        <w:t xml:space="preserve">Expressing the </w:t>
      </w:r>
      <w:r w:rsidRPr="00943C63">
        <w:t>NDC</w:t>
      </w:r>
      <w:r>
        <w:t xml:space="preserve"> in a split-gas format could </w:t>
      </w:r>
      <w:r w:rsidRPr="00911F87">
        <w:t xml:space="preserve">have the benefit of highlighting </w:t>
      </w:r>
      <w:r>
        <w:t xml:space="preserve">to other countries </w:t>
      </w:r>
      <w:r w:rsidRPr="00911F87">
        <w:t>the possibility of splitting biogenic methane from other gases, in recognition of its different warming impacts. </w:t>
      </w:r>
      <w:r>
        <w:t xml:space="preserve">The flipside of this is that a split-gas NDC would be unlikely to meet current international expectations that a developed country’s NDC should be an </w:t>
      </w:r>
      <w:r w:rsidRPr="00943C63">
        <w:t>all</w:t>
      </w:r>
      <w:r>
        <w:t>-</w:t>
      </w:r>
      <w:r w:rsidRPr="00943C63">
        <w:t>sector,</w:t>
      </w:r>
      <w:r>
        <w:t xml:space="preserve"> </w:t>
      </w:r>
      <w:r w:rsidRPr="00943C63">
        <w:t>all</w:t>
      </w:r>
      <w:r>
        <w:t>-</w:t>
      </w:r>
      <w:r w:rsidRPr="00943C63">
        <w:t>gas</w:t>
      </w:r>
      <w:r>
        <w:t xml:space="preserve"> </w:t>
      </w:r>
      <w:r w:rsidRPr="00943C63">
        <w:t>absolute</w:t>
      </w:r>
      <w:r>
        <w:t xml:space="preserve"> </w:t>
      </w:r>
      <w:r w:rsidRPr="00943C63">
        <w:t>emission</w:t>
      </w:r>
      <w:r>
        <w:t xml:space="preserve"> </w:t>
      </w:r>
      <w:r w:rsidRPr="00943C63">
        <w:t>reduction</w:t>
      </w:r>
      <w:r>
        <w:t xml:space="preserve"> </w:t>
      </w:r>
      <w:r w:rsidRPr="00943C63">
        <w:t>target.</w:t>
      </w:r>
      <w:r>
        <w:t xml:space="preserve"> </w:t>
      </w:r>
      <w:r w:rsidRPr="00943C63">
        <w:t>Anything</w:t>
      </w:r>
      <w:r>
        <w:t xml:space="preserve"> </w:t>
      </w:r>
      <w:r w:rsidRPr="00943C63">
        <w:t>other</w:t>
      </w:r>
      <w:r>
        <w:t xml:space="preserve"> </w:t>
      </w:r>
      <w:r w:rsidRPr="00943C63">
        <w:t>than</w:t>
      </w:r>
      <w:r>
        <w:t xml:space="preserve"> </w:t>
      </w:r>
      <w:r w:rsidRPr="00943C63">
        <w:t>this</w:t>
      </w:r>
      <w:r>
        <w:t xml:space="preserve"> </w:t>
      </w:r>
      <w:r w:rsidRPr="00943C63">
        <w:t>is</w:t>
      </w:r>
      <w:r>
        <w:t xml:space="preserve"> </w:t>
      </w:r>
      <w:r w:rsidRPr="00943C63">
        <w:t>likely</w:t>
      </w:r>
      <w:r>
        <w:t xml:space="preserve"> </w:t>
      </w:r>
      <w:r w:rsidRPr="00943C63">
        <w:t>to</w:t>
      </w:r>
      <w:r>
        <w:t xml:space="preserve"> </w:t>
      </w:r>
      <w:r w:rsidRPr="00943C63">
        <w:t>be</w:t>
      </w:r>
      <w:r>
        <w:t xml:space="preserve"> </w:t>
      </w:r>
      <w:r w:rsidRPr="00943C63">
        <w:t>perceived</w:t>
      </w:r>
      <w:r>
        <w:t xml:space="preserve"> as </w:t>
      </w:r>
      <w:r w:rsidRPr="00943C63">
        <w:t>stepping</w:t>
      </w:r>
      <w:r>
        <w:t xml:space="preserve"> </w:t>
      </w:r>
      <w:r w:rsidRPr="00943C63">
        <w:t>back</w:t>
      </w:r>
      <w:r>
        <w:t xml:space="preserve"> </w:t>
      </w:r>
      <w:r w:rsidRPr="00943C63">
        <w:t>from</w:t>
      </w:r>
      <w:r>
        <w:t xml:space="preserve"> </w:t>
      </w:r>
      <w:r w:rsidRPr="00943C63">
        <w:t>responsibility</w:t>
      </w:r>
      <w:r>
        <w:t xml:space="preserve"> </w:t>
      </w:r>
      <w:r w:rsidRPr="00943C63">
        <w:t>and</w:t>
      </w:r>
      <w:r>
        <w:t xml:space="preserve"> </w:t>
      </w:r>
      <w:r w:rsidRPr="00943C63">
        <w:t>ambition</w:t>
      </w:r>
      <w:r>
        <w:t xml:space="preserve">. It could </w:t>
      </w:r>
      <w:r w:rsidRPr="00943C63">
        <w:t>prompt</w:t>
      </w:r>
      <w:r>
        <w:t xml:space="preserve"> </w:t>
      </w:r>
      <w:r w:rsidRPr="00943C63">
        <w:t>a</w:t>
      </w:r>
      <w:r>
        <w:t xml:space="preserve"> </w:t>
      </w:r>
      <w:r w:rsidRPr="00943C63">
        <w:t>high</w:t>
      </w:r>
      <w:r>
        <w:t xml:space="preserve"> </w:t>
      </w:r>
      <w:r w:rsidRPr="00943C63">
        <w:t>degree</w:t>
      </w:r>
      <w:r>
        <w:t xml:space="preserve"> </w:t>
      </w:r>
      <w:r w:rsidRPr="00943C63">
        <w:t>of</w:t>
      </w:r>
      <w:r>
        <w:t xml:space="preserve"> criticism </w:t>
      </w:r>
      <w:r w:rsidRPr="00943C63">
        <w:t>from</w:t>
      </w:r>
      <w:r>
        <w:t xml:space="preserve"> </w:t>
      </w:r>
      <w:r w:rsidRPr="00943C63">
        <w:t>other</w:t>
      </w:r>
      <w:r>
        <w:t xml:space="preserve"> </w:t>
      </w:r>
      <w:r w:rsidRPr="00943C63">
        <w:t>countries</w:t>
      </w:r>
      <w:r>
        <w:t xml:space="preserve"> </w:t>
      </w:r>
      <w:r w:rsidRPr="00943C63">
        <w:t>and</w:t>
      </w:r>
      <w:r>
        <w:t xml:space="preserve"> </w:t>
      </w:r>
      <w:r w:rsidRPr="00943C63">
        <w:t>civil</w:t>
      </w:r>
      <w:r>
        <w:t xml:space="preserve"> </w:t>
      </w:r>
      <w:r w:rsidRPr="00943C63">
        <w:t>society</w:t>
      </w:r>
      <w:r>
        <w:t xml:space="preserve"> </w:t>
      </w:r>
      <w:r w:rsidRPr="00943C63">
        <w:t>groups.</w:t>
      </w:r>
    </w:p>
    <w:p w14:paraId="1AB50435" w14:textId="77777777" w:rsidR="00F03A47" w:rsidRDefault="00F03A47" w:rsidP="00F03A47">
      <w:pPr>
        <w:pStyle w:val="paragraph"/>
        <w:spacing w:before="0" w:beforeAutospacing="0" w:after="160" w:afterAutospacing="0" w:line="276" w:lineRule="auto"/>
        <w:textAlignment w:val="baseline"/>
        <w:rPr>
          <w:rStyle w:val="normaltextrun"/>
          <w:rFonts w:ascii="Calibri" w:hAnsi="Calibri" w:cs="Calibri"/>
          <w:sz w:val="22"/>
          <w:szCs w:val="22"/>
        </w:rPr>
      </w:pPr>
      <w:r>
        <w:rPr>
          <w:rStyle w:val="normaltextrun"/>
          <w:rFonts w:ascii="Calibri" w:hAnsi="Calibri" w:cs="Calibri"/>
          <w:sz w:val="22"/>
          <w:szCs w:val="22"/>
        </w:rPr>
        <w:t>It is also important to be aware that under the Paris Agreement, NDCs can only be revised to enhance ambition and each successive NDC must show progression on the previous contribution. This process of ratcheting up is informed by 5-yearly global stocktakes of collective progress towards achieving the purpose of the Agreement and its long-term goal. The first global stocktake is scheduled for 2023.</w:t>
      </w:r>
    </w:p>
    <w:p w14:paraId="2D6F1609" w14:textId="4F45ED4B" w:rsidR="00F03A47" w:rsidRDefault="00F03A47" w:rsidP="00F03A47">
      <w:pPr>
        <w:pStyle w:val="paragraph"/>
        <w:spacing w:before="0" w:beforeAutospacing="0" w:after="160" w:afterAutospacing="0" w:line="276" w:lineRule="auto"/>
        <w:textAlignment w:val="baseline"/>
        <w:rPr>
          <w:rStyle w:val="normaltextrun"/>
          <w:rFonts w:ascii="Calibri" w:hAnsi="Calibri" w:cs="Calibri"/>
          <w:sz w:val="22"/>
          <w:szCs w:val="22"/>
        </w:rPr>
      </w:pPr>
      <w:r>
        <w:rPr>
          <w:rStyle w:val="normaltextrun"/>
          <w:rFonts w:ascii="Calibri" w:hAnsi="Calibri" w:cs="Calibri"/>
          <w:sz w:val="22"/>
          <w:szCs w:val="22"/>
        </w:rPr>
        <w:t xml:space="preserve">In this way, once an element is included in an NDC it becomes part of an international process where collective pressure is brought to bear to push countries for more action. This is part of the Paris Agreement’s strength and why participation as a relatively small emitter is worthwhile – we play a role in building the momentum to encourage other larger countries to act. </w:t>
      </w:r>
    </w:p>
    <w:p w14:paraId="19AD1444" w14:textId="0B8564FF" w:rsidR="00F03A47" w:rsidRDefault="00F03A47" w:rsidP="00F03A47">
      <w:pPr>
        <w:pStyle w:val="paragraph"/>
        <w:spacing w:before="0" w:beforeAutospacing="0" w:after="160" w:afterAutospacing="0" w:line="276" w:lineRule="auto"/>
        <w:textAlignment w:val="baseline"/>
        <w:rPr>
          <w:rStyle w:val="normaltextrun"/>
          <w:rFonts w:ascii="Calibri" w:hAnsi="Calibri" w:cs="Calibri"/>
          <w:sz w:val="22"/>
          <w:szCs w:val="22"/>
        </w:rPr>
      </w:pPr>
      <w:r w:rsidRPr="00992BE4">
        <w:rPr>
          <w:rStyle w:val="normaltextrun"/>
          <w:rFonts w:ascii="Calibri" w:hAnsi="Calibri" w:cs="Calibri"/>
          <w:sz w:val="22"/>
          <w:szCs w:val="22"/>
        </w:rPr>
        <w:t>An important implication of expressing the NDC in a split-gas format would be that it would bring domestic emission reduction targets, including the 2030 target for biogenic methane, into this collective ratcheting up process</w:t>
      </w:r>
      <w:r>
        <w:t xml:space="preserve">. </w:t>
      </w:r>
      <w:r>
        <w:rPr>
          <w:rStyle w:val="normaltextrun"/>
          <w:rFonts w:ascii="Calibri" w:hAnsi="Calibri" w:cs="Calibri"/>
          <w:sz w:val="22"/>
          <w:szCs w:val="22"/>
        </w:rPr>
        <w:t xml:space="preserve">In general, the implications of the nature and content of the NDC Aotearoa puts forward need to be very carefully considered given how this could limit flexibility in future.   </w:t>
      </w:r>
    </w:p>
    <w:p w14:paraId="1FEF22A3" w14:textId="77777777" w:rsidR="00F03A47" w:rsidRDefault="00F03A47" w:rsidP="00F03A47">
      <w:pPr>
        <w:pStyle w:val="paragraph"/>
        <w:spacing w:before="0" w:beforeAutospacing="0" w:after="160" w:afterAutospacing="0" w:line="276" w:lineRule="auto"/>
        <w:textAlignment w:val="baseline"/>
        <w:rPr>
          <w:rFonts w:asciiTheme="minorHAnsi" w:hAnsiTheme="minorHAnsi" w:cstheme="minorHAnsi"/>
          <w:sz w:val="22"/>
          <w:szCs w:val="22"/>
        </w:rPr>
      </w:pPr>
      <w:r w:rsidRPr="007212D0">
        <w:rPr>
          <w:rFonts w:asciiTheme="minorHAnsi" w:hAnsiTheme="minorHAnsi" w:cstheme="minorHAnsi"/>
          <w:sz w:val="22"/>
          <w:szCs w:val="22"/>
        </w:rPr>
        <w:t>Which of these objectives should be pursued</w:t>
      </w:r>
      <w:r>
        <w:rPr>
          <w:rFonts w:asciiTheme="minorHAnsi" w:hAnsiTheme="minorHAnsi" w:cstheme="minorHAnsi"/>
          <w:sz w:val="22"/>
          <w:szCs w:val="22"/>
        </w:rPr>
        <w:t xml:space="preserve"> and how</w:t>
      </w:r>
      <w:r w:rsidRPr="007212D0">
        <w:rPr>
          <w:rFonts w:asciiTheme="minorHAnsi" w:hAnsiTheme="minorHAnsi" w:cstheme="minorHAnsi"/>
          <w:sz w:val="22"/>
          <w:szCs w:val="22"/>
        </w:rPr>
        <w:t xml:space="preserve"> is a matter for </w:t>
      </w:r>
      <w:r>
        <w:rPr>
          <w:rFonts w:asciiTheme="minorHAnsi" w:hAnsiTheme="minorHAnsi" w:cstheme="minorHAnsi"/>
          <w:sz w:val="22"/>
          <w:szCs w:val="22"/>
        </w:rPr>
        <w:t>the country’s</w:t>
      </w:r>
      <w:r w:rsidRPr="007212D0">
        <w:rPr>
          <w:rFonts w:asciiTheme="minorHAnsi" w:hAnsiTheme="minorHAnsi" w:cstheme="minorHAnsi"/>
          <w:sz w:val="22"/>
          <w:szCs w:val="22"/>
        </w:rPr>
        <w:t xml:space="preserve"> strategy for pursuing its national interests in international climate change negotiations. </w:t>
      </w:r>
      <w:r>
        <w:rPr>
          <w:rFonts w:asciiTheme="minorHAnsi" w:hAnsiTheme="minorHAnsi" w:cstheme="minorHAnsi"/>
          <w:sz w:val="22"/>
          <w:szCs w:val="22"/>
        </w:rPr>
        <w:t>For example, if Aotearoa wants to influence the international community to recognise the different warming impacts of biogenic methane, there may be a range of ways to do that and submitting a split-gas NDC may not be the best approach.</w:t>
      </w:r>
    </w:p>
    <w:p w14:paraId="341087F4" w14:textId="77777777" w:rsidR="00F03A47" w:rsidRPr="00F25DB6" w:rsidRDefault="00F03A47" w:rsidP="00F03A47">
      <w:pPr>
        <w:pStyle w:val="Heading3"/>
      </w:pPr>
      <w:bookmarkStart w:id="345" w:name="_Toc62052792"/>
      <w:bookmarkStart w:id="346" w:name="_Toc62649410"/>
      <w:bookmarkStart w:id="347" w:name="_Toc62650351"/>
      <w:r>
        <w:t xml:space="preserve">8.11.3 </w:t>
      </w:r>
      <w:r w:rsidRPr="00F25DB6">
        <w:t>Metrics used to express the NDC</w:t>
      </w:r>
      <w:bookmarkEnd w:id="345"/>
      <w:bookmarkEnd w:id="346"/>
      <w:bookmarkEnd w:id="347"/>
    </w:p>
    <w:p w14:paraId="793C7314" w14:textId="77777777" w:rsidR="00F03A47" w:rsidRDefault="00F03A47" w:rsidP="00F03A47">
      <w:r w:rsidRPr="00934BC2">
        <w:t xml:space="preserve">Metrics are used when different greenhouse gases need to be compared or aggregated together. </w:t>
      </w:r>
      <w:r>
        <w:t>The country’s submission to the UNFCCC on its first NDC outlines that it “</w:t>
      </w:r>
      <w:r w:rsidRPr="00EB29E2">
        <w:rPr>
          <w:i/>
          <w:iCs/>
        </w:rPr>
        <w:t>applies 100-year Global Warming Potentials (GWPs) from the IPCC 4th assessment report</w:t>
      </w:r>
      <w:r w:rsidRPr="00D97C3A">
        <w:t>”.</w:t>
      </w:r>
    </w:p>
    <w:p w14:paraId="1F17C57F" w14:textId="77777777" w:rsidR="00F03A47" w:rsidRDefault="00F03A47" w:rsidP="00F03A47">
      <w:r>
        <w:t xml:space="preserve">In describing the alternate NDCs based on IPCC modelling, the Commission has also used GWPs from the Fourth Assessment Report for consistency of comparison. If the Government revises the NDC, </w:t>
      </w:r>
      <w:r>
        <w:lastRenderedPageBreak/>
        <w:t>there is a strong rationale as part of that update to move to applying the 100-year GWPs (GWP</w:t>
      </w:r>
      <w:r w:rsidRPr="007D4D96">
        <w:rPr>
          <w:vertAlign w:val="subscript"/>
        </w:rPr>
        <w:t>100</w:t>
      </w:r>
      <w:r>
        <w:t>) from the IPCC’s Fifth Assessment Report. This is because for emissions in years from 2021 onwards, Aotearoa’s GHG Inventory reports must be prepared using that the GWP</w:t>
      </w:r>
      <w:r w:rsidRPr="007D4D96">
        <w:rPr>
          <w:vertAlign w:val="subscript"/>
        </w:rPr>
        <w:t>100</w:t>
      </w:r>
      <w:r>
        <w:t xml:space="preserve"> values from the IPCC’s Fifth Assessment Report, in accordance with guidance adopted under the Paris Agreement (Decision 18/CMA.1). </w:t>
      </w:r>
    </w:p>
    <w:p w14:paraId="6E005D18" w14:textId="77777777" w:rsidR="00F03A47" w:rsidRDefault="00F03A47" w:rsidP="00F03A47">
      <w:r>
        <w:t>Progress towards meeting the NDC will be tracked using the GHG Inventory. If the NDC and the GHG Inventory are calculated using different GWP</w:t>
      </w:r>
      <w:r w:rsidRPr="007D4D96">
        <w:rPr>
          <w:vertAlign w:val="subscript"/>
        </w:rPr>
        <w:t>100</w:t>
      </w:r>
      <w:r>
        <w:t xml:space="preserve"> values, two sets of emissions estimates will need to be calculated and reported in the Inventory. This is likely to create confusion about which set of estimates are relevant for which purpose, as well as an unnecessary administrative burden. </w:t>
      </w:r>
    </w:p>
    <w:p w14:paraId="1F005842" w14:textId="2FF817E5" w:rsidR="00F03A47" w:rsidRDefault="00F03A47" w:rsidP="00F03A47">
      <w:r>
        <w:t>Moving to use of GWP</w:t>
      </w:r>
      <w:r w:rsidRPr="007D4D96">
        <w:rPr>
          <w:vertAlign w:val="subscript"/>
        </w:rPr>
        <w:t>100</w:t>
      </w:r>
      <w:r w:rsidRPr="00F0381F">
        <w:t xml:space="preserve"> </w:t>
      </w:r>
      <w:r>
        <w:t>values from the Fifth Assessment Report is also consistent with the Paris Agreement Decision about presenting and accounting for NDCs (</w:t>
      </w:r>
      <w:r w:rsidRPr="00D97C3A">
        <w:t>Decision 4/CMA.1</w:t>
      </w:r>
      <w:r>
        <w:t xml:space="preserve">). This stipulates </w:t>
      </w:r>
      <w:r w:rsidRPr="00D97C3A">
        <w:t xml:space="preserve">that the methods </w:t>
      </w:r>
      <w:r w:rsidRPr="00E42134">
        <w:t xml:space="preserve">and metrics </w:t>
      </w:r>
      <w:r w:rsidRPr="00D97C3A">
        <w:t>agreed for Inventory reporting</w:t>
      </w:r>
      <w:r w:rsidRPr="00E42134">
        <w:t xml:space="preserve"> are </w:t>
      </w:r>
      <w:r w:rsidRPr="00D97C3A">
        <w:t>also to be used for NDCs. Th</w:t>
      </w:r>
      <w:r>
        <w:t>is</w:t>
      </w:r>
      <w:r w:rsidRPr="00D97C3A">
        <w:t xml:space="preserve"> guidance only compulsorily applies for second NDCs onwards, although Parties </w:t>
      </w:r>
      <w:r w:rsidRPr="00E42134">
        <w:t xml:space="preserve">can elect </w:t>
      </w:r>
      <w:r w:rsidRPr="00D97C3A">
        <w:t xml:space="preserve">to also apply it in respect of their first NDC. </w:t>
      </w:r>
    </w:p>
    <w:p w14:paraId="6B469D3D" w14:textId="77777777" w:rsidR="00F03A47" w:rsidRDefault="00F03A47" w:rsidP="00F03A47">
      <w:pPr>
        <w:spacing w:after="200" w:line="276" w:lineRule="auto"/>
        <w:rPr>
          <w:lang w:eastAsia="en-NZ"/>
        </w:rPr>
      </w:pPr>
      <w:r>
        <w:rPr>
          <w:lang w:eastAsia="en-NZ"/>
        </w:rPr>
        <w:t xml:space="preserve">Moving to the use of </w:t>
      </w:r>
      <w:r>
        <w:t>GWP</w:t>
      </w:r>
      <w:r w:rsidRPr="007D4D96">
        <w:rPr>
          <w:vertAlign w:val="subscript"/>
        </w:rPr>
        <w:t>100</w:t>
      </w:r>
      <w:r>
        <w:rPr>
          <w:vertAlign w:val="subscript"/>
        </w:rPr>
        <w:t xml:space="preserve"> </w:t>
      </w:r>
      <w:r>
        <w:t xml:space="preserve">values from the Fifth Assessment Report will have some impact on the overall ambition of the NDC, </w:t>
      </w:r>
      <w:r>
        <w:rPr>
          <w:lang w:eastAsia="en-NZ"/>
        </w:rPr>
        <w:t xml:space="preserve">as it is calculated on an all-gas basis against emissions in a base year. The updates to </w:t>
      </w:r>
      <w:r>
        <w:t>GWP</w:t>
      </w:r>
      <w:r w:rsidRPr="007D4D96">
        <w:rPr>
          <w:vertAlign w:val="subscript"/>
        </w:rPr>
        <w:t>100</w:t>
      </w:r>
      <w:r>
        <w:rPr>
          <w:lang w:eastAsia="en-NZ"/>
        </w:rPr>
        <w:t xml:space="preserve"> values in the </w:t>
      </w:r>
      <w:r>
        <w:t xml:space="preserve">Fifth Assessment Report </w:t>
      </w:r>
      <w:r>
        <w:rPr>
          <w:lang w:eastAsia="en-NZ"/>
        </w:rPr>
        <w:t>will change the relative contribution of each greenhouse gas to the CO</w:t>
      </w:r>
      <w:r w:rsidRPr="00CE35A7">
        <w:rPr>
          <w:vertAlign w:val="subscript"/>
          <w:lang w:eastAsia="en-NZ"/>
        </w:rPr>
        <w:t>2</w:t>
      </w:r>
      <w:r>
        <w:rPr>
          <w:lang w:eastAsia="en-NZ"/>
        </w:rPr>
        <w:t>e amount of allowed emissions determined by a given percentage reduction against the base year. This effect should be factored into the Government’s consideration of any changes it might make to the NDC.</w:t>
      </w:r>
    </w:p>
    <w:tbl>
      <w:tblPr>
        <w:tblStyle w:val="GridTable4-Accent2"/>
        <w:tblW w:w="0" w:type="auto"/>
        <w:tblCellMar>
          <w:top w:w="57" w:type="dxa"/>
          <w:bottom w:w="57" w:type="dxa"/>
        </w:tblCellMar>
        <w:tblLook w:val="04A0" w:firstRow="1" w:lastRow="0" w:firstColumn="1" w:lastColumn="0" w:noHBand="0" w:noVBand="1"/>
      </w:tblPr>
      <w:tblGrid>
        <w:gridCol w:w="9016"/>
      </w:tblGrid>
      <w:tr w:rsidR="00F03A47" w:rsidRPr="00EA4071" w14:paraId="1A1C0DEB" w14:textId="77777777" w:rsidTr="00760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F0B0F05" w14:textId="77777777" w:rsidR="00F03A47" w:rsidRDefault="00F03A47" w:rsidP="007602C9">
            <w:pPr>
              <w:pStyle w:val="Content"/>
              <w:spacing w:before="0" w:after="0"/>
              <w:jc w:val="center"/>
              <w:rPr>
                <w:b w:val="0"/>
                <w:sz w:val="28"/>
                <w:szCs w:val="28"/>
              </w:rPr>
            </w:pPr>
            <w:r>
              <w:rPr>
                <w:bCs w:val="0"/>
                <w:sz w:val="28"/>
                <w:szCs w:val="28"/>
              </w:rPr>
              <w:t>Enabling NDC recommendation 1</w:t>
            </w:r>
          </w:p>
          <w:p w14:paraId="364BEEFC" w14:textId="77777777" w:rsidR="00F03A47" w:rsidRPr="00EA4071" w:rsidRDefault="00F03A47" w:rsidP="007602C9">
            <w:pPr>
              <w:pStyle w:val="Content"/>
              <w:spacing w:before="0" w:after="0"/>
              <w:jc w:val="center"/>
              <w:rPr>
                <w:b w:val="0"/>
                <w:sz w:val="28"/>
                <w:szCs w:val="28"/>
              </w:rPr>
            </w:pPr>
            <w:r>
              <w:rPr>
                <w:b w:val="0"/>
                <w:sz w:val="28"/>
                <w:szCs w:val="28"/>
              </w:rPr>
              <w:t>Form of the NDC</w:t>
            </w:r>
          </w:p>
        </w:tc>
      </w:tr>
      <w:tr w:rsidR="00F03A47" w:rsidRPr="00A666C6" w14:paraId="52B787A3" w14:textId="77777777" w:rsidTr="00760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14EB814" w14:textId="77777777" w:rsidR="00F03A47" w:rsidRDefault="00F03A47" w:rsidP="007602C9">
            <w:pPr>
              <w:pStyle w:val="ListParagraph"/>
              <w:ind w:left="1080"/>
            </w:pPr>
          </w:p>
          <w:p w14:paraId="03F8AA97" w14:textId="77777777" w:rsidR="00F03A47" w:rsidRPr="0067371E" w:rsidRDefault="00F03A47" w:rsidP="009B509E">
            <w:pPr>
              <w:pStyle w:val="ListParagraph"/>
              <w:numPr>
                <w:ilvl w:val="0"/>
                <w:numId w:val="91"/>
              </w:numPr>
              <w:spacing w:before="0" w:after="0"/>
              <w:ind w:left="594"/>
            </w:pPr>
            <w:r w:rsidRPr="00A754B5">
              <w:t>We recommend that the government in making its decisions should continue to define the NDC on the basis of all greenhouse gases using the most recent IPCC global warming potentials adopted by the Parties to the UNFCCC.</w:t>
            </w:r>
            <w:r w:rsidRPr="00913FB1">
              <w:t xml:space="preserve"> If the government updates the NDC, it should</w:t>
            </w:r>
            <w:r w:rsidRPr="0067371E">
              <w:t xml:space="preserve"> </w:t>
            </w:r>
            <w:r w:rsidRPr="00913FB1">
              <w:t>adjust it to use the GWP</w:t>
            </w:r>
            <w:r w:rsidRPr="007D4D96">
              <w:rPr>
                <w:vertAlign w:val="subscript"/>
              </w:rPr>
              <w:t xml:space="preserve">100 </w:t>
            </w:r>
            <w:r w:rsidRPr="00913FB1">
              <w:t>values from the IPCC’s Fifth Assessment Report</w:t>
            </w:r>
            <w:r>
              <w:t>.</w:t>
            </w:r>
            <w:r>
              <w:rPr>
                <w:b w:val="0"/>
                <w:bCs w:val="0"/>
              </w:rPr>
              <w:br/>
            </w:r>
            <w:r w:rsidRPr="00125378">
              <w:br/>
            </w:r>
          </w:p>
          <w:p w14:paraId="75B515BB" w14:textId="77777777" w:rsidR="00F03A47" w:rsidRPr="00125378" w:rsidRDefault="00F03A47" w:rsidP="009B509E">
            <w:pPr>
              <w:pStyle w:val="ListParagraph"/>
              <w:numPr>
                <w:ilvl w:val="0"/>
                <w:numId w:val="91"/>
              </w:numPr>
              <w:spacing w:before="0" w:after="0"/>
              <w:ind w:left="594"/>
            </w:pPr>
            <w:r w:rsidRPr="00125378">
              <w:t xml:space="preserve">We recommend that the government in making its decisions should continue to contribute to further global mitigation beyond the NDC through the provision of climate finance to developing countries and active participation in mitigation mechanisms for international aviation and shipping. </w:t>
            </w:r>
          </w:p>
          <w:p w14:paraId="3F0F8D96" w14:textId="77777777" w:rsidR="00F03A47" w:rsidRPr="002F0BF7" w:rsidRDefault="00F03A47" w:rsidP="007602C9"/>
        </w:tc>
      </w:tr>
    </w:tbl>
    <w:p w14:paraId="65DB5161" w14:textId="77777777" w:rsidR="00F03A47" w:rsidRDefault="00F03A47" w:rsidP="00F03A47">
      <w:pPr>
        <w:spacing w:after="200" w:line="276" w:lineRule="auto"/>
        <w:rPr>
          <w:lang w:eastAsia="en-NZ"/>
        </w:rPr>
      </w:pPr>
    </w:p>
    <w:tbl>
      <w:tblPr>
        <w:tblW w:w="0" w:type="auto"/>
        <w:shd w:val="clear" w:color="auto" w:fill="C6B1D1"/>
        <w:tblCellMar>
          <w:left w:w="0" w:type="dxa"/>
          <w:right w:w="0" w:type="dxa"/>
        </w:tblCellMar>
        <w:tblLook w:val="04A0" w:firstRow="1" w:lastRow="0" w:firstColumn="1" w:lastColumn="0" w:noHBand="0" w:noVBand="1"/>
      </w:tblPr>
      <w:tblGrid>
        <w:gridCol w:w="9016"/>
      </w:tblGrid>
      <w:tr w:rsidR="00F03A47" w14:paraId="576BF40C" w14:textId="77777777" w:rsidTr="007602C9">
        <w:tc>
          <w:tcPr>
            <w:tcW w:w="9016" w:type="dxa"/>
            <w:tcBorders>
              <w:top w:val="single" w:sz="8" w:space="0" w:color="9E76B3"/>
              <w:left w:val="single" w:sz="8" w:space="0" w:color="9E76B3"/>
              <w:bottom w:val="single" w:sz="8" w:space="0" w:color="9E76B3"/>
              <w:right w:val="single" w:sz="8" w:space="0" w:color="9E76B3"/>
            </w:tcBorders>
            <w:shd w:val="clear" w:color="auto" w:fill="9E76B3"/>
            <w:tcMar>
              <w:top w:w="57" w:type="dxa"/>
              <w:left w:w="108" w:type="dxa"/>
              <w:bottom w:w="57" w:type="dxa"/>
              <w:right w:w="108" w:type="dxa"/>
            </w:tcMar>
            <w:hideMark/>
          </w:tcPr>
          <w:p w14:paraId="29CDD5EC" w14:textId="77777777" w:rsidR="00F03A47" w:rsidRDefault="00F03A47" w:rsidP="007602C9">
            <w:pPr>
              <w:pStyle w:val="Content"/>
              <w:spacing w:before="0" w:after="0" w:line="240" w:lineRule="auto"/>
              <w:jc w:val="center"/>
              <w:rPr>
                <w:b/>
                <w:bCs/>
                <w:color w:val="000000"/>
                <w:sz w:val="24"/>
                <w:szCs w:val="24"/>
                <w:lang w:val="en-US"/>
              </w:rPr>
            </w:pPr>
            <w:r>
              <w:rPr>
                <w:b/>
                <w:bCs/>
                <w:color w:val="FFFFFF"/>
                <w:sz w:val="28"/>
                <w:szCs w:val="28"/>
              </w:rPr>
              <w:t>Consultation question 22</w:t>
            </w:r>
          </w:p>
          <w:p w14:paraId="589496D9" w14:textId="77777777" w:rsidR="00F03A47" w:rsidRPr="00053ADD" w:rsidRDefault="00F03A47" w:rsidP="007602C9">
            <w:pPr>
              <w:pStyle w:val="Content"/>
              <w:spacing w:before="0" w:after="0" w:line="240" w:lineRule="auto"/>
              <w:jc w:val="center"/>
              <w:rPr>
                <w:bCs/>
                <w:color w:val="FFFFFF"/>
                <w:sz w:val="28"/>
                <w:szCs w:val="28"/>
              </w:rPr>
            </w:pPr>
            <w:r w:rsidRPr="00125378">
              <w:rPr>
                <w:bCs/>
                <w:color w:val="FFFFFF" w:themeColor="background1"/>
                <w:sz w:val="28"/>
                <w:szCs w:val="28"/>
              </w:rPr>
              <w:t>Form of the NDC</w:t>
            </w:r>
          </w:p>
        </w:tc>
      </w:tr>
      <w:tr w:rsidR="00F03A47" w14:paraId="4674AA39" w14:textId="77777777" w:rsidTr="007602C9">
        <w:tc>
          <w:tcPr>
            <w:tcW w:w="9016" w:type="dxa"/>
            <w:tcBorders>
              <w:top w:val="nil"/>
              <w:left w:val="single" w:sz="8" w:space="0" w:color="9E76B3"/>
              <w:bottom w:val="single" w:sz="8" w:space="0" w:color="9E76B3"/>
              <w:right w:val="single" w:sz="8" w:space="0" w:color="9E76B3"/>
            </w:tcBorders>
            <w:shd w:val="clear" w:color="auto" w:fill="C6B1D1"/>
            <w:tcMar>
              <w:top w:w="57" w:type="dxa"/>
              <w:left w:w="108" w:type="dxa"/>
              <w:bottom w:w="57" w:type="dxa"/>
              <w:right w:w="108" w:type="dxa"/>
            </w:tcMar>
          </w:tcPr>
          <w:p w14:paraId="0194D9D0" w14:textId="30D359F3" w:rsidR="00F03A47" w:rsidRPr="00394CF0" w:rsidRDefault="00F03A47" w:rsidP="007602C9">
            <w:r>
              <w:rPr>
                <w:b/>
                <w:bCs/>
                <w:color w:val="000000"/>
              </w:rPr>
              <w:t xml:space="preserve">Do you support our recommendations on the form of the NDC? </w:t>
            </w:r>
          </w:p>
        </w:tc>
      </w:tr>
    </w:tbl>
    <w:p w14:paraId="67CF2683" w14:textId="4F9DE736" w:rsidR="00F03A47" w:rsidRPr="001F4632" w:rsidRDefault="00F03A47" w:rsidP="00F03A47">
      <w:pPr>
        <w:pStyle w:val="Heading3"/>
        <w:rPr>
          <w:lang w:eastAsia="en-NZ"/>
        </w:rPr>
      </w:pPr>
      <w:bookmarkStart w:id="348" w:name="_Toc62052793"/>
      <w:bookmarkStart w:id="349" w:name="_Toc62649411"/>
      <w:bookmarkStart w:id="350" w:name="_Toc62650352"/>
      <w:r>
        <w:rPr>
          <w:lang w:eastAsia="en-NZ"/>
        </w:rPr>
        <w:lastRenderedPageBreak/>
        <w:t xml:space="preserve">8.11.4 </w:t>
      </w:r>
      <w:r w:rsidRPr="0092269A">
        <w:rPr>
          <w:lang w:eastAsia="en-NZ"/>
        </w:rPr>
        <w:t>A</w:t>
      </w:r>
      <w:r w:rsidRPr="005C7BD4">
        <w:rPr>
          <w:lang w:eastAsia="en-NZ"/>
        </w:rPr>
        <w:t>l</w:t>
      </w:r>
      <w:r w:rsidRPr="00360232">
        <w:rPr>
          <w:lang w:eastAsia="en-NZ"/>
        </w:rPr>
        <w:t>ternative metrics</w:t>
      </w:r>
      <w:bookmarkEnd w:id="348"/>
      <w:bookmarkEnd w:id="349"/>
      <w:bookmarkEnd w:id="350"/>
    </w:p>
    <w:p w14:paraId="11055173" w14:textId="77777777" w:rsidR="00F03A47" w:rsidRPr="00934BC2" w:rsidRDefault="00F03A47" w:rsidP="00F03A47">
      <w:r w:rsidRPr="00934BC2">
        <w:t xml:space="preserve">Different metrics are good at addressing different questions – there is no one </w:t>
      </w:r>
      <w:r>
        <w:t>‘</w:t>
      </w:r>
      <w:r w:rsidRPr="00934BC2">
        <w:t>correct</w:t>
      </w:r>
      <w:r>
        <w:t>’</w:t>
      </w:r>
      <w:r w:rsidRPr="00934BC2">
        <w:t xml:space="preserve"> metric that is useful for all purposes. This is because each metric makes assumptions and judgements about what is important in order to simplify the physical differences between gases down to a quantitative relationship. Three of the most prominent metrics discussed are Global Warming Potential (GWP), Global Temperature Potential (GTP) and Global Warming Potential Star (GWP*).</w:t>
      </w:r>
    </w:p>
    <w:p w14:paraId="141264CC" w14:textId="77777777" w:rsidR="00F03A47" w:rsidRPr="00934BC2" w:rsidRDefault="00F03A47" w:rsidP="00F03A47">
      <w:r w:rsidRPr="00934BC2">
        <w:t xml:space="preserve">GWP requires that a timeframe be set and will compare the relative total effect on radiative forcing between gases over that period – commonly 100 years is used. However, GWP excludes any considerations of the relative effects after that period. GWP values with shorter time horizons therefore put a greater emphasis on warming from short-lived gases as they exclude the effects of long-lived greenhouse gases that continue to have a warming effect beyond its time horizon. GWP also only includes the aggregate effect over the period and does not consider the temperature trajectory. This makes it less useful in analysis of pathways to a specified temperature goal. </w:t>
      </w:r>
    </w:p>
    <w:p w14:paraId="20B1AC8B" w14:textId="77777777" w:rsidR="00F03A47" w:rsidRPr="00934BC2" w:rsidRDefault="00F03A47" w:rsidP="00F03A47">
      <w:r w:rsidRPr="00934BC2">
        <w:t>GTP looks at the temperature effect of a pulse of gases at a defined point in the future. It ignores any effects of warming before its stated time horizon. It puts a strong emphasis on long-lived gases for a long time horizon, shifting over time to a strong emphasis on short-lived gases as the date of the temperature goal approaches. Consequently, it is not consistent through time.</w:t>
      </w:r>
    </w:p>
    <w:p w14:paraId="5B352071" w14:textId="77777777" w:rsidR="00F03A47" w:rsidRPr="00934BC2" w:rsidRDefault="00F03A47" w:rsidP="00F03A47">
      <w:r w:rsidRPr="00934BC2">
        <w:t>GWP* compares the warming effect of a sustained rate of emitting a short-lived greenhouse gas emissions such as methane against a cumulative total of carbon dioxide emissions. It is useful for setting and comparing long-term national emission targets where cumulative emissions of long-lived gases and emission rates of short-lived gases can be traded-off between one another. However, it is less useful in national policy or in making trade</w:t>
      </w:r>
      <w:r>
        <w:t>-</w:t>
      </w:r>
      <w:r w:rsidRPr="00934BC2">
        <w:t>offs with short-term targets. This is because the metric compares against a rate of emissions sustained in perpetuity. Landowners making decisions about increasing or decreasing their production, and consequently their methane emissions, do not make their decisions in perpetuity, but will adjust their activity according to the economic circumstances at the time. This will make the comparison in emissions inaccurate as soon as behaviour changes.</w:t>
      </w:r>
      <w:r>
        <w:rPr>
          <w:lang w:eastAsia="en-NZ"/>
        </w:rPr>
        <w:t xml:space="preserve"> </w:t>
      </w:r>
    </w:p>
    <w:p w14:paraId="202A87FD" w14:textId="77777777" w:rsidR="00F03A47" w:rsidRPr="00934BC2" w:rsidRDefault="00F03A47" w:rsidP="00F03A47">
      <w:pPr>
        <w:spacing w:after="200" w:line="276" w:lineRule="auto"/>
      </w:pPr>
      <w:r w:rsidRPr="00934BC2">
        <w:t xml:space="preserve">We discuss different metrics further in </w:t>
      </w:r>
      <w:r>
        <w:t>t</w:t>
      </w:r>
      <w:r w:rsidRPr="00934BC2">
        <w:t xml:space="preserve">he Evidence </w:t>
      </w:r>
      <w:r>
        <w:t>R</w:t>
      </w:r>
      <w:r w:rsidRPr="00934BC2">
        <w:t>eport</w:t>
      </w:r>
      <w:r w:rsidRPr="0051207F">
        <w:rPr>
          <w:i/>
          <w:iCs/>
        </w:rPr>
        <w:t xml:space="preserve"> Chapter 1: The Science of Climate Change.</w:t>
      </w:r>
    </w:p>
    <w:p w14:paraId="1AAFAED5" w14:textId="77777777" w:rsidR="00F03A47" w:rsidRPr="00943C63" w:rsidRDefault="00F03A47" w:rsidP="00F03A47">
      <w:pPr>
        <w:pStyle w:val="Heading2"/>
      </w:pPr>
      <w:bookmarkStart w:id="351" w:name="_Toc62052794"/>
      <w:bookmarkStart w:id="352" w:name="_Toc62650353"/>
      <w:r>
        <w:t xml:space="preserve">8.12 Planning for meeting </w:t>
      </w:r>
      <w:r w:rsidRPr="00943C63">
        <w:t>the</w:t>
      </w:r>
      <w:r>
        <w:t xml:space="preserve"> </w:t>
      </w:r>
      <w:r w:rsidRPr="00943C63">
        <w:t>NDC</w:t>
      </w:r>
      <w:bookmarkEnd w:id="351"/>
      <w:bookmarkEnd w:id="352"/>
    </w:p>
    <w:p w14:paraId="60D2E483" w14:textId="77777777" w:rsidR="00F03A47" w:rsidRPr="00171E64" w:rsidRDefault="00F03A47" w:rsidP="00F03A47">
      <w:pPr>
        <w:pStyle w:val="Heading3"/>
      </w:pPr>
      <w:bookmarkStart w:id="353" w:name="_Toc62052795"/>
      <w:bookmarkStart w:id="354" w:name="_Toc62649413"/>
      <w:bookmarkStart w:id="355" w:name="_Toc62650354"/>
      <w:r>
        <w:t>8.12.1 Access to offshore mitigation under the Paris Agreement</w:t>
      </w:r>
      <w:bookmarkEnd w:id="353"/>
      <w:bookmarkEnd w:id="354"/>
      <w:bookmarkEnd w:id="355"/>
      <w:r>
        <w:t xml:space="preserve"> </w:t>
      </w:r>
    </w:p>
    <w:p w14:paraId="15956C34" w14:textId="77777777" w:rsidR="00F03A47" w:rsidRDefault="00F03A47" w:rsidP="00F03A47">
      <w:r w:rsidRPr="00943C63">
        <w:t>To</w:t>
      </w:r>
      <w:r>
        <w:t xml:space="preserve"> </w:t>
      </w:r>
      <w:r w:rsidRPr="00943C63">
        <w:t>deliver</w:t>
      </w:r>
      <w:r>
        <w:t xml:space="preserve"> </w:t>
      </w:r>
      <w:r w:rsidRPr="00943C63">
        <w:t>on</w:t>
      </w:r>
      <w:r>
        <w:t xml:space="preserve"> </w:t>
      </w:r>
      <w:r w:rsidRPr="00943C63">
        <w:t>either</w:t>
      </w:r>
      <w:r>
        <w:t xml:space="preserve"> </w:t>
      </w:r>
      <w:r w:rsidRPr="00943C63">
        <w:t>the</w:t>
      </w:r>
      <w:r>
        <w:t xml:space="preserve"> </w:t>
      </w:r>
      <w:r w:rsidRPr="00943C63">
        <w:t>existing</w:t>
      </w:r>
      <w:r>
        <w:t xml:space="preserve"> </w:t>
      </w:r>
      <w:r w:rsidRPr="00943C63">
        <w:t>or</w:t>
      </w:r>
      <w:r>
        <w:t xml:space="preserve"> </w:t>
      </w:r>
      <w:r w:rsidRPr="00943C63">
        <w:t>a</w:t>
      </w:r>
      <w:r>
        <w:t xml:space="preserve"> </w:t>
      </w:r>
      <w:r w:rsidRPr="00943C63">
        <w:t>strengthened</w:t>
      </w:r>
      <w:r>
        <w:t xml:space="preserve"> </w:t>
      </w:r>
      <w:r w:rsidRPr="00943C63">
        <w:t>NDC,</w:t>
      </w:r>
      <w:r>
        <w:t xml:space="preserve"> </w:t>
      </w:r>
      <w:r w:rsidRPr="00943C63">
        <w:t>the</w:t>
      </w:r>
      <w:r>
        <w:t xml:space="preserve"> </w:t>
      </w:r>
      <w:r w:rsidRPr="00943C63">
        <w:t>Government</w:t>
      </w:r>
      <w:r>
        <w:t xml:space="preserve"> </w:t>
      </w:r>
      <w:r w:rsidRPr="00943C63">
        <w:t>will</w:t>
      </w:r>
      <w:r>
        <w:t xml:space="preserve"> </w:t>
      </w:r>
      <w:r w:rsidRPr="00943C63">
        <w:t>need</w:t>
      </w:r>
      <w:r>
        <w:t xml:space="preserve"> </w:t>
      </w:r>
      <w:r w:rsidRPr="00943C63">
        <w:t>to</w:t>
      </w:r>
      <w:r>
        <w:t xml:space="preserve"> </w:t>
      </w:r>
      <w:r w:rsidRPr="00943C63">
        <w:t>actively</w:t>
      </w:r>
      <w:r>
        <w:t xml:space="preserve"> </w:t>
      </w:r>
      <w:r w:rsidRPr="00943C63">
        <w:t>pursue</w:t>
      </w:r>
      <w:r>
        <w:t xml:space="preserve"> the development of </w:t>
      </w:r>
      <w:r w:rsidRPr="00943C63">
        <w:t>international</w:t>
      </w:r>
      <w:r>
        <w:t xml:space="preserve"> </w:t>
      </w:r>
      <w:r w:rsidRPr="00943C63">
        <w:t>emissions</w:t>
      </w:r>
      <w:r>
        <w:t xml:space="preserve"> </w:t>
      </w:r>
      <w:r w:rsidRPr="00943C63">
        <w:t>markets</w:t>
      </w:r>
      <w:r>
        <w:t xml:space="preserve"> </w:t>
      </w:r>
      <w:r w:rsidRPr="00943C63">
        <w:t>with</w:t>
      </w:r>
      <w:r>
        <w:t xml:space="preserve"> </w:t>
      </w:r>
      <w:r w:rsidRPr="00943C63">
        <w:t>strong</w:t>
      </w:r>
      <w:r>
        <w:t xml:space="preserve"> </w:t>
      </w:r>
      <w:r w:rsidRPr="00943C63">
        <w:t>environmental</w:t>
      </w:r>
      <w:r>
        <w:t xml:space="preserve"> </w:t>
      </w:r>
      <w:r w:rsidRPr="00943C63">
        <w:t>integrity</w:t>
      </w:r>
      <w:r>
        <w:t xml:space="preserve"> so that it can access offshore mitigation</w:t>
      </w:r>
      <w:r w:rsidRPr="00943C63">
        <w:t>.</w:t>
      </w:r>
      <w:r>
        <w:t xml:space="preserve"> </w:t>
      </w:r>
    </w:p>
    <w:p w14:paraId="2064CEF9" w14:textId="77777777" w:rsidR="00F03A47" w:rsidRPr="00943C63" w:rsidRDefault="00F03A47" w:rsidP="00F03A47">
      <w:r w:rsidRPr="00943C63">
        <w:t>The</w:t>
      </w:r>
      <w:r>
        <w:t xml:space="preserve"> </w:t>
      </w:r>
      <w:r w:rsidRPr="00943C63">
        <w:t>landscape</w:t>
      </w:r>
      <w:r>
        <w:t xml:space="preserve"> </w:t>
      </w:r>
      <w:r w:rsidRPr="00943C63">
        <w:t>for</w:t>
      </w:r>
      <w:r>
        <w:t xml:space="preserve"> </w:t>
      </w:r>
      <w:r w:rsidRPr="00943C63">
        <w:t>international</w:t>
      </w:r>
      <w:r>
        <w:t xml:space="preserve"> </w:t>
      </w:r>
      <w:r w:rsidRPr="00943C63">
        <w:t>emissions</w:t>
      </w:r>
      <w:r>
        <w:t xml:space="preserve"> </w:t>
      </w:r>
      <w:r w:rsidRPr="00943C63">
        <w:t>markets</w:t>
      </w:r>
      <w:r>
        <w:t xml:space="preserve"> </w:t>
      </w:r>
      <w:r w:rsidRPr="00943C63">
        <w:t>has</w:t>
      </w:r>
      <w:r>
        <w:t xml:space="preserve"> </w:t>
      </w:r>
      <w:r w:rsidRPr="00943C63">
        <w:t>substantially</w:t>
      </w:r>
      <w:r>
        <w:t xml:space="preserve"> </w:t>
      </w:r>
      <w:r w:rsidRPr="00943C63">
        <w:t>changed</w:t>
      </w:r>
      <w:r>
        <w:t xml:space="preserve"> </w:t>
      </w:r>
      <w:r w:rsidRPr="00943C63">
        <w:t>from</w:t>
      </w:r>
      <w:r>
        <w:t xml:space="preserve"> </w:t>
      </w:r>
      <w:r w:rsidRPr="00943C63">
        <w:t>when</w:t>
      </w:r>
      <w:r>
        <w:t xml:space="preserve"> </w:t>
      </w:r>
      <w:r w:rsidRPr="00943C63">
        <w:t>Aotearoa</w:t>
      </w:r>
      <w:r>
        <w:t xml:space="preserve"> </w:t>
      </w:r>
      <w:r w:rsidRPr="00943C63">
        <w:t>last</w:t>
      </w:r>
      <w:r>
        <w:t xml:space="preserve"> </w:t>
      </w:r>
      <w:r w:rsidRPr="00943C63">
        <w:t>participated</w:t>
      </w:r>
      <w:r>
        <w:t xml:space="preserve"> </w:t>
      </w:r>
      <w:r w:rsidRPr="00943C63">
        <w:t>in</w:t>
      </w:r>
      <w:r>
        <w:t xml:space="preserve"> </w:t>
      </w:r>
      <w:r w:rsidRPr="00943C63">
        <w:t>these</w:t>
      </w:r>
      <w:r>
        <w:t xml:space="preserve"> </w:t>
      </w:r>
      <w:r w:rsidRPr="00943C63">
        <w:t>markets</w:t>
      </w:r>
      <w:r>
        <w:t xml:space="preserve"> </w:t>
      </w:r>
      <w:r w:rsidRPr="00943C63">
        <w:t>prior</w:t>
      </w:r>
      <w:r>
        <w:t xml:space="preserve"> </w:t>
      </w:r>
      <w:r w:rsidRPr="00943C63">
        <w:t>to</w:t>
      </w:r>
      <w:r>
        <w:t xml:space="preserve"> </w:t>
      </w:r>
      <w:r w:rsidRPr="00943C63">
        <w:t>2015.</w:t>
      </w:r>
      <w:r>
        <w:t xml:space="preserve"> Currently t</w:t>
      </w:r>
      <w:r w:rsidRPr="00943C63">
        <w:t>here</w:t>
      </w:r>
      <w:r>
        <w:t xml:space="preserve"> </w:t>
      </w:r>
      <w:r w:rsidRPr="00943C63">
        <w:t>is</w:t>
      </w:r>
      <w:r>
        <w:t xml:space="preserve"> </w:t>
      </w:r>
      <w:r w:rsidRPr="00943C63">
        <w:t>no</w:t>
      </w:r>
      <w:r>
        <w:t xml:space="preserve"> </w:t>
      </w:r>
      <w:r w:rsidRPr="00943C63">
        <w:t>centralised</w:t>
      </w:r>
      <w:r>
        <w:t xml:space="preserve"> </w:t>
      </w:r>
      <w:r w:rsidRPr="00943C63">
        <w:t>UN-overseen</w:t>
      </w:r>
      <w:r>
        <w:t xml:space="preserve"> </w:t>
      </w:r>
      <w:r w:rsidRPr="00943C63">
        <w:t>market</w:t>
      </w:r>
      <w:r>
        <w:t xml:space="preserve"> </w:t>
      </w:r>
      <w:r w:rsidRPr="00943C63">
        <w:t>that</w:t>
      </w:r>
      <w:r>
        <w:t xml:space="preserve"> </w:t>
      </w:r>
      <w:r w:rsidRPr="00943C63">
        <w:t>Aotearoa</w:t>
      </w:r>
      <w:r>
        <w:t xml:space="preserve"> </w:t>
      </w:r>
      <w:r w:rsidRPr="00943C63">
        <w:t>can</w:t>
      </w:r>
      <w:r>
        <w:t xml:space="preserve"> </w:t>
      </w:r>
      <w:r w:rsidRPr="00943C63">
        <w:t>easily</w:t>
      </w:r>
      <w:r>
        <w:t xml:space="preserve"> </w:t>
      </w:r>
      <w:r w:rsidRPr="00943C63">
        <w:t>access</w:t>
      </w:r>
      <w:r>
        <w:t xml:space="preserve">, </w:t>
      </w:r>
      <w:r w:rsidRPr="00943C63">
        <w:t>although</w:t>
      </w:r>
      <w:r>
        <w:t xml:space="preserve"> </w:t>
      </w:r>
      <w:r w:rsidRPr="00943C63">
        <w:t>negotiations</w:t>
      </w:r>
      <w:r>
        <w:t xml:space="preserve"> are continuing in </w:t>
      </w:r>
      <w:r w:rsidRPr="00943C63">
        <w:t>this</w:t>
      </w:r>
      <w:r>
        <w:t xml:space="preserve"> area</w:t>
      </w:r>
      <w:r w:rsidRPr="00943C63">
        <w:t>.</w:t>
      </w:r>
      <w:r>
        <w:t xml:space="preserve"> </w:t>
      </w:r>
      <w:r w:rsidRPr="00943C63">
        <w:t>In</w:t>
      </w:r>
      <w:r>
        <w:t xml:space="preserve"> </w:t>
      </w:r>
      <w:r w:rsidRPr="00943C63">
        <w:t>the</w:t>
      </w:r>
      <w:r>
        <w:t xml:space="preserve"> </w:t>
      </w:r>
      <w:r w:rsidRPr="00943C63">
        <w:t>meantime,</w:t>
      </w:r>
      <w:r>
        <w:t xml:space="preserve"> </w:t>
      </w:r>
      <w:r w:rsidRPr="00943C63">
        <w:t>it</w:t>
      </w:r>
      <w:r>
        <w:t xml:space="preserve"> is </w:t>
      </w:r>
      <w:r w:rsidRPr="00943C63">
        <w:t>incumbent</w:t>
      </w:r>
      <w:r>
        <w:t xml:space="preserve"> </w:t>
      </w:r>
      <w:r w:rsidRPr="00943C63">
        <w:t>on</w:t>
      </w:r>
      <w:r>
        <w:t xml:space="preserve"> </w:t>
      </w:r>
      <w:r w:rsidRPr="00943C63">
        <w:t>individual</w:t>
      </w:r>
      <w:r>
        <w:t xml:space="preserve"> </w:t>
      </w:r>
      <w:r w:rsidRPr="00943C63">
        <w:t>countries</w:t>
      </w:r>
      <w:r>
        <w:t xml:space="preserve"> </w:t>
      </w:r>
      <w:r w:rsidRPr="00943C63">
        <w:t>to</w:t>
      </w:r>
      <w:r>
        <w:t xml:space="preserve"> </w:t>
      </w:r>
      <w:r w:rsidRPr="00943C63">
        <w:t>negotiate</w:t>
      </w:r>
      <w:r>
        <w:t xml:space="preserve"> </w:t>
      </w:r>
      <w:r w:rsidRPr="00943C63">
        <w:t>market</w:t>
      </w:r>
      <w:r>
        <w:t xml:space="preserve"> </w:t>
      </w:r>
      <w:r w:rsidRPr="00943C63">
        <w:t>arrangements</w:t>
      </w:r>
      <w:r>
        <w:t xml:space="preserve"> </w:t>
      </w:r>
      <w:r w:rsidRPr="00943C63">
        <w:t>with</w:t>
      </w:r>
      <w:r>
        <w:t xml:space="preserve"> </w:t>
      </w:r>
      <w:r w:rsidRPr="00943C63">
        <w:t>each</w:t>
      </w:r>
      <w:r>
        <w:t xml:space="preserve"> </w:t>
      </w:r>
      <w:r w:rsidRPr="00943C63">
        <w:t>other.</w:t>
      </w:r>
      <w:r>
        <w:t xml:space="preserve"> Some countries are already making progress – Switzerland, in particular, has already signed agreements to cooperate on reducing emissions with two partner countries. </w:t>
      </w:r>
    </w:p>
    <w:p w14:paraId="5664F641" w14:textId="77777777" w:rsidR="00F03A47" w:rsidRPr="00943C63" w:rsidRDefault="00F03A47" w:rsidP="00F03A47">
      <w:r w:rsidRPr="00943C63">
        <w:lastRenderedPageBreak/>
        <w:t>The</w:t>
      </w:r>
      <w:r>
        <w:t xml:space="preserve"> </w:t>
      </w:r>
      <w:r w:rsidRPr="00943C63">
        <w:t>Government</w:t>
      </w:r>
      <w:r>
        <w:t xml:space="preserve"> </w:t>
      </w:r>
      <w:r w:rsidRPr="00943C63">
        <w:t>has</w:t>
      </w:r>
      <w:r>
        <w:t xml:space="preserve"> </w:t>
      </w:r>
      <w:r w:rsidRPr="00943C63">
        <w:t>signalled</w:t>
      </w:r>
      <w:r>
        <w:t xml:space="preserve"> </w:t>
      </w:r>
      <w:r w:rsidRPr="00943C63">
        <w:t>it</w:t>
      </w:r>
      <w:r>
        <w:t xml:space="preserve"> </w:t>
      </w:r>
      <w:r w:rsidRPr="00943C63">
        <w:t>will</w:t>
      </w:r>
      <w:r>
        <w:t xml:space="preserve"> </w:t>
      </w:r>
      <w:r w:rsidRPr="00943C63">
        <w:t>hold</w:t>
      </w:r>
      <w:r>
        <w:t xml:space="preserve"> </w:t>
      </w:r>
      <w:r w:rsidRPr="00943C63">
        <w:t>itself</w:t>
      </w:r>
      <w:r>
        <w:t xml:space="preserve"> </w:t>
      </w:r>
      <w:r w:rsidRPr="00943C63">
        <w:t>to</w:t>
      </w:r>
      <w:r>
        <w:t xml:space="preserve"> </w:t>
      </w:r>
      <w:r w:rsidRPr="00943C63">
        <w:t>high</w:t>
      </w:r>
      <w:r>
        <w:t xml:space="preserve"> </w:t>
      </w:r>
      <w:r w:rsidRPr="00943C63">
        <w:t>standards</w:t>
      </w:r>
      <w:r>
        <w:t xml:space="preserve"> </w:t>
      </w:r>
      <w:r w:rsidRPr="00943C63">
        <w:t>of</w:t>
      </w:r>
      <w:r>
        <w:t xml:space="preserve"> </w:t>
      </w:r>
      <w:r w:rsidRPr="00943C63">
        <w:t>environmental</w:t>
      </w:r>
      <w:r>
        <w:t xml:space="preserve"> </w:t>
      </w:r>
      <w:r w:rsidRPr="00943C63">
        <w:t>integrity</w:t>
      </w:r>
      <w:r>
        <w:t xml:space="preserve"> </w:t>
      </w:r>
      <w:r w:rsidRPr="00943C63">
        <w:t>in</w:t>
      </w:r>
      <w:r>
        <w:t xml:space="preserve"> </w:t>
      </w:r>
      <w:r w:rsidRPr="00943C63">
        <w:t>the</w:t>
      </w:r>
      <w:r>
        <w:t xml:space="preserve"> </w:t>
      </w:r>
      <w:r w:rsidRPr="00943C63">
        <w:t>offshore</w:t>
      </w:r>
      <w:r>
        <w:t xml:space="preserve"> </w:t>
      </w:r>
      <w:r w:rsidRPr="00943C63">
        <w:t>mitigation</w:t>
      </w:r>
      <w:r>
        <w:t xml:space="preserve"> </w:t>
      </w:r>
      <w:r w:rsidRPr="00943C63">
        <w:t>it</w:t>
      </w:r>
      <w:r>
        <w:t xml:space="preserve"> </w:t>
      </w:r>
      <w:r w:rsidRPr="00943C63">
        <w:t>applies</w:t>
      </w:r>
      <w:r>
        <w:t xml:space="preserve"> </w:t>
      </w:r>
      <w:r w:rsidRPr="00943C63">
        <w:t>to</w:t>
      </w:r>
      <w:r>
        <w:t xml:space="preserve"> </w:t>
      </w:r>
      <w:r w:rsidRPr="00943C63">
        <w:t>the</w:t>
      </w:r>
      <w:r>
        <w:t xml:space="preserve"> </w:t>
      </w:r>
      <w:r w:rsidRPr="00943C63">
        <w:t>NDC. It</w:t>
      </w:r>
      <w:r>
        <w:t xml:space="preserve"> is</w:t>
      </w:r>
      <w:r w:rsidDel="006219B6">
        <w:t xml:space="preserve"> </w:t>
      </w:r>
      <w:r w:rsidRPr="00943C63">
        <w:t>of</w:t>
      </w:r>
      <w:r>
        <w:t xml:space="preserve"> </w:t>
      </w:r>
      <w:r w:rsidRPr="00943C63">
        <w:t>critical</w:t>
      </w:r>
      <w:r>
        <w:t xml:space="preserve"> </w:t>
      </w:r>
      <w:r w:rsidRPr="00943C63">
        <w:t>importance</w:t>
      </w:r>
      <w:r>
        <w:t xml:space="preserve"> </w:t>
      </w:r>
      <w:r w:rsidRPr="00943C63">
        <w:t>that</w:t>
      </w:r>
      <w:r>
        <w:t xml:space="preserve"> </w:t>
      </w:r>
      <w:r w:rsidRPr="00943C63">
        <w:t>the</w:t>
      </w:r>
      <w:r>
        <w:t xml:space="preserve"> </w:t>
      </w:r>
      <w:r w:rsidRPr="00943C63">
        <w:t>Government</w:t>
      </w:r>
      <w:r>
        <w:t xml:space="preserve"> </w:t>
      </w:r>
      <w:r w:rsidRPr="00943C63">
        <w:t>follows</w:t>
      </w:r>
      <w:r>
        <w:t xml:space="preserve"> </w:t>
      </w:r>
      <w:r w:rsidRPr="00943C63">
        <w:t>through</w:t>
      </w:r>
      <w:r>
        <w:t xml:space="preserve"> </w:t>
      </w:r>
      <w:r w:rsidRPr="00943C63">
        <w:t>on</w:t>
      </w:r>
      <w:r>
        <w:t xml:space="preserve"> </w:t>
      </w:r>
      <w:r w:rsidRPr="00943C63">
        <w:t>this</w:t>
      </w:r>
      <w:r>
        <w:t xml:space="preserve"> </w:t>
      </w:r>
      <w:r w:rsidRPr="00943C63">
        <w:t>intent.</w:t>
      </w:r>
      <w:r>
        <w:t xml:space="preserve"> </w:t>
      </w:r>
    </w:p>
    <w:p w14:paraId="7A48069C" w14:textId="77777777" w:rsidR="00F03A47" w:rsidRDefault="00F03A47" w:rsidP="00F03A47">
      <w:pPr>
        <w:rPr>
          <w:rFonts w:cstheme="minorHAnsi"/>
        </w:rPr>
      </w:pPr>
      <w:r w:rsidRPr="000C7722">
        <w:rPr>
          <w:rFonts w:cstheme="minorHAnsi"/>
        </w:rPr>
        <w:t>The need for offshore mitigation to meet the NDC also raises the question of how the purchasing will be paid for and managed. Th</w:t>
      </w:r>
      <w:r>
        <w:rPr>
          <w:rFonts w:cstheme="minorHAnsi"/>
        </w:rPr>
        <w:t xml:space="preserve">e purchasing could be undertaken </w:t>
      </w:r>
      <w:r w:rsidRPr="000C7722">
        <w:rPr>
          <w:rFonts w:cstheme="minorHAnsi"/>
        </w:rPr>
        <w:t>by the government or by emitters and will depend in part on how Aotearoa secures access to international emissions markets.</w:t>
      </w:r>
    </w:p>
    <w:p w14:paraId="38327733" w14:textId="76270049" w:rsidR="00F03A47" w:rsidRPr="00943C63" w:rsidRDefault="00F03A47" w:rsidP="00F03A47">
      <w:r w:rsidRPr="000C7722">
        <w:rPr>
          <w:rStyle w:val="normaltextrun"/>
          <w:rFonts w:cstheme="minorHAnsi"/>
        </w:rPr>
        <w:t xml:space="preserve">Either way, it should be managed so that does not undermine the </w:t>
      </w:r>
      <w:r w:rsidRPr="00934BC2">
        <w:rPr>
          <w:rStyle w:val="normaltextrun"/>
          <w:rFonts w:cstheme="minorHAnsi"/>
        </w:rPr>
        <w:t xml:space="preserve">NZ </w:t>
      </w:r>
      <w:r w:rsidRPr="000C7722">
        <w:rPr>
          <w:rStyle w:val="normaltextrun"/>
          <w:rFonts w:cstheme="minorHAnsi"/>
        </w:rPr>
        <w:t>ETS price signal which needs to remain at a level that helps drive the domestic action needed for low emissions transition.</w:t>
      </w:r>
      <w:r w:rsidRPr="00FC0820">
        <w:rPr>
          <w:rStyle w:val="normaltextrun"/>
          <w:rFonts w:cstheme="minorHAnsi"/>
        </w:rPr>
        <w:t xml:space="preserve"> </w:t>
      </w:r>
    </w:p>
    <w:p w14:paraId="0313A1FE" w14:textId="77777777" w:rsidR="00F03A47" w:rsidRPr="00943C63" w:rsidRDefault="00F03A47" w:rsidP="00F03A47">
      <w:pPr>
        <w:pStyle w:val="Heading3"/>
      </w:pPr>
      <w:bookmarkStart w:id="356" w:name="_Toc62052796"/>
      <w:bookmarkStart w:id="357" w:name="_Toc62649414"/>
      <w:bookmarkStart w:id="358" w:name="_Toc62650355"/>
      <w:r>
        <w:t>8.12.2 A</w:t>
      </w:r>
      <w:r w:rsidRPr="00406374">
        <w:rPr>
          <w:rStyle w:val="Heading3Char"/>
        </w:rPr>
        <w:t>ccountability and reporting on the NDC</w:t>
      </w:r>
      <w:bookmarkEnd w:id="356"/>
      <w:bookmarkEnd w:id="357"/>
      <w:bookmarkEnd w:id="358"/>
    </w:p>
    <w:p w14:paraId="233A452C" w14:textId="77777777" w:rsidR="00F03A47" w:rsidRDefault="00F03A47" w:rsidP="00F03A47">
      <w:r>
        <w:t xml:space="preserve">The credibility of the NDC relies on the Government showing its intent to achieve both the domestic and international emissions reductions to meet it. Emissions budgets and the </w:t>
      </w:r>
      <w:r w:rsidRPr="00934BC2">
        <w:t>emissions</w:t>
      </w:r>
      <w:r>
        <w:t xml:space="preserve"> reduction plan will fulfil the former, but it is not yet clear how the Government will deliver on the latter. </w:t>
      </w:r>
    </w:p>
    <w:p w14:paraId="0D7C6FCC" w14:textId="77777777" w:rsidR="00F03A47" w:rsidRDefault="00F03A47" w:rsidP="00F03A47">
      <w:r>
        <w:t xml:space="preserve">This raises concerns that the Government may </w:t>
      </w:r>
      <w:r w:rsidRPr="00943C63">
        <w:t>fail</w:t>
      </w:r>
      <w:r>
        <w:t xml:space="preserve"> </w:t>
      </w:r>
      <w:r w:rsidRPr="00943C63">
        <w:t>to</w:t>
      </w:r>
      <w:r>
        <w:t xml:space="preserve"> </w:t>
      </w:r>
      <w:r w:rsidRPr="00943C63">
        <w:t>adequately</w:t>
      </w:r>
      <w:r>
        <w:t xml:space="preserve"> </w:t>
      </w:r>
      <w:r w:rsidRPr="00943C63">
        <w:t>plan</w:t>
      </w:r>
      <w:r>
        <w:t xml:space="preserve"> </w:t>
      </w:r>
      <w:r w:rsidRPr="00943C63">
        <w:t>for</w:t>
      </w:r>
      <w:r>
        <w:t xml:space="preserve"> </w:t>
      </w:r>
      <w:r w:rsidRPr="00943C63">
        <w:t>obtaining</w:t>
      </w:r>
      <w:r>
        <w:t xml:space="preserve"> </w:t>
      </w:r>
      <w:r w:rsidRPr="00943C63">
        <w:t>offshore</w:t>
      </w:r>
      <w:r>
        <w:t xml:space="preserve"> </w:t>
      </w:r>
      <w:r w:rsidRPr="00943C63">
        <w:t>mitigation</w:t>
      </w:r>
      <w:r>
        <w:t xml:space="preserve">, adding </w:t>
      </w:r>
      <w:r w:rsidRPr="00943C63">
        <w:t>to</w:t>
      </w:r>
      <w:r>
        <w:t xml:space="preserve"> </w:t>
      </w:r>
      <w:r w:rsidRPr="00943C63">
        <w:t>regulatory</w:t>
      </w:r>
      <w:r>
        <w:t xml:space="preserve"> </w:t>
      </w:r>
      <w:r w:rsidRPr="00943C63">
        <w:t>uncertainty</w:t>
      </w:r>
      <w:r>
        <w:t xml:space="preserve"> </w:t>
      </w:r>
      <w:r w:rsidRPr="00943C63">
        <w:t>and</w:t>
      </w:r>
      <w:r>
        <w:t xml:space="preserve"> </w:t>
      </w:r>
      <w:r w:rsidRPr="00943C63">
        <w:t>increas</w:t>
      </w:r>
      <w:r>
        <w:t xml:space="preserve">ing </w:t>
      </w:r>
      <w:r w:rsidRPr="00943C63">
        <w:t>the</w:t>
      </w:r>
      <w:r>
        <w:t xml:space="preserve"> </w:t>
      </w:r>
      <w:r w:rsidRPr="00943C63">
        <w:t>risk</w:t>
      </w:r>
      <w:r>
        <w:t xml:space="preserve"> that </w:t>
      </w:r>
      <w:r w:rsidRPr="00943C63">
        <w:t>a</w:t>
      </w:r>
      <w:r>
        <w:t xml:space="preserve"> </w:t>
      </w:r>
      <w:r w:rsidRPr="00943C63">
        <w:t>potentially</w:t>
      </w:r>
      <w:r>
        <w:t xml:space="preserve"> </w:t>
      </w:r>
      <w:r w:rsidRPr="00943C63">
        <w:t>large</w:t>
      </w:r>
      <w:r>
        <w:t xml:space="preserve"> </w:t>
      </w:r>
      <w:r w:rsidRPr="00943C63">
        <w:t>amount</w:t>
      </w:r>
      <w:r>
        <w:t xml:space="preserve"> </w:t>
      </w:r>
      <w:r w:rsidRPr="00943C63">
        <w:t>of</w:t>
      </w:r>
      <w:r>
        <w:t xml:space="preserve"> </w:t>
      </w:r>
      <w:r w:rsidRPr="00943C63">
        <w:t>offshore</w:t>
      </w:r>
      <w:r>
        <w:t xml:space="preserve"> </w:t>
      </w:r>
      <w:r w:rsidRPr="00943C63">
        <w:t>mitigation</w:t>
      </w:r>
      <w:r>
        <w:t xml:space="preserve"> will </w:t>
      </w:r>
      <w:r w:rsidRPr="00943C63">
        <w:t>need</w:t>
      </w:r>
      <w:r>
        <w:t xml:space="preserve"> </w:t>
      </w:r>
      <w:r w:rsidRPr="00943C63">
        <w:t>to</w:t>
      </w:r>
      <w:r>
        <w:t xml:space="preserve"> </w:t>
      </w:r>
      <w:r w:rsidRPr="00943C63">
        <w:t>be</w:t>
      </w:r>
      <w:r>
        <w:t xml:space="preserve"> </w:t>
      </w:r>
      <w:r w:rsidRPr="00943C63">
        <w:t>purchased</w:t>
      </w:r>
      <w:r>
        <w:t xml:space="preserve"> </w:t>
      </w:r>
      <w:r w:rsidRPr="00943C63">
        <w:t>towards</w:t>
      </w:r>
      <w:r>
        <w:t xml:space="preserve"> </w:t>
      </w:r>
      <w:r w:rsidRPr="00943C63">
        <w:t>the</w:t>
      </w:r>
      <w:r>
        <w:t xml:space="preserve"> </w:t>
      </w:r>
      <w:r w:rsidRPr="00943C63">
        <w:t>end</w:t>
      </w:r>
      <w:r>
        <w:t xml:space="preserve"> </w:t>
      </w:r>
      <w:r w:rsidRPr="00943C63">
        <w:t>rather</w:t>
      </w:r>
      <w:r>
        <w:t xml:space="preserve"> </w:t>
      </w:r>
      <w:r w:rsidRPr="00943C63">
        <w:t>than</w:t>
      </w:r>
      <w:r>
        <w:t xml:space="preserve"> </w:t>
      </w:r>
      <w:r w:rsidRPr="00943C63">
        <w:t>spread</w:t>
      </w:r>
      <w:r>
        <w:t xml:space="preserve"> </w:t>
      </w:r>
      <w:r w:rsidRPr="00943C63">
        <w:t>across</w:t>
      </w:r>
      <w:r>
        <w:t xml:space="preserve"> </w:t>
      </w:r>
      <w:r w:rsidRPr="00943C63">
        <w:t>the</w:t>
      </w:r>
      <w:r>
        <w:t xml:space="preserve"> </w:t>
      </w:r>
      <w:r w:rsidRPr="00943C63">
        <w:t>entire</w:t>
      </w:r>
      <w:r>
        <w:t xml:space="preserve"> </w:t>
      </w:r>
      <w:r w:rsidRPr="00943C63">
        <w:t>target</w:t>
      </w:r>
      <w:r>
        <w:t xml:space="preserve"> </w:t>
      </w:r>
      <w:r w:rsidRPr="00943C63">
        <w:t>period.</w:t>
      </w:r>
      <w:r>
        <w:t xml:space="preserve"> </w:t>
      </w:r>
      <w:r w:rsidRPr="00943C63">
        <w:t>This</w:t>
      </w:r>
      <w:r>
        <w:t xml:space="preserve"> </w:t>
      </w:r>
      <w:r w:rsidRPr="00943C63">
        <w:t>in</w:t>
      </w:r>
      <w:r>
        <w:t xml:space="preserve"> </w:t>
      </w:r>
      <w:r w:rsidRPr="00943C63">
        <w:t>turn</w:t>
      </w:r>
      <w:r>
        <w:t xml:space="preserve"> </w:t>
      </w:r>
      <w:r w:rsidRPr="00943C63">
        <w:t>increases</w:t>
      </w:r>
      <w:r>
        <w:t xml:space="preserve"> </w:t>
      </w:r>
      <w:r w:rsidRPr="00943C63">
        <w:t>the</w:t>
      </w:r>
      <w:r>
        <w:t xml:space="preserve"> </w:t>
      </w:r>
      <w:r w:rsidRPr="00943C63">
        <w:t>chance</w:t>
      </w:r>
      <w:r>
        <w:t xml:space="preserve"> </w:t>
      </w:r>
      <w:r w:rsidRPr="00943C63">
        <w:t>that</w:t>
      </w:r>
      <w:r>
        <w:t xml:space="preserve"> </w:t>
      </w:r>
      <w:r w:rsidRPr="00943C63">
        <w:t>the</w:t>
      </w:r>
      <w:r>
        <w:t xml:space="preserve"> </w:t>
      </w:r>
      <w:r w:rsidRPr="00943C63">
        <w:t>NDC</w:t>
      </w:r>
      <w:r>
        <w:t xml:space="preserve"> </w:t>
      </w:r>
      <w:r w:rsidRPr="00943C63">
        <w:t>may</w:t>
      </w:r>
      <w:r>
        <w:t xml:space="preserve"> </w:t>
      </w:r>
      <w:r w:rsidRPr="00943C63">
        <w:t>not</w:t>
      </w:r>
      <w:r>
        <w:t xml:space="preserve"> </w:t>
      </w:r>
      <w:r w:rsidRPr="00943C63">
        <w:t>be</w:t>
      </w:r>
      <w:r>
        <w:t xml:space="preserve"> </w:t>
      </w:r>
      <w:r w:rsidRPr="00943C63">
        <w:t>achieved.</w:t>
      </w:r>
    </w:p>
    <w:p w14:paraId="79D9A22C" w14:textId="1BE9A039" w:rsidR="00F03A47" w:rsidRDefault="00F03A47" w:rsidP="00F03A47">
      <w:r w:rsidRPr="00943C63">
        <w:t>The</w:t>
      </w:r>
      <w:r>
        <w:t xml:space="preserve"> G</w:t>
      </w:r>
      <w:r w:rsidRPr="00943C63">
        <w:t>overnment</w:t>
      </w:r>
      <w:r>
        <w:t xml:space="preserve"> should </w:t>
      </w:r>
      <w:r w:rsidRPr="00943C63">
        <w:t>develop</w:t>
      </w:r>
      <w:r>
        <w:t xml:space="preserve"> </w:t>
      </w:r>
      <w:r w:rsidRPr="00943C63">
        <w:t>a</w:t>
      </w:r>
      <w:r>
        <w:t xml:space="preserve"> </w:t>
      </w:r>
      <w:r w:rsidRPr="00943C63">
        <w:t>plan</w:t>
      </w:r>
      <w:r>
        <w:t xml:space="preserve"> </w:t>
      </w:r>
      <w:r w:rsidRPr="00943C63">
        <w:t>for</w:t>
      </w:r>
      <w:r>
        <w:t xml:space="preserve"> </w:t>
      </w:r>
      <w:r w:rsidRPr="00943C63">
        <w:t>how</w:t>
      </w:r>
      <w:r>
        <w:t xml:space="preserve"> </w:t>
      </w:r>
      <w:r w:rsidRPr="00943C63">
        <w:t>it</w:t>
      </w:r>
      <w:r>
        <w:t xml:space="preserve"> </w:t>
      </w:r>
      <w:r w:rsidRPr="00943C63">
        <w:t>will</w:t>
      </w:r>
      <w:r>
        <w:t xml:space="preserve"> </w:t>
      </w:r>
      <w:r w:rsidRPr="00943C63">
        <w:t>access</w:t>
      </w:r>
      <w:r>
        <w:t xml:space="preserve"> </w:t>
      </w:r>
      <w:r w:rsidRPr="00943C63">
        <w:t>and</w:t>
      </w:r>
      <w:r>
        <w:t xml:space="preserve"> </w:t>
      </w:r>
      <w:r w:rsidRPr="00943C63">
        <w:t>purchase</w:t>
      </w:r>
      <w:r>
        <w:t xml:space="preserve"> </w:t>
      </w:r>
      <w:r w:rsidRPr="00943C63">
        <w:t>offshore</w:t>
      </w:r>
      <w:r>
        <w:t xml:space="preserve"> </w:t>
      </w:r>
      <w:r w:rsidRPr="00943C63">
        <w:t>mitigation</w:t>
      </w:r>
      <w:r>
        <w:t xml:space="preserve"> </w:t>
      </w:r>
      <w:r w:rsidRPr="00943C63">
        <w:t>and</w:t>
      </w:r>
      <w:r>
        <w:t xml:space="preserve"> </w:t>
      </w:r>
      <w:r w:rsidRPr="00943C63">
        <w:t>take</w:t>
      </w:r>
      <w:r>
        <w:t xml:space="preserve"> </w:t>
      </w:r>
      <w:r w:rsidRPr="00943C63">
        <w:t>steps</w:t>
      </w:r>
      <w:r>
        <w:t xml:space="preserve"> </w:t>
      </w:r>
      <w:r w:rsidRPr="00943C63">
        <w:t>to</w:t>
      </w:r>
      <w:r>
        <w:t xml:space="preserve"> </w:t>
      </w:r>
      <w:r w:rsidRPr="00943C63">
        <w:t>implement</w:t>
      </w:r>
      <w:r>
        <w:t xml:space="preserve"> </w:t>
      </w:r>
      <w:r w:rsidRPr="00943C63">
        <w:t>it.</w:t>
      </w:r>
      <w:r>
        <w:t xml:space="preserve"> </w:t>
      </w:r>
      <w:r w:rsidRPr="00943C63">
        <w:t>This</w:t>
      </w:r>
      <w:r>
        <w:t xml:space="preserve"> </w:t>
      </w:r>
      <w:r w:rsidRPr="00943C63">
        <w:t>will</w:t>
      </w:r>
      <w:r>
        <w:t xml:space="preserve"> </w:t>
      </w:r>
      <w:r w:rsidRPr="00943C63">
        <w:t>demonstrate</w:t>
      </w:r>
      <w:r>
        <w:t xml:space="preserve"> </w:t>
      </w:r>
      <w:r w:rsidRPr="00943C63">
        <w:t>a</w:t>
      </w:r>
      <w:r>
        <w:t xml:space="preserve"> </w:t>
      </w:r>
      <w:r w:rsidRPr="00943C63">
        <w:t>credible</w:t>
      </w:r>
      <w:r>
        <w:t xml:space="preserve"> </w:t>
      </w:r>
      <w:r w:rsidRPr="00943C63">
        <w:t>commitment</w:t>
      </w:r>
      <w:r>
        <w:t xml:space="preserve"> </w:t>
      </w:r>
      <w:r w:rsidRPr="00943C63">
        <w:t>to</w:t>
      </w:r>
      <w:r>
        <w:t xml:space="preserve"> </w:t>
      </w:r>
      <w:r w:rsidRPr="00943C63">
        <w:t>meeting</w:t>
      </w:r>
      <w:r>
        <w:t xml:space="preserve"> </w:t>
      </w:r>
      <w:r w:rsidRPr="00943C63">
        <w:t>the</w:t>
      </w:r>
      <w:r>
        <w:t xml:space="preserve"> </w:t>
      </w:r>
      <w:r w:rsidRPr="00943C63">
        <w:t>NDC</w:t>
      </w:r>
      <w:r>
        <w:t xml:space="preserve"> </w:t>
      </w:r>
      <w:r w:rsidRPr="00943C63">
        <w:t>both</w:t>
      </w:r>
      <w:r>
        <w:t xml:space="preserve"> </w:t>
      </w:r>
      <w:r w:rsidRPr="00943C63">
        <w:t>domestically</w:t>
      </w:r>
      <w:r>
        <w:t xml:space="preserve"> </w:t>
      </w:r>
      <w:r w:rsidRPr="00943C63">
        <w:t>and</w:t>
      </w:r>
      <w:r>
        <w:t xml:space="preserve"> </w:t>
      </w:r>
      <w:r w:rsidRPr="00943C63">
        <w:t>to</w:t>
      </w:r>
      <w:r>
        <w:t xml:space="preserve"> </w:t>
      </w:r>
      <w:r w:rsidRPr="00943C63">
        <w:t>the</w:t>
      </w:r>
      <w:r>
        <w:t xml:space="preserve"> </w:t>
      </w:r>
      <w:r w:rsidRPr="00943C63">
        <w:t>international</w:t>
      </w:r>
      <w:r>
        <w:t xml:space="preserve"> </w:t>
      </w:r>
      <w:r w:rsidRPr="00943C63">
        <w:t>community.</w:t>
      </w:r>
      <w:r>
        <w:t xml:space="preserve"> It would </w:t>
      </w:r>
      <w:r w:rsidRPr="00943C63">
        <w:t>not</w:t>
      </w:r>
      <w:r>
        <w:t xml:space="preserve"> </w:t>
      </w:r>
      <w:r w:rsidRPr="00943C63">
        <w:t>be</w:t>
      </w:r>
      <w:r>
        <w:t xml:space="preserve"> </w:t>
      </w:r>
      <w:r w:rsidRPr="00943C63">
        <w:t>responsible</w:t>
      </w:r>
      <w:r>
        <w:t xml:space="preserve"> </w:t>
      </w:r>
      <w:r w:rsidRPr="00943C63">
        <w:t>to</w:t>
      </w:r>
      <w:r>
        <w:t xml:space="preserve"> </w:t>
      </w:r>
      <w:r w:rsidRPr="00943C63">
        <w:t>wait</w:t>
      </w:r>
      <w:r>
        <w:t xml:space="preserve"> </w:t>
      </w:r>
      <w:r w:rsidRPr="00943C63">
        <w:t>for</w:t>
      </w:r>
      <w:r>
        <w:t xml:space="preserve"> </w:t>
      </w:r>
      <w:r w:rsidRPr="00943C63">
        <w:t>others</w:t>
      </w:r>
      <w:r>
        <w:t xml:space="preserve"> </w:t>
      </w:r>
      <w:r w:rsidRPr="00943C63">
        <w:t>to</w:t>
      </w:r>
      <w:r>
        <w:t xml:space="preserve"> </w:t>
      </w:r>
      <w:r w:rsidRPr="00943C63">
        <w:t>develop</w:t>
      </w:r>
      <w:r>
        <w:t xml:space="preserve"> </w:t>
      </w:r>
      <w:r w:rsidRPr="00943C63">
        <w:t>the</w:t>
      </w:r>
      <w:r>
        <w:t xml:space="preserve"> </w:t>
      </w:r>
      <w:r w:rsidRPr="00943C63">
        <w:t>markets</w:t>
      </w:r>
      <w:r>
        <w:t xml:space="preserve"> </w:t>
      </w:r>
      <w:r w:rsidRPr="00943C63">
        <w:t>for</w:t>
      </w:r>
      <w:r>
        <w:t xml:space="preserve"> </w:t>
      </w:r>
      <w:r w:rsidRPr="00943C63">
        <w:t>us,</w:t>
      </w:r>
      <w:r>
        <w:t xml:space="preserve"> </w:t>
      </w:r>
      <w:r w:rsidRPr="00943C63">
        <w:t>or</w:t>
      </w:r>
      <w:r>
        <w:t xml:space="preserve"> </w:t>
      </w:r>
      <w:r w:rsidRPr="00943C63">
        <w:t>to</w:t>
      </w:r>
      <w:r>
        <w:t xml:space="preserve"> </w:t>
      </w:r>
      <w:r w:rsidRPr="00943C63">
        <w:t>leave</w:t>
      </w:r>
      <w:r>
        <w:t xml:space="preserve"> </w:t>
      </w:r>
      <w:r w:rsidRPr="00943C63">
        <w:t>this</w:t>
      </w:r>
      <w:r>
        <w:t xml:space="preserve"> </w:t>
      </w:r>
      <w:r w:rsidRPr="00943C63">
        <w:t>until</w:t>
      </w:r>
      <w:r>
        <w:t xml:space="preserve"> </w:t>
      </w:r>
      <w:r w:rsidRPr="00943C63">
        <w:t>the</w:t>
      </w:r>
      <w:r>
        <w:t xml:space="preserve"> </w:t>
      </w:r>
      <w:r w:rsidRPr="00943C63">
        <w:t>late</w:t>
      </w:r>
      <w:r>
        <w:t xml:space="preserve"> </w:t>
      </w:r>
      <w:r w:rsidRPr="00943C63">
        <w:t>2020s</w:t>
      </w:r>
      <w:r>
        <w:t xml:space="preserve"> </w:t>
      </w:r>
      <w:r w:rsidRPr="00943C63">
        <w:t>–</w:t>
      </w:r>
      <w:r>
        <w:t xml:space="preserve"> this </w:t>
      </w:r>
      <w:r w:rsidRPr="00943C63">
        <w:t>work</w:t>
      </w:r>
      <w:r>
        <w:t xml:space="preserve"> </w:t>
      </w:r>
      <w:r w:rsidRPr="00943C63">
        <w:t>need</w:t>
      </w:r>
      <w:r>
        <w:t xml:space="preserve">s </w:t>
      </w:r>
      <w:r w:rsidRPr="00943C63">
        <w:t>to</w:t>
      </w:r>
      <w:r>
        <w:t xml:space="preserve"> </w:t>
      </w:r>
      <w:r w:rsidRPr="00943C63">
        <w:t>start</w:t>
      </w:r>
      <w:r>
        <w:t xml:space="preserve"> </w:t>
      </w:r>
      <w:r w:rsidRPr="00943C63">
        <w:t>now.</w:t>
      </w:r>
      <w:r>
        <w:t xml:space="preserve">  </w:t>
      </w:r>
    </w:p>
    <w:p w14:paraId="2D2F739D" w14:textId="77777777" w:rsidR="00F03A47" w:rsidRDefault="00F03A47" w:rsidP="00F03A47">
      <w:r w:rsidRPr="00943C63">
        <w:t>Internationally,</w:t>
      </w:r>
      <w:r>
        <w:t xml:space="preserve"> Aotearoa </w:t>
      </w:r>
      <w:r w:rsidRPr="00943C63">
        <w:t>will</w:t>
      </w:r>
      <w:r>
        <w:t xml:space="preserve"> </w:t>
      </w:r>
      <w:r w:rsidRPr="00943C63">
        <w:t>be</w:t>
      </w:r>
      <w:r>
        <w:t xml:space="preserve"> </w:t>
      </w:r>
      <w:r w:rsidRPr="00943C63">
        <w:t>held</w:t>
      </w:r>
      <w:r>
        <w:t xml:space="preserve"> </w:t>
      </w:r>
      <w:r w:rsidRPr="00943C63">
        <w:t>to</w:t>
      </w:r>
      <w:r>
        <w:t xml:space="preserve"> </w:t>
      </w:r>
      <w:r w:rsidRPr="00943C63">
        <w:t>account</w:t>
      </w:r>
      <w:r>
        <w:t xml:space="preserve"> </w:t>
      </w:r>
      <w:r w:rsidRPr="00943C63">
        <w:t>for</w:t>
      </w:r>
      <w:r>
        <w:t xml:space="preserve"> </w:t>
      </w:r>
      <w:r w:rsidRPr="00943C63">
        <w:t>the</w:t>
      </w:r>
      <w:r>
        <w:t xml:space="preserve"> </w:t>
      </w:r>
      <w:r w:rsidRPr="00943C63">
        <w:t>NDC</w:t>
      </w:r>
      <w:r>
        <w:t xml:space="preserve"> </w:t>
      </w:r>
      <w:r w:rsidRPr="00943C63">
        <w:t>through</w:t>
      </w:r>
      <w:r>
        <w:t xml:space="preserve"> </w:t>
      </w:r>
      <w:r w:rsidRPr="00943C63">
        <w:t>its</w:t>
      </w:r>
      <w:r>
        <w:t xml:space="preserve"> </w:t>
      </w:r>
      <w:r w:rsidRPr="00943C63">
        <w:t>reporting</w:t>
      </w:r>
      <w:r>
        <w:t xml:space="preserve"> </w:t>
      </w:r>
      <w:r w:rsidRPr="00943C63">
        <w:t>under</w:t>
      </w:r>
      <w:r>
        <w:t xml:space="preserve"> </w:t>
      </w:r>
      <w:r w:rsidRPr="00943C63">
        <w:t>the</w:t>
      </w:r>
      <w:r>
        <w:t xml:space="preserve"> </w:t>
      </w:r>
      <w:r w:rsidRPr="00943C63">
        <w:t>Paris</w:t>
      </w:r>
      <w:r>
        <w:t xml:space="preserve"> </w:t>
      </w:r>
      <w:r w:rsidRPr="00943C63">
        <w:t>Agreement.</w:t>
      </w:r>
      <w:r>
        <w:t xml:space="preserve"> </w:t>
      </w:r>
      <w:r w:rsidRPr="00943C63">
        <w:t>Governments</w:t>
      </w:r>
      <w:r>
        <w:t xml:space="preserve"> </w:t>
      </w:r>
      <w:r w:rsidRPr="00943C63">
        <w:t>must</w:t>
      </w:r>
      <w:r>
        <w:t xml:space="preserve"> </w:t>
      </w:r>
      <w:r w:rsidRPr="00943C63">
        <w:t>communicate</w:t>
      </w:r>
      <w:r>
        <w:t xml:space="preserve"> </w:t>
      </w:r>
      <w:r w:rsidRPr="00943C63">
        <w:t>progress</w:t>
      </w:r>
      <w:r>
        <w:t xml:space="preserve"> </w:t>
      </w:r>
      <w:r w:rsidRPr="00943C63">
        <w:t>towards</w:t>
      </w:r>
      <w:r>
        <w:t xml:space="preserve"> </w:t>
      </w:r>
      <w:r w:rsidRPr="00943C63">
        <w:t>meeting</w:t>
      </w:r>
      <w:r>
        <w:t xml:space="preserve"> </w:t>
      </w:r>
      <w:r w:rsidRPr="00943C63">
        <w:t>NDCs</w:t>
      </w:r>
      <w:r>
        <w:t xml:space="preserve"> </w:t>
      </w:r>
      <w:r w:rsidRPr="00943C63">
        <w:t>every</w:t>
      </w:r>
      <w:r>
        <w:t xml:space="preserve"> </w:t>
      </w:r>
      <w:r w:rsidRPr="00943C63">
        <w:t>two</w:t>
      </w:r>
      <w:r>
        <w:t xml:space="preserve"> </w:t>
      </w:r>
      <w:r w:rsidRPr="00943C63">
        <w:t>years,</w:t>
      </w:r>
      <w:r>
        <w:t xml:space="preserve"> </w:t>
      </w:r>
      <w:r w:rsidRPr="00943C63">
        <w:t>including</w:t>
      </w:r>
      <w:r>
        <w:t xml:space="preserve"> </w:t>
      </w:r>
      <w:r w:rsidRPr="00943C63">
        <w:t>actual</w:t>
      </w:r>
      <w:r>
        <w:t xml:space="preserve"> </w:t>
      </w:r>
      <w:r w:rsidRPr="00943C63">
        <w:t>and</w:t>
      </w:r>
      <w:r>
        <w:t xml:space="preserve"> </w:t>
      </w:r>
      <w:r w:rsidRPr="00943C63">
        <w:t>projected</w:t>
      </w:r>
      <w:r>
        <w:t xml:space="preserve"> </w:t>
      </w:r>
      <w:r w:rsidRPr="00943C63">
        <w:t>emissions</w:t>
      </w:r>
      <w:r>
        <w:t xml:space="preserve"> </w:t>
      </w:r>
      <w:r w:rsidRPr="00943C63">
        <w:t>and</w:t>
      </w:r>
      <w:r>
        <w:t xml:space="preserve"> </w:t>
      </w:r>
      <w:r w:rsidRPr="00943C63">
        <w:t>policies</w:t>
      </w:r>
      <w:r>
        <w:t xml:space="preserve"> </w:t>
      </w:r>
      <w:r w:rsidRPr="00943C63">
        <w:t>together</w:t>
      </w:r>
      <w:r>
        <w:t xml:space="preserve"> </w:t>
      </w:r>
      <w:r w:rsidRPr="00943C63">
        <w:t>with</w:t>
      </w:r>
      <w:r>
        <w:t xml:space="preserve"> </w:t>
      </w:r>
      <w:r w:rsidRPr="00943C63">
        <w:t>their</w:t>
      </w:r>
      <w:r>
        <w:t xml:space="preserve"> </w:t>
      </w:r>
      <w:r w:rsidRPr="00943C63">
        <w:t>effects.</w:t>
      </w:r>
      <w:r>
        <w:t xml:space="preserve"> Aotearoa’s </w:t>
      </w:r>
      <w:r w:rsidRPr="00943C63">
        <w:t>first</w:t>
      </w:r>
      <w:r>
        <w:t xml:space="preserve"> </w:t>
      </w:r>
      <w:r w:rsidRPr="00943C63">
        <w:t>biennial</w:t>
      </w:r>
      <w:r>
        <w:t xml:space="preserve"> </w:t>
      </w:r>
      <w:r w:rsidRPr="00943C63">
        <w:t>transparency</w:t>
      </w:r>
      <w:r>
        <w:t xml:space="preserve"> </w:t>
      </w:r>
      <w:r w:rsidRPr="00943C63">
        <w:t>report</w:t>
      </w:r>
      <w:r>
        <w:t xml:space="preserve"> for this purpose </w:t>
      </w:r>
      <w:r w:rsidRPr="00943C63">
        <w:t>must</w:t>
      </w:r>
      <w:r>
        <w:t xml:space="preserve"> </w:t>
      </w:r>
      <w:r w:rsidRPr="00943C63">
        <w:t>be</w:t>
      </w:r>
      <w:r>
        <w:t xml:space="preserve"> </w:t>
      </w:r>
      <w:r w:rsidRPr="00943C63">
        <w:t>submitted</w:t>
      </w:r>
      <w:r>
        <w:t xml:space="preserve"> </w:t>
      </w:r>
      <w:r w:rsidRPr="00943C63">
        <w:t>by</w:t>
      </w:r>
      <w:r>
        <w:t xml:space="preserve"> </w:t>
      </w:r>
      <w:r w:rsidRPr="00943C63">
        <w:t>31</w:t>
      </w:r>
      <w:r>
        <w:t xml:space="preserve"> </w:t>
      </w:r>
      <w:r w:rsidRPr="00943C63">
        <w:t>December</w:t>
      </w:r>
      <w:r>
        <w:t xml:space="preserve"> </w:t>
      </w:r>
      <w:r w:rsidRPr="00943C63">
        <w:t>2024</w:t>
      </w:r>
      <w:r>
        <w:t xml:space="preserve"> </w:t>
      </w:r>
      <w:r w:rsidRPr="00943C63">
        <w:t>and</w:t>
      </w:r>
      <w:r>
        <w:t xml:space="preserve"> </w:t>
      </w:r>
      <w:r w:rsidRPr="00943C63">
        <w:t>will</w:t>
      </w:r>
      <w:r>
        <w:t xml:space="preserve"> </w:t>
      </w:r>
      <w:r w:rsidRPr="00943C63">
        <w:t>provide</w:t>
      </w:r>
      <w:r>
        <w:t xml:space="preserve"> </w:t>
      </w:r>
      <w:r w:rsidRPr="00943C63">
        <w:t>increased</w:t>
      </w:r>
      <w:r>
        <w:t xml:space="preserve"> </w:t>
      </w:r>
      <w:r w:rsidRPr="00943C63">
        <w:t>transparency</w:t>
      </w:r>
      <w:r>
        <w:t xml:space="preserve"> </w:t>
      </w:r>
      <w:r w:rsidRPr="00943C63">
        <w:t>over</w:t>
      </w:r>
      <w:r>
        <w:t xml:space="preserve"> </w:t>
      </w:r>
      <w:r w:rsidRPr="00943C63">
        <w:t>plans</w:t>
      </w:r>
      <w:r>
        <w:t xml:space="preserve"> </w:t>
      </w:r>
      <w:r w:rsidRPr="00943C63">
        <w:t>for</w:t>
      </w:r>
      <w:r>
        <w:t xml:space="preserve"> </w:t>
      </w:r>
      <w:r w:rsidRPr="00943C63">
        <w:t>meeting</w:t>
      </w:r>
      <w:r>
        <w:t xml:space="preserve"> </w:t>
      </w:r>
      <w:r w:rsidRPr="00943C63">
        <w:t>the</w:t>
      </w:r>
      <w:r>
        <w:t xml:space="preserve"> </w:t>
      </w:r>
      <w:r w:rsidRPr="00943C63">
        <w:t>NDC.</w:t>
      </w:r>
      <w:r>
        <w:t xml:space="preserve"> </w:t>
      </w:r>
    </w:p>
    <w:p w14:paraId="10730ACE" w14:textId="77777777" w:rsidR="00F03A47" w:rsidRDefault="00F03A47" w:rsidP="00F03A47">
      <w:r>
        <w:rPr>
          <w:rStyle w:val="normaltextrun"/>
          <w:rFonts w:ascii="Calibri" w:hAnsi="Calibri" w:cs="Calibri"/>
        </w:rPr>
        <w:t>Biennial transparency reports</w:t>
      </w:r>
      <w:r w:rsidRPr="001E70ED">
        <w:rPr>
          <w:rStyle w:val="normaltextrun"/>
          <w:rFonts w:ascii="Calibri" w:hAnsi="Calibri" w:cs="Calibri"/>
        </w:rPr>
        <w:t xml:space="preserve"> are</w:t>
      </w:r>
      <w:r>
        <w:rPr>
          <w:rStyle w:val="normaltextrun"/>
          <w:rFonts w:ascii="Calibri" w:hAnsi="Calibri" w:cs="Calibri"/>
        </w:rPr>
        <w:t xml:space="preserve"> </w:t>
      </w:r>
      <w:r w:rsidRPr="001E70ED">
        <w:rPr>
          <w:rStyle w:val="normaltextrun"/>
          <w:rFonts w:ascii="Calibri" w:hAnsi="Calibri" w:cs="Calibri"/>
        </w:rPr>
        <w:t>unlikely</w:t>
      </w:r>
      <w:r>
        <w:rPr>
          <w:rStyle w:val="normaltextrun"/>
          <w:rFonts w:ascii="Calibri" w:hAnsi="Calibri" w:cs="Calibri"/>
        </w:rPr>
        <w:t>, however,</w:t>
      </w:r>
      <w:r w:rsidRPr="001E70ED">
        <w:rPr>
          <w:rStyle w:val="normaltextrun"/>
          <w:rFonts w:ascii="Calibri" w:hAnsi="Calibri" w:cs="Calibri"/>
        </w:rPr>
        <w:t xml:space="preserve"> to cover some information </w:t>
      </w:r>
      <w:r>
        <w:rPr>
          <w:rStyle w:val="normaltextrun"/>
          <w:rFonts w:ascii="Calibri" w:hAnsi="Calibri" w:cs="Calibri"/>
        </w:rPr>
        <w:t xml:space="preserve">that is </w:t>
      </w:r>
      <w:r w:rsidRPr="001E70ED">
        <w:rPr>
          <w:rStyle w:val="normaltextrun"/>
          <w:rFonts w:ascii="Calibri" w:hAnsi="Calibri" w:cs="Calibri"/>
        </w:rPr>
        <w:t>of interest domestically</w:t>
      </w:r>
      <w:r>
        <w:rPr>
          <w:rStyle w:val="normaltextrun"/>
          <w:rFonts w:ascii="Calibri" w:hAnsi="Calibri" w:cs="Calibri"/>
        </w:rPr>
        <w:t xml:space="preserve"> as they </w:t>
      </w:r>
      <w:r w:rsidRPr="001E70ED">
        <w:rPr>
          <w:rStyle w:val="normaltextrun"/>
          <w:rFonts w:ascii="Calibri" w:hAnsi="Calibri" w:cs="Calibri"/>
        </w:rPr>
        <w:t>are prepared for an international audience. For example, they are unlikely to include how meeting the NDC, including through purchasing of offshore mitigation, may impact on public finances. The NDC is also not within scope of the Commission’s annual monitoring reports, as these are about the 2050 target and emissions budgets.</w:t>
      </w:r>
    </w:p>
    <w:p w14:paraId="65529C31" w14:textId="31F1A137" w:rsidR="00744221" w:rsidRPr="00744221" w:rsidRDefault="00F03A47" w:rsidP="00744221">
      <w:r w:rsidRPr="00E11078">
        <w:rPr>
          <w:rFonts w:cstheme="minorHAnsi"/>
        </w:rPr>
        <w:t>There appears to be a domestic reporting gap. Given that the</w:t>
      </w:r>
      <w:r w:rsidRPr="00E11078" w:rsidDel="003A4A99">
        <w:rPr>
          <w:rFonts w:cstheme="minorHAnsi"/>
        </w:rPr>
        <w:t xml:space="preserve"> </w:t>
      </w:r>
      <w:r w:rsidRPr="00E11078">
        <w:rPr>
          <w:rStyle w:val="normaltextrun"/>
          <w:rFonts w:cstheme="minorHAnsi"/>
        </w:rPr>
        <w:t xml:space="preserve">Government intends to require a range of businesses to disclose climate change risks in their financial reports, it is not unreasonable to expect the Government to do the same. </w:t>
      </w:r>
      <w:r>
        <w:t>We therefore consider that the Government should hold itself accountable for meeting the NDC through regular transparent reporting, including the disclosure of any fiscal risks that may arise from the purchasing offshore mitigation and its strategy for managing those risks</w:t>
      </w:r>
      <w:r w:rsidRPr="00943C63">
        <w:t>.</w:t>
      </w:r>
      <w:r>
        <w:t xml:space="preserve"> </w:t>
      </w:r>
    </w:p>
    <w:p w14:paraId="2428B89A" w14:textId="77777777" w:rsidR="00D47AEC" w:rsidRDefault="00D47AEC" w:rsidP="00F03A47"/>
    <w:p w14:paraId="04316FFE" w14:textId="77777777" w:rsidR="00D47AEC" w:rsidRPr="008B78B0" w:rsidRDefault="00D47AEC" w:rsidP="00F03A47"/>
    <w:tbl>
      <w:tblPr>
        <w:tblStyle w:val="GridTable4-Accent2"/>
        <w:tblW w:w="0" w:type="auto"/>
        <w:tblCellMar>
          <w:top w:w="57" w:type="dxa"/>
          <w:bottom w:w="57" w:type="dxa"/>
        </w:tblCellMar>
        <w:tblLook w:val="04A0" w:firstRow="1" w:lastRow="0" w:firstColumn="1" w:lastColumn="0" w:noHBand="0" w:noVBand="1"/>
      </w:tblPr>
      <w:tblGrid>
        <w:gridCol w:w="9016"/>
      </w:tblGrid>
      <w:tr w:rsidR="00F03A47" w:rsidRPr="00EA4071" w14:paraId="439C9167" w14:textId="77777777" w:rsidTr="00760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216BE2C" w14:textId="77777777" w:rsidR="00F03A47" w:rsidRPr="006B142D" w:rsidRDefault="00F03A47" w:rsidP="007602C9">
            <w:pPr>
              <w:pStyle w:val="Content"/>
              <w:spacing w:before="0" w:after="0"/>
              <w:jc w:val="center"/>
              <w:rPr>
                <w:color w:val="000000" w:themeColor="text1"/>
                <w:sz w:val="24"/>
                <w:szCs w:val="24"/>
              </w:rPr>
            </w:pPr>
            <w:r w:rsidRPr="00344587">
              <w:rPr>
                <w:bCs w:val="0"/>
                <w:sz w:val="28"/>
                <w:szCs w:val="28"/>
              </w:rPr>
              <w:lastRenderedPageBreak/>
              <w:t>Enabling</w:t>
            </w:r>
            <w:r w:rsidRPr="006B142D">
              <w:rPr>
                <w:bCs w:val="0"/>
                <w:sz w:val="28"/>
                <w:szCs w:val="28"/>
              </w:rPr>
              <w:t xml:space="preserve"> </w:t>
            </w:r>
            <w:r>
              <w:rPr>
                <w:bCs w:val="0"/>
                <w:sz w:val="28"/>
                <w:szCs w:val="28"/>
              </w:rPr>
              <w:t xml:space="preserve">NDC </w:t>
            </w:r>
            <w:r w:rsidRPr="006B142D">
              <w:rPr>
                <w:bCs w:val="0"/>
                <w:sz w:val="28"/>
                <w:szCs w:val="28"/>
              </w:rPr>
              <w:t>recommendation</w:t>
            </w:r>
            <w:r>
              <w:rPr>
                <w:bCs w:val="0"/>
                <w:sz w:val="28"/>
                <w:szCs w:val="28"/>
              </w:rPr>
              <w:t xml:space="preserve"> 2</w:t>
            </w:r>
          </w:p>
          <w:p w14:paraId="7D8A744C" w14:textId="77777777" w:rsidR="00F03A47" w:rsidRPr="00EA4071" w:rsidRDefault="00F03A47" w:rsidP="007602C9">
            <w:pPr>
              <w:pStyle w:val="Content"/>
              <w:spacing w:before="0" w:after="0"/>
              <w:jc w:val="center"/>
              <w:rPr>
                <w:b w:val="0"/>
                <w:sz w:val="28"/>
                <w:szCs w:val="28"/>
              </w:rPr>
            </w:pPr>
            <w:r w:rsidRPr="006B142D">
              <w:rPr>
                <w:b w:val="0"/>
                <w:sz w:val="28"/>
                <w:szCs w:val="28"/>
              </w:rPr>
              <w:t>Reporting on and meeting the NDC</w:t>
            </w:r>
          </w:p>
        </w:tc>
      </w:tr>
      <w:tr w:rsidR="00F03A47" w:rsidRPr="00A666C6" w14:paraId="6E9BB7C7" w14:textId="77777777" w:rsidTr="00760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882F7C1" w14:textId="77777777" w:rsidR="00F03A47" w:rsidRDefault="00F03A47" w:rsidP="007602C9">
            <w:pPr>
              <w:pStyle w:val="ListParagraph"/>
              <w:ind w:left="1080"/>
            </w:pPr>
          </w:p>
          <w:p w14:paraId="03679111" w14:textId="77777777" w:rsidR="00F03A47" w:rsidRPr="00290EA9" w:rsidRDefault="00F03A47" w:rsidP="009B509E">
            <w:pPr>
              <w:pStyle w:val="ListParagraph"/>
              <w:numPr>
                <w:ilvl w:val="0"/>
                <w:numId w:val="92"/>
              </w:numPr>
              <w:spacing w:before="0" w:after="0"/>
              <w:ind w:left="594"/>
            </w:pPr>
            <w:r w:rsidRPr="006624AC">
              <w:t>The government in making its decisions should continue to enable the NDC to be met through a combination of domestic emission reductions, domestic removals, and use of international carbon markets</w:t>
            </w:r>
            <w:r w:rsidRPr="00290EA9">
              <w:t>.</w:t>
            </w:r>
          </w:p>
          <w:p w14:paraId="3734E682" w14:textId="77777777" w:rsidR="00F03A47" w:rsidRDefault="00F03A47" w:rsidP="007602C9">
            <w:pPr>
              <w:pStyle w:val="ListParagraph"/>
              <w:ind w:left="594"/>
            </w:pPr>
          </w:p>
          <w:p w14:paraId="037BDEF3" w14:textId="77777777" w:rsidR="00F03A47" w:rsidRPr="00944CFA" w:rsidRDefault="00F03A47" w:rsidP="009B509E">
            <w:pPr>
              <w:pStyle w:val="ListParagraph"/>
              <w:numPr>
                <w:ilvl w:val="0"/>
                <w:numId w:val="92"/>
              </w:numPr>
              <w:spacing w:before="0" w:after="0"/>
              <w:ind w:left="594"/>
            </w:pPr>
            <w:r w:rsidRPr="00944CFA">
              <w:t>The government should report annually on how it plans to meet the NDC, including the balance of planned domestic emission reductions, removals and offshore purchasing.</w:t>
            </w:r>
          </w:p>
          <w:p w14:paraId="4224BBF6" w14:textId="77777777" w:rsidR="00F03A47" w:rsidRPr="009A759D" w:rsidRDefault="00F03A47" w:rsidP="007602C9">
            <w:pPr>
              <w:pStyle w:val="ListParagraph"/>
              <w:ind w:left="594"/>
            </w:pPr>
          </w:p>
          <w:p w14:paraId="164BA23D" w14:textId="77777777" w:rsidR="00F03A47" w:rsidRPr="006D1DD2" w:rsidRDefault="00F03A47" w:rsidP="009B509E">
            <w:pPr>
              <w:pStyle w:val="ListParagraph"/>
              <w:numPr>
                <w:ilvl w:val="0"/>
                <w:numId w:val="92"/>
              </w:numPr>
              <w:spacing w:before="0" w:after="0"/>
              <w:ind w:left="594"/>
            </w:pPr>
            <w:r w:rsidRPr="006D1DD2">
              <w:t>The government should clearly communicate its strategy for purchasing offshore mitigation to meet the NDC and how it will manage any fiscal risks in doing so.</w:t>
            </w:r>
            <w:r w:rsidRPr="0067371E">
              <w:rPr>
                <w:rStyle w:val="normaltextrun"/>
                <w:rFonts w:ascii="Calibri" w:hAnsi="Calibri" w:cs="Calibri"/>
              </w:rPr>
              <w:br/>
            </w:r>
            <w:r w:rsidRPr="0067371E">
              <w:t xml:space="preserve"> </w:t>
            </w:r>
          </w:p>
        </w:tc>
      </w:tr>
    </w:tbl>
    <w:p w14:paraId="66E64148" w14:textId="340D99A8" w:rsidR="00F03A47" w:rsidRDefault="00F03A47" w:rsidP="00F03A47"/>
    <w:p w14:paraId="08CC9E92" w14:textId="2CEC0708" w:rsidR="005557C0" w:rsidRDefault="005557C0" w:rsidP="00F03A47"/>
    <w:p w14:paraId="75D67606" w14:textId="77777777" w:rsidR="005557C0" w:rsidRDefault="005557C0" w:rsidP="00F03A47"/>
    <w:tbl>
      <w:tblPr>
        <w:tblW w:w="0" w:type="auto"/>
        <w:shd w:val="clear" w:color="auto" w:fill="C6B1D1"/>
        <w:tblCellMar>
          <w:left w:w="0" w:type="dxa"/>
          <w:right w:w="0" w:type="dxa"/>
        </w:tblCellMar>
        <w:tblLook w:val="04A0" w:firstRow="1" w:lastRow="0" w:firstColumn="1" w:lastColumn="0" w:noHBand="0" w:noVBand="1"/>
      </w:tblPr>
      <w:tblGrid>
        <w:gridCol w:w="9016"/>
      </w:tblGrid>
      <w:tr w:rsidR="00F03A47" w14:paraId="7F4DE607" w14:textId="77777777" w:rsidTr="007602C9">
        <w:tc>
          <w:tcPr>
            <w:tcW w:w="9016" w:type="dxa"/>
            <w:tcBorders>
              <w:top w:val="single" w:sz="8" w:space="0" w:color="9E76B3"/>
              <w:left w:val="single" w:sz="8" w:space="0" w:color="9E76B3"/>
              <w:bottom w:val="single" w:sz="8" w:space="0" w:color="9E76B3"/>
              <w:right w:val="single" w:sz="8" w:space="0" w:color="9E76B3"/>
            </w:tcBorders>
            <w:shd w:val="clear" w:color="auto" w:fill="9E76B3"/>
            <w:tcMar>
              <w:top w:w="57" w:type="dxa"/>
              <w:left w:w="108" w:type="dxa"/>
              <w:bottom w:w="57" w:type="dxa"/>
              <w:right w:w="108" w:type="dxa"/>
            </w:tcMar>
            <w:hideMark/>
          </w:tcPr>
          <w:p w14:paraId="2A6347E4" w14:textId="77777777" w:rsidR="00F03A47" w:rsidRDefault="00F03A47" w:rsidP="007602C9">
            <w:pPr>
              <w:pStyle w:val="Content"/>
              <w:spacing w:before="0" w:after="0" w:line="240" w:lineRule="auto"/>
              <w:jc w:val="center"/>
              <w:rPr>
                <w:b/>
                <w:bCs/>
                <w:color w:val="000000"/>
                <w:sz w:val="24"/>
                <w:szCs w:val="24"/>
                <w:lang w:val="en-US"/>
              </w:rPr>
            </w:pPr>
            <w:r>
              <w:rPr>
                <w:b/>
                <w:bCs/>
                <w:color w:val="FFFFFF"/>
                <w:sz w:val="28"/>
                <w:szCs w:val="28"/>
              </w:rPr>
              <w:t>Consultation question 23</w:t>
            </w:r>
          </w:p>
          <w:p w14:paraId="3DC9BC69" w14:textId="77777777" w:rsidR="00F03A47" w:rsidRPr="00053ADD" w:rsidRDefault="00F03A47" w:rsidP="007602C9">
            <w:pPr>
              <w:pStyle w:val="Content"/>
              <w:spacing w:before="0" w:after="0" w:line="240" w:lineRule="auto"/>
              <w:jc w:val="center"/>
              <w:rPr>
                <w:bCs/>
                <w:color w:val="FFFFFF"/>
                <w:sz w:val="28"/>
                <w:szCs w:val="28"/>
              </w:rPr>
            </w:pPr>
            <w:r w:rsidRPr="006D1DD2">
              <w:rPr>
                <w:bCs/>
                <w:color w:val="FFFFFF" w:themeColor="background1"/>
                <w:sz w:val="28"/>
                <w:szCs w:val="28"/>
              </w:rPr>
              <w:t>Reporting on and meeting the NDC</w:t>
            </w:r>
          </w:p>
        </w:tc>
      </w:tr>
      <w:tr w:rsidR="00F03A47" w14:paraId="700C7078" w14:textId="77777777" w:rsidTr="007602C9">
        <w:tc>
          <w:tcPr>
            <w:tcW w:w="9016" w:type="dxa"/>
            <w:tcBorders>
              <w:top w:val="nil"/>
              <w:left w:val="single" w:sz="8" w:space="0" w:color="9E76B3"/>
              <w:bottom w:val="single" w:sz="8" w:space="0" w:color="9E76B3"/>
              <w:right w:val="single" w:sz="8" w:space="0" w:color="9E76B3"/>
            </w:tcBorders>
            <w:shd w:val="clear" w:color="auto" w:fill="C6B1D1"/>
            <w:tcMar>
              <w:top w:w="57" w:type="dxa"/>
              <w:left w:w="108" w:type="dxa"/>
              <w:bottom w:w="57" w:type="dxa"/>
              <w:right w:w="108" w:type="dxa"/>
            </w:tcMar>
          </w:tcPr>
          <w:p w14:paraId="13B05DD5" w14:textId="5EAAC174" w:rsidR="00F03A47" w:rsidRPr="008B78B0" w:rsidRDefault="00F03A47" w:rsidP="007602C9">
            <w:r>
              <w:rPr>
                <w:b/>
                <w:bCs/>
                <w:color w:val="000000"/>
              </w:rPr>
              <w:t>Do you support our recommendations on reporting on and meeting the NDC</w:t>
            </w:r>
            <w:r w:rsidRPr="00CA223A">
              <w:rPr>
                <w:b/>
                <w:bCs/>
                <w:color w:val="000000"/>
              </w:rPr>
              <w:t xml:space="preserve">? </w:t>
            </w:r>
            <w:r w:rsidR="00CA223A" w:rsidRPr="00CA223A">
              <w:rPr>
                <w:b/>
                <w:bCs/>
              </w:rPr>
              <w:t>Is there anything we should change, and why?</w:t>
            </w:r>
          </w:p>
        </w:tc>
      </w:tr>
    </w:tbl>
    <w:p w14:paraId="28439F5C" w14:textId="77777777" w:rsidR="00F03A47" w:rsidRDefault="00F03A47" w:rsidP="00F03A47"/>
    <w:p w14:paraId="45455853" w14:textId="77777777" w:rsidR="00F03A47" w:rsidRDefault="00F03A47" w:rsidP="00F03A47"/>
    <w:bookmarkEnd w:id="338"/>
    <w:p w14:paraId="105A4212" w14:textId="77777777" w:rsidR="00F03A47" w:rsidRDefault="00F03A47" w:rsidP="00F03A47">
      <w:r>
        <w:br w:type="page"/>
      </w:r>
    </w:p>
    <w:p w14:paraId="70334D31" w14:textId="5D5BD051" w:rsidR="00F03A47" w:rsidRPr="00A852FD" w:rsidRDefault="00F03A47" w:rsidP="00A852FD">
      <w:pPr>
        <w:pStyle w:val="Heading1"/>
        <w:rPr>
          <w:lang w:val="mi-NZ"/>
        </w:rPr>
      </w:pPr>
      <w:bookmarkStart w:id="359" w:name="_Toc62052797"/>
      <w:bookmarkStart w:id="360" w:name="_Toc62650356"/>
      <w:r w:rsidRPr="00972EF1">
        <w:rPr>
          <w:lang w:val="mi-NZ"/>
        </w:rPr>
        <w:lastRenderedPageBreak/>
        <w:t>Chapter 9</w:t>
      </w:r>
      <w:r>
        <w:rPr>
          <w:lang w:val="mi-NZ"/>
        </w:rPr>
        <w:t>: Eventual reductions in biogenic methane</w:t>
      </w:r>
      <w:bookmarkEnd w:id="359"/>
      <w:bookmarkEnd w:id="360"/>
    </w:p>
    <w:p w14:paraId="7B2545E9" w14:textId="77777777" w:rsidR="00F03A47" w:rsidRPr="004C5CF6" w:rsidRDefault="00F03A47" w:rsidP="00F03A47">
      <w:pPr>
        <w:pStyle w:val="Heading2"/>
        <w:rPr>
          <w:rStyle w:val="normaltextrun"/>
          <w:lang w:val="mi-NZ"/>
        </w:rPr>
      </w:pPr>
      <w:bookmarkStart w:id="361" w:name="_Toc62052798"/>
      <w:bookmarkStart w:id="362" w:name="_Toc62650357"/>
      <w:r>
        <w:rPr>
          <w:lang w:val="mi-NZ"/>
        </w:rPr>
        <w:t xml:space="preserve">9.1 </w:t>
      </w:r>
      <w:r w:rsidRPr="00972EF1">
        <w:rPr>
          <w:lang w:val="mi-NZ"/>
        </w:rPr>
        <w:t>What have we been asked to do?</w:t>
      </w:r>
      <w:bookmarkEnd w:id="361"/>
      <w:bookmarkEnd w:id="362"/>
    </w:p>
    <w:p w14:paraId="46FB8BC9" w14:textId="4082FF4F" w:rsidR="00F03A47" w:rsidRPr="00972EF1" w:rsidRDefault="00F03A47" w:rsidP="002C0A8A">
      <w:pPr>
        <w:rPr>
          <w:lang w:val="mi-NZ"/>
        </w:rPr>
      </w:pPr>
      <w:r>
        <w:rPr>
          <w:rStyle w:val="normaltextrun"/>
          <w:rFonts w:ascii="Calibri" w:hAnsi="Calibri" w:cs="Calibri"/>
          <w:color w:val="000000"/>
          <w:shd w:val="clear" w:color="auto" w:fill="FFFFFF"/>
        </w:rPr>
        <w:t xml:space="preserve">Under section 5K of the Climate Change Response Act 2002 (the Act), the Minister of Climate Change asked the Commission to provide a report </w:t>
      </w:r>
      <w:r>
        <w:rPr>
          <w:lang w:val="mi-NZ"/>
        </w:rPr>
        <w:t xml:space="preserve">assessing </w:t>
      </w:r>
      <w:r w:rsidRPr="00972EF1">
        <w:rPr>
          <w:lang w:val="mi-NZ"/>
        </w:rPr>
        <w:t>biogenic methane emissions</w:t>
      </w:r>
      <w:r>
        <w:rPr>
          <w:lang w:val="mi-NZ"/>
        </w:rPr>
        <w:t xml:space="preserve"> in Aotearoa</w:t>
      </w:r>
      <w:r w:rsidRPr="00972EF1">
        <w:rPr>
          <w:lang w:val="mi-NZ"/>
        </w:rPr>
        <w:t xml:space="preserve">. Specifically, the Minister has asked the Commission to provide: </w:t>
      </w:r>
    </w:p>
    <w:p w14:paraId="665DAB55" w14:textId="77777777" w:rsidR="002C0A8A" w:rsidRDefault="00F03A47" w:rsidP="002C0A8A">
      <w:pPr>
        <w:pStyle w:val="FootnoteText"/>
        <w:numPr>
          <w:ilvl w:val="0"/>
          <w:numId w:val="0"/>
        </w:numPr>
        <w:ind w:left="284"/>
        <w:rPr>
          <w:i/>
          <w:iCs/>
          <w:sz w:val="22"/>
          <w:szCs w:val="22"/>
          <w:lang w:val="mi-NZ"/>
        </w:rPr>
      </w:pPr>
      <w:r w:rsidRPr="003A38AB">
        <w:rPr>
          <w:i/>
          <w:iCs/>
          <w:sz w:val="22"/>
          <w:szCs w:val="22"/>
          <w:lang w:val="mi-NZ"/>
        </w:rPr>
        <w:t>“advice on the potential reductions in biogenic methane emissions which might eventually be required by New Zealand as part of a global effort under the Paris Agreement to limit the global average temperature increase to 1.5</w:t>
      </w:r>
      <w:r w:rsidRPr="003A38AB">
        <w:rPr>
          <w:i/>
          <w:iCs/>
          <w:sz w:val="22"/>
          <w:szCs w:val="22"/>
          <w:vertAlign w:val="superscript"/>
          <w:lang w:val="mi-NZ"/>
        </w:rPr>
        <w:t>o</w:t>
      </w:r>
      <w:r w:rsidRPr="003A38AB">
        <w:rPr>
          <w:i/>
          <w:iCs/>
          <w:sz w:val="22"/>
          <w:szCs w:val="22"/>
          <w:lang w:val="mi-NZ"/>
        </w:rPr>
        <w:t xml:space="preserve"> Celsius above preindustrial levels.</w:t>
      </w:r>
    </w:p>
    <w:p w14:paraId="02990F00" w14:textId="027BE71B" w:rsidR="00F03A47" w:rsidRPr="003A38AB" w:rsidRDefault="00F03A47" w:rsidP="002C0A8A">
      <w:pPr>
        <w:pStyle w:val="FootnoteText"/>
        <w:numPr>
          <w:ilvl w:val="0"/>
          <w:numId w:val="0"/>
        </w:numPr>
        <w:ind w:left="284"/>
        <w:rPr>
          <w:i/>
          <w:iCs/>
          <w:sz w:val="22"/>
          <w:szCs w:val="22"/>
          <w:lang w:val="mi-NZ"/>
        </w:rPr>
      </w:pPr>
      <w:r w:rsidRPr="003A38AB">
        <w:rPr>
          <w:i/>
          <w:iCs/>
          <w:sz w:val="22"/>
          <w:szCs w:val="22"/>
          <w:lang w:val="mi-NZ"/>
        </w:rPr>
        <w:br/>
        <w:t>In providing this advice the Commission must:</w:t>
      </w:r>
    </w:p>
    <w:p w14:paraId="44E12859" w14:textId="77777777" w:rsidR="00F03A47" w:rsidRPr="00E02954" w:rsidRDefault="00F03A47" w:rsidP="009B509E">
      <w:pPr>
        <w:pStyle w:val="FootnoteText"/>
        <w:numPr>
          <w:ilvl w:val="0"/>
          <w:numId w:val="86"/>
        </w:numPr>
        <w:spacing w:before="0"/>
        <w:ind w:left="1418" w:hanging="425"/>
        <w:rPr>
          <w:i/>
          <w:sz w:val="22"/>
          <w:szCs w:val="22"/>
          <w:lang w:val="mi-NZ"/>
        </w:rPr>
      </w:pPr>
      <w:r w:rsidRPr="00E02954">
        <w:rPr>
          <w:i/>
          <w:sz w:val="22"/>
          <w:szCs w:val="22"/>
          <w:lang w:val="mi-NZ"/>
        </w:rPr>
        <w:t>leave aside considerations on the current target range for biogenic methane specified in section 5(Q)(1)(b) of the CCRA;</w:t>
      </w:r>
    </w:p>
    <w:p w14:paraId="0CD5C4C4" w14:textId="77777777" w:rsidR="00F03A47" w:rsidRPr="00972EF1" w:rsidRDefault="00F03A47" w:rsidP="009B509E">
      <w:pPr>
        <w:pStyle w:val="FootnoteText"/>
        <w:numPr>
          <w:ilvl w:val="0"/>
          <w:numId w:val="86"/>
        </w:numPr>
        <w:spacing w:before="0"/>
        <w:ind w:left="1418" w:hanging="425"/>
        <w:rPr>
          <w:i/>
          <w:sz w:val="22"/>
          <w:szCs w:val="22"/>
          <w:lang w:val="mi-NZ"/>
        </w:rPr>
      </w:pPr>
      <w:r w:rsidRPr="00972EF1">
        <w:rPr>
          <w:i/>
          <w:sz w:val="22"/>
          <w:szCs w:val="22"/>
          <w:lang w:val="mi-NZ"/>
        </w:rPr>
        <w:t>consider the available scientific evidence on the global biogenic methane emissions reductions likely to be required to limit global average temperature increase to 1.5</w:t>
      </w:r>
      <w:r w:rsidRPr="00972EF1">
        <w:rPr>
          <w:i/>
          <w:sz w:val="22"/>
          <w:szCs w:val="22"/>
          <w:vertAlign w:val="superscript"/>
          <w:lang w:val="mi-NZ"/>
        </w:rPr>
        <w:t>o</w:t>
      </w:r>
      <w:r w:rsidRPr="00972EF1">
        <w:rPr>
          <w:i/>
          <w:sz w:val="22"/>
          <w:szCs w:val="22"/>
          <w:lang w:val="mi-NZ"/>
        </w:rPr>
        <w:t xml:space="preserve"> Celsius above pre-industrial levels;</w:t>
      </w:r>
    </w:p>
    <w:p w14:paraId="7FEA42EE" w14:textId="77777777" w:rsidR="00F03A47" w:rsidRPr="00972EF1" w:rsidRDefault="00F03A47" w:rsidP="009B509E">
      <w:pPr>
        <w:pStyle w:val="FootnoteText"/>
        <w:numPr>
          <w:ilvl w:val="0"/>
          <w:numId w:val="86"/>
        </w:numPr>
        <w:spacing w:before="0"/>
        <w:ind w:left="1418" w:hanging="425"/>
        <w:rPr>
          <w:i/>
          <w:sz w:val="22"/>
          <w:szCs w:val="22"/>
          <w:lang w:val="mi-NZ"/>
        </w:rPr>
      </w:pPr>
      <w:r w:rsidRPr="00972EF1">
        <w:rPr>
          <w:i/>
          <w:sz w:val="22"/>
          <w:szCs w:val="22"/>
          <w:lang w:val="mi-NZ"/>
        </w:rPr>
        <w:t>consider New Zealand’s potential contribution to global efforts to limit biogenic methane emissions, reflecting its national circumstances; and</w:t>
      </w:r>
    </w:p>
    <w:p w14:paraId="5305D2F5" w14:textId="4FF874EC" w:rsidR="00F03A47" w:rsidRPr="002C0A8A" w:rsidRDefault="00F03A47" w:rsidP="009B509E">
      <w:pPr>
        <w:pStyle w:val="FootnoteText"/>
        <w:numPr>
          <w:ilvl w:val="0"/>
          <w:numId w:val="86"/>
        </w:numPr>
        <w:spacing w:before="0"/>
        <w:ind w:left="1418" w:hanging="425"/>
        <w:rPr>
          <w:iCs/>
          <w:sz w:val="22"/>
          <w:szCs w:val="22"/>
          <w:lang w:val="mi-NZ"/>
        </w:rPr>
      </w:pPr>
      <w:r w:rsidRPr="00972EF1">
        <w:rPr>
          <w:i/>
          <w:sz w:val="22"/>
          <w:szCs w:val="22"/>
          <w:lang w:val="mi-NZ"/>
        </w:rPr>
        <w:t>consider a range of potential scenarios for economic, social and demographic changes which might occur in New Zealand and globally until 2100.”</w:t>
      </w:r>
    </w:p>
    <w:p w14:paraId="217AE2DD" w14:textId="77777777" w:rsidR="00F03A47" w:rsidRPr="007E216B" w:rsidRDefault="00F03A47" w:rsidP="00F03A47">
      <w:r>
        <w:rPr>
          <w:rStyle w:val="normaltextrun"/>
        </w:rPr>
        <w:t xml:space="preserve">The full text of the request and the terms of reference can be found on our website at </w:t>
      </w:r>
      <w:hyperlink r:id="rId67" w:history="1">
        <w:r w:rsidRPr="000448A9">
          <w:rPr>
            <w:rStyle w:val="Hyperlink"/>
          </w:rPr>
          <w:t>https://www.climatecommission.govt.nz/our-work/advice-to-government-topic/reviewing-new-zealands-nationally-determined-contribution-and-biogenic-methane/</w:t>
        </w:r>
      </w:hyperlink>
      <w:r>
        <w:rPr>
          <w:rStyle w:val="normaltextrun"/>
        </w:rPr>
        <w:t xml:space="preserve"> </w:t>
      </w:r>
    </w:p>
    <w:p w14:paraId="025DF44F" w14:textId="09EC5654" w:rsidR="00F03A47" w:rsidRPr="00781BDC" w:rsidRDefault="00F03A47" w:rsidP="002C0A8A">
      <w:pPr>
        <w:pStyle w:val="FootnoteText"/>
        <w:numPr>
          <w:ilvl w:val="0"/>
          <w:numId w:val="0"/>
        </w:numPr>
        <w:rPr>
          <w:iCs/>
          <w:sz w:val="22"/>
          <w:szCs w:val="22"/>
          <w:lang w:val="mi-NZ"/>
        </w:rPr>
      </w:pPr>
      <w:r>
        <w:rPr>
          <w:iCs/>
          <w:sz w:val="22"/>
          <w:szCs w:val="22"/>
          <w:lang w:val="mi-NZ"/>
        </w:rPr>
        <w:t xml:space="preserve">We have interpreted part (a) to mean the Commission should not provide advice on the target range for biogenic methane emissions set for 2050. This is consistent with section 5T of the Act that sets out the limited circumstances when the Commission can review targets. As there has not been a significant change in </w:t>
      </w:r>
      <w:r w:rsidRPr="0088088C">
        <w:rPr>
          <w:iCs/>
          <w:sz w:val="22"/>
          <w:szCs w:val="22"/>
          <w:lang w:val="en-NZ"/>
        </w:rPr>
        <w:t>circumstances</w:t>
      </w:r>
      <w:r>
        <w:rPr>
          <w:iCs/>
          <w:sz w:val="22"/>
          <w:szCs w:val="22"/>
          <w:lang w:val="mi-NZ"/>
        </w:rPr>
        <w:t xml:space="preserve"> that would justify changing the 2050 target since it was set, the Commission </w:t>
      </w:r>
      <w:r w:rsidR="0088088C">
        <w:rPr>
          <w:iCs/>
          <w:sz w:val="22"/>
          <w:szCs w:val="22"/>
          <w:lang w:val="mi-NZ"/>
        </w:rPr>
        <w:t xml:space="preserve">would be unable to recommend a change to the 2050 target. </w:t>
      </w:r>
    </w:p>
    <w:p w14:paraId="69721AC4" w14:textId="77777777" w:rsidR="00F03A47" w:rsidRDefault="00F03A47" w:rsidP="00F03A47">
      <w:pPr>
        <w:rPr>
          <w:lang w:val="mi-NZ"/>
        </w:rPr>
      </w:pPr>
      <w:r>
        <w:rPr>
          <w:lang w:val="mi-NZ"/>
        </w:rPr>
        <w:t>We have structured the analysis in this chapter around the considerations (b) to (d) above, drawing findings under each.</w:t>
      </w:r>
    </w:p>
    <w:p w14:paraId="5979C784" w14:textId="77777777" w:rsidR="00F03A47" w:rsidRPr="00972EF1" w:rsidRDefault="00F03A47" w:rsidP="00F03A47">
      <w:pPr>
        <w:rPr>
          <w:lang w:val="mi-NZ"/>
        </w:rPr>
      </w:pPr>
      <w:r w:rsidRPr="00972EF1">
        <w:rPr>
          <w:lang w:val="mi-NZ"/>
        </w:rPr>
        <w:t>Understanding these elements requires a mixture of quantitative and qualitative analysis</w:t>
      </w:r>
      <w:r>
        <w:rPr>
          <w:lang w:val="mi-NZ"/>
        </w:rPr>
        <w:t>.</w:t>
      </w:r>
      <w:r w:rsidRPr="00972EF1">
        <w:rPr>
          <w:lang w:val="mi-NZ"/>
        </w:rPr>
        <w:t xml:space="preserve"> </w:t>
      </w:r>
      <w:r>
        <w:rPr>
          <w:lang w:val="mi-NZ"/>
        </w:rPr>
        <w:t>There are no exact numbers that can come out of a formula. J</w:t>
      </w:r>
      <w:r w:rsidRPr="00972EF1">
        <w:rPr>
          <w:lang w:val="mi-NZ"/>
        </w:rPr>
        <w:t xml:space="preserve">udgements </w:t>
      </w:r>
      <w:r>
        <w:rPr>
          <w:lang w:val="mi-NZ"/>
        </w:rPr>
        <w:t xml:space="preserve">are </w:t>
      </w:r>
      <w:r w:rsidRPr="00972EF1">
        <w:rPr>
          <w:lang w:val="mi-NZ"/>
        </w:rPr>
        <w:t>required </w:t>
      </w:r>
      <w:r>
        <w:rPr>
          <w:lang w:val="mi-NZ"/>
        </w:rPr>
        <w:t>regarding</w:t>
      </w:r>
      <w:r w:rsidRPr="00972EF1">
        <w:rPr>
          <w:lang w:val="mi-NZ"/>
        </w:rPr>
        <w:t xml:space="preserve"> trade-offs, where to </w:t>
      </w:r>
      <w:r>
        <w:rPr>
          <w:lang w:val="mi-NZ"/>
        </w:rPr>
        <w:t>prioritise</w:t>
      </w:r>
      <w:r w:rsidRPr="00972EF1">
        <w:rPr>
          <w:lang w:val="mi-NZ"/>
        </w:rPr>
        <w:t> efforts and how the impacts and consequences of acting on climate change are distributed within Aotearoa across people, place and time. Judgement is also needed to consider opportunities and trade-offs between Aotearoa and the rest of the world. This brings in concepts of equity and fairness</w:t>
      </w:r>
      <w:r>
        <w:rPr>
          <w:lang w:val="mi-NZ"/>
        </w:rPr>
        <w:t>.</w:t>
      </w:r>
    </w:p>
    <w:p w14:paraId="35506C48" w14:textId="2E11A330" w:rsidR="00162A88" w:rsidRPr="00162A88" w:rsidRDefault="00162A88" w:rsidP="00F03A47">
      <w:r w:rsidRPr="00162A88">
        <w:rPr>
          <w:lang w:val="mi-NZ"/>
        </w:rPr>
        <w:t xml:space="preserve">To complement our analysis, we also provide a summary of previous analyses that have looked at </w:t>
      </w:r>
      <w:r w:rsidRPr="00162A88">
        <w:t>potential reductions in methane for Aotearoa in Appendix 1.</w:t>
      </w:r>
    </w:p>
    <w:p w14:paraId="71CF9E42" w14:textId="06207E0B" w:rsidR="00F03A47" w:rsidRDefault="00F03A47" w:rsidP="00F03A47">
      <w:r w:rsidRPr="00713EF4">
        <w:t xml:space="preserve">In this chapter we talk about methane, biogenic methane and agricultural methane. Distinguishing between these three terms is important. Methane refers to all forms of methane emitted, including </w:t>
      </w:r>
      <w:r w:rsidRPr="00713EF4">
        <w:lastRenderedPageBreak/>
        <w:t>methane from agriculture, waste and fossil fuel extraction. Biogenic methane refers to methane from agriculture and waste. Agricultural methane refers solely to methane from agriculture.</w:t>
      </w:r>
      <w:r>
        <w:t xml:space="preserve"> </w:t>
      </w:r>
    </w:p>
    <w:p w14:paraId="5A9E3E38" w14:textId="73644538" w:rsidR="00F03A47" w:rsidRPr="001E633E" w:rsidRDefault="00F03A47" w:rsidP="00F03A47">
      <w:r>
        <w:t xml:space="preserve">While the request from the Minister requires us to consider the eventual reductions in biogenic methane, analysis that we have drawn on, including by the Intergovernmental Panel on Climate Change (IPCC), refers to agricultural methane. Although these are slightly different, in Aotearoa agricultural methane makes up 88% of biogenic methane. So, for the purposes of our analysis we have applied analysis for agricultural methane as a proxy for biogenic methane. The IPCC does not separately identify biogenic methane from waste. </w:t>
      </w:r>
    </w:p>
    <w:p w14:paraId="03C5D8CB" w14:textId="77777777" w:rsidR="00F03A47" w:rsidRPr="00972EF1" w:rsidRDefault="00F03A47" w:rsidP="00F03A47">
      <w:pPr>
        <w:pStyle w:val="Heading2"/>
        <w:rPr>
          <w:lang w:val="mi-NZ"/>
        </w:rPr>
      </w:pPr>
      <w:bookmarkStart w:id="363" w:name="_Toc62052799"/>
      <w:bookmarkStart w:id="364" w:name="_Toc62650358"/>
      <w:r>
        <w:rPr>
          <w:lang w:val="mi-NZ"/>
        </w:rPr>
        <w:t xml:space="preserve">9.2 </w:t>
      </w:r>
      <w:r w:rsidRPr="00972EF1">
        <w:rPr>
          <w:lang w:val="mi-NZ"/>
        </w:rPr>
        <w:t>Consideration 1: What global reductions of biogenic methane emissions might be required to limit warming to 1.5</w:t>
      </w:r>
      <w:r>
        <w:rPr>
          <w:rFonts w:cstheme="majorHAnsi"/>
          <w:lang w:val="mi-NZ"/>
        </w:rPr>
        <w:t>°</w:t>
      </w:r>
      <w:r>
        <w:rPr>
          <w:lang w:val="mi-NZ"/>
        </w:rPr>
        <w:t>C</w:t>
      </w:r>
      <w:r w:rsidRPr="00972EF1">
        <w:rPr>
          <w:lang w:val="mi-NZ"/>
        </w:rPr>
        <w:t>?</w:t>
      </w:r>
      <w:bookmarkEnd w:id="363"/>
      <w:bookmarkEnd w:id="364"/>
    </w:p>
    <w:p w14:paraId="581A8D2E" w14:textId="77777777" w:rsidR="00F03A47" w:rsidRPr="00972EF1" w:rsidRDefault="00F03A47" w:rsidP="00F03A47">
      <w:pPr>
        <w:rPr>
          <w:lang w:val="mi-NZ"/>
        </w:rPr>
      </w:pPr>
      <w:r>
        <w:rPr>
          <w:lang w:val="mi-NZ"/>
        </w:rPr>
        <w:t>Our first</w:t>
      </w:r>
      <w:r w:rsidRPr="00972EF1">
        <w:rPr>
          <w:lang w:val="mi-NZ"/>
        </w:rPr>
        <w:t xml:space="preserve"> </w:t>
      </w:r>
      <w:r>
        <w:rPr>
          <w:lang w:val="mi-NZ"/>
        </w:rPr>
        <w:t>consideration is of</w:t>
      </w:r>
      <w:r w:rsidRPr="00972EF1">
        <w:rPr>
          <w:lang w:val="mi-NZ"/>
        </w:rPr>
        <w:t xml:space="preserve"> the scientific evidence and analysis </w:t>
      </w:r>
      <w:r>
        <w:rPr>
          <w:lang w:val="mi-NZ"/>
        </w:rPr>
        <w:t>regarding</w:t>
      </w:r>
      <w:r w:rsidRPr="00972EF1">
        <w:rPr>
          <w:lang w:val="mi-NZ"/>
        </w:rPr>
        <w:t xml:space="preserve"> what global reductions in biogenic methane are likely to be required to limit warming to 1.5</w:t>
      </w:r>
      <w:r>
        <w:rPr>
          <w:rFonts w:cstheme="minorHAnsi"/>
          <w:lang w:val="mi-NZ"/>
        </w:rPr>
        <w:t>°</w:t>
      </w:r>
      <w:r>
        <w:rPr>
          <w:lang w:val="mi-NZ"/>
        </w:rPr>
        <w:t>C</w:t>
      </w:r>
      <w:r w:rsidRPr="00972EF1">
        <w:rPr>
          <w:lang w:val="mi-NZ"/>
        </w:rPr>
        <w:t>. This analysis is based on the IPCC special report on 1.5</w:t>
      </w:r>
      <w:r>
        <w:rPr>
          <w:rFonts w:cstheme="minorHAnsi"/>
          <w:lang w:val="mi-NZ"/>
        </w:rPr>
        <w:t>°</w:t>
      </w:r>
      <w:r>
        <w:rPr>
          <w:lang w:val="mi-NZ"/>
        </w:rPr>
        <w:t>C</w:t>
      </w:r>
      <w:r w:rsidRPr="00972EF1">
        <w:rPr>
          <w:lang w:val="mi-NZ"/>
        </w:rPr>
        <w:t>.</w:t>
      </w:r>
    </w:p>
    <w:p w14:paraId="0DA708B6" w14:textId="36E3CD25" w:rsidR="00F03A47" w:rsidRPr="004C5CF6" w:rsidRDefault="00F03A47" w:rsidP="00F03A47">
      <w:pPr>
        <w:rPr>
          <w:lang w:val="mi-NZ"/>
        </w:rPr>
      </w:pPr>
      <w:r>
        <w:rPr>
          <w:lang w:val="mi-NZ"/>
        </w:rPr>
        <w:t>T</w:t>
      </w:r>
      <w:r w:rsidRPr="00972EF1">
        <w:rPr>
          <w:lang w:val="mi-NZ"/>
        </w:rPr>
        <w:t xml:space="preserve">he long-term reduction in </w:t>
      </w:r>
      <w:r>
        <w:rPr>
          <w:lang w:val="mi-NZ"/>
        </w:rPr>
        <w:t xml:space="preserve">global </w:t>
      </w:r>
      <w:r w:rsidRPr="00972EF1">
        <w:rPr>
          <w:lang w:val="mi-NZ"/>
        </w:rPr>
        <w:t>biogenic methane emissions need</w:t>
      </w:r>
      <w:r>
        <w:rPr>
          <w:lang w:val="mi-NZ"/>
        </w:rPr>
        <w:t>ed to limit global warming to 1.5</w:t>
      </w:r>
      <w:r>
        <w:rPr>
          <w:rFonts w:cstheme="minorHAnsi"/>
          <w:lang w:val="mi-NZ"/>
        </w:rPr>
        <w:t>°</w:t>
      </w:r>
      <w:r>
        <w:rPr>
          <w:lang w:val="mi-NZ"/>
        </w:rPr>
        <w:t>C depend</w:t>
      </w:r>
      <w:r w:rsidRPr="00972EF1" w:rsidDel="00CF41F6">
        <w:rPr>
          <w:lang w:val="mi-NZ"/>
        </w:rPr>
        <w:t>s</w:t>
      </w:r>
      <w:r w:rsidRPr="00972EF1">
        <w:rPr>
          <w:lang w:val="mi-NZ"/>
        </w:rPr>
        <w:t xml:space="preserve"> </w:t>
      </w:r>
      <w:r>
        <w:rPr>
          <w:lang w:val="mi-NZ"/>
        </w:rPr>
        <w:t>on a number of factors</w:t>
      </w:r>
      <w:r w:rsidRPr="00972EF1">
        <w:rPr>
          <w:lang w:val="mi-NZ"/>
        </w:rPr>
        <w:t xml:space="preserve">. </w:t>
      </w:r>
      <w:r>
        <w:rPr>
          <w:lang w:val="mi-NZ"/>
        </w:rPr>
        <w:t xml:space="preserve">All </w:t>
      </w:r>
      <w:r w:rsidRPr="00972EF1">
        <w:rPr>
          <w:lang w:val="mi-NZ"/>
        </w:rPr>
        <w:t>the greenhouse gases have different warming properties</w:t>
      </w:r>
      <w:r>
        <w:rPr>
          <w:lang w:val="mi-NZ"/>
        </w:rPr>
        <w:t xml:space="preserve">. Three key factors affect the contribution of different gases to global warming: how much is emitted, how long it stays in the atmosphere and the strength of its warming effect while its in the atmosphere. Table 9.1 summarises these for carbon dioxide, methane and nitrous oxide – the three most important greenhouse gases in terms of their contribution to global warming. For further details, see </w:t>
      </w:r>
      <w:r>
        <w:rPr>
          <w:i/>
          <w:iCs/>
          <w:lang w:val="mi-NZ"/>
        </w:rPr>
        <w:t>C</w:t>
      </w:r>
      <w:r w:rsidRPr="00713EF4" w:rsidDel="00D64E8F">
        <w:rPr>
          <w:i/>
          <w:iCs/>
          <w:lang w:val="mi-NZ"/>
        </w:rPr>
        <w:t>hapter</w:t>
      </w:r>
      <w:r w:rsidRPr="00713EF4">
        <w:rPr>
          <w:i/>
          <w:lang w:val="mi-NZ"/>
        </w:rPr>
        <w:t xml:space="preserve"> 1: The science of climate change</w:t>
      </w:r>
      <w:r w:rsidRPr="00713EF4">
        <w:rPr>
          <w:lang w:val="mi-NZ"/>
        </w:rPr>
        <w:t xml:space="preserve"> in the Evidence Report.</w:t>
      </w:r>
      <w:r>
        <w:rPr>
          <w:i/>
          <w:iCs/>
          <w:lang w:val="mi-NZ"/>
        </w:rPr>
        <w:br w:type="page"/>
      </w:r>
    </w:p>
    <w:p w14:paraId="5C05F047" w14:textId="77777777" w:rsidR="00F03A47" w:rsidRPr="00D47AEC" w:rsidRDefault="00F03A47" w:rsidP="00480C23">
      <w:pPr>
        <w:pStyle w:val="Caption"/>
        <w:jc w:val="left"/>
      </w:pPr>
      <w:bookmarkStart w:id="365" w:name="_Ref58858453"/>
      <w:r w:rsidRPr="00D47AEC">
        <w:lastRenderedPageBreak/>
        <w:t xml:space="preserve">Table </w:t>
      </w:r>
      <w:bookmarkEnd w:id="365"/>
      <w:r w:rsidRPr="00D47AEC">
        <w:t>9.1: Properties of carbon dioxide, methane, and nitrous oxide</w:t>
      </w:r>
    </w:p>
    <w:tbl>
      <w:tblPr>
        <w:tblStyle w:val="TableGrid"/>
        <w:tblW w:w="9088" w:type="dxa"/>
        <w:tblLook w:val="04A0" w:firstRow="1" w:lastRow="0" w:firstColumn="1" w:lastColumn="0" w:noHBand="0" w:noVBand="1"/>
      </w:tblPr>
      <w:tblGrid>
        <w:gridCol w:w="2272"/>
        <w:gridCol w:w="2272"/>
        <w:gridCol w:w="2272"/>
        <w:gridCol w:w="2272"/>
      </w:tblGrid>
      <w:tr w:rsidR="00F03A47" w14:paraId="2A5B1247" w14:textId="77777777" w:rsidTr="007602C9">
        <w:trPr>
          <w:trHeight w:val="1386"/>
        </w:trPr>
        <w:tc>
          <w:tcPr>
            <w:tcW w:w="2272" w:type="dxa"/>
          </w:tcPr>
          <w:p w14:paraId="6ADFBC8A" w14:textId="77777777" w:rsidR="00F03A47" w:rsidRDefault="00F03A47" w:rsidP="007602C9">
            <w:pPr>
              <w:rPr>
                <w:lang w:val="mi-NZ"/>
              </w:rPr>
            </w:pPr>
          </w:p>
        </w:tc>
        <w:tc>
          <w:tcPr>
            <w:tcW w:w="2272" w:type="dxa"/>
            <w:vAlign w:val="center"/>
          </w:tcPr>
          <w:p w14:paraId="2450F7CA" w14:textId="77777777" w:rsidR="00F03A47" w:rsidRPr="00320F1C" w:rsidRDefault="00F03A47" w:rsidP="007602C9">
            <w:pPr>
              <w:jc w:val="center"/>
              <w:rPr>
                <w:b/>
                <w:lang w:val="mi-NZ"/>
              </w:rPr>
            </w:pPr>
            <w:r w:rsidRPr="00320F1C">
              <w:rPr>
                <w:b/>
                <w:lang w:val="mi-NZ"/>
              </w:rPr>
              <w:t>Quantity of emissions</w:t>
            </w:r>
          </w:p>
        </w:tc>
        <w:tc>
          <w:tcPr>
            <w:tcW w:w="2272" w:type="dxa"/>
            <w:vAlign w:val="center"/>
          </w:tcPr>
          <w:p w14:paraId="513ECB63" w14:textId="77777777" w:rsidR="00F03A47" w:rsidRPr="00320F1C" w:rsidRDefault="00F03A47" w:rsidP="007602C9">
            <w:pPr>
              <w:jc w:val="center"/>
              <w:rPr>
                <w:b/>
                <w:lang w:val="mi-NZ"/>
              </w:rPr>
            </w:pPr>
            <w:r w:rsidRPr="00320F1C">
              <w:rPr>
                <w:b/>
                <w:lang w:val="mi-NZ"/>
              </w:rPr>
              <w:t>Duration in the atmosphere</w:t>
            </w:r>
          </w:p>
        </w:tc>
        <w:tc>
          <w:tcPr>
            <w:tcW w:w="2272" w:type="dxa"/>
            <w:vAlign w:val="center"/>
          </w:tcPr>
          <w:p w14:paraId="710D67FC" w14:textId="77777777" w:rsidR="00F03A47" w:rsidRPr="00320F1C" w:rsidRDefault="00F03A47" w:rsidP="007602C9">
            <w:pPr>
              <w:jc w:val="center"/>
              <w:rPr>
                <w:b/>
                <w:lang w:val="mi-NZ"/>
              </w:rPr>
            </w:pPr>
            <w:r w:rsidRPr="00320F1C">
              <w:rPr>
                <w:b/>
                <w:lang w:val="mi-NZ"/>
              </w:rPr>
              <w:t>Strength of warming effect</w:t>
            </w:r>
          </w:p>
        </w:tc>
      </w:tr>
      <w:tr w:rsidR="00F03A47" w14:paraId="22E33C0D" w14:textId="77777777" w:rsidTr="007602C9">
        <w:trPr>
          <w:trHeight w:val="712"/>
        </w:trPr>
        <w:tc>
          <w:tcPr>
            <w:tcW w:w="2272" w:type="dxa"/>
          </w:tcPr>
          <w:p w14:paraId="02D8FEA5" w14:textId="77777777" w:rsidR="00F03A47" w:rsidRPr="00320F1C" w:rsidRDefault="00F03A47" w:rsidP="007602C9">
            <w:pPr>
              <w:rPr>
                <w:b/>
                <w:lang w:val="mi-NZ"/>
              </w:rPr>
            </w:pPr>
            <w:r w:rsidRPr="00320F1C">
              <w:rPr>
                <w:b/>
                <w:bCs/>
                <w:lang w:val="mi-NZ"/>
              </w:rPr>
              <w:t>Carbon dioxide</w:t>
            </w:r>
          </w:p>
        </w:tc>
        <w:tc>
          <w:tcPr>
            <w:tcW w:w="2272" w:type="dxa"/>
          </w:tcPr>
          <w:p w14:paraId="59ADB30B" w14:textId="77777777" w:rsidR="00F03A47" w:rsidRDefault="00F03A47" w:rsidP="007602C9">
            <w:pPr>
              <w:rPr>
                <w:lang w:val="mi-NZ"/>
              </w:rPr>
            </w:pPr>
            <w:r>
              <w:rPr>
                <w:lang w:val="mi-NZ"/>
              </w:rPr>
              <w:t>Comprises the majority of global emissions (~80%) Largely from fossil fuel combustion. Also from deforestation. Increasing by more than 1% per year over the last decade.</w:t>
            </w:r>
            <w:r>
              <w:rPr>
                <w:rStyle w:val="FootnoteReference"/>
                <w:rFonts w:ascii="Calibri" w:hAnsi="Calibri" w:cs="Calibri"/>
                <w:lang w:val="mi-NZ"/>
              </w:rPr>
              <w:t xml:space="preserve"> </w:t>
            </w:r>
          </w:p>
        </w:tc>
        <w:tc>
          <w:tcPr>
            <w:tcW w:w="2272" w:type="dxa"/>
          </w:tcPr>
          <w:p w14:paraId="77BA8230" w14:textId="77777777" w:rsidR="00F03A47" w:rsidRDefault="00F03A47" w:rsidP="007602C9">
            <w:pPr>
              <w:rPr>
                <w:lang w:val="mi-NZ"/>
              </w:rPr>
            </w:pPr>
            <w:r>
              <w:rPr>
                <w:lang w:val="mi-NZ"/>
              </w:rPr>
              <w:t>Long-lived gas that can last for centuries or milennia in the atmosphere.</w:t>
            </w:r>
          </w:p>
        </w:tc>
        <w:tc>
          <w:tcPr>
            <w:tcW w:w="2272" w:type="dxa"/>
          </w:tcPr>
          <w:p w14:paraId="4921706F" w14:textId="77777777" w:rsidR="00F03A47" w:rsidRDefault="00F03A47" w:rsidP="007602C9">
            <w:pPr>
              <w:rPr>
                <w:lang w:val="mi-NZ"/>
              </w:rPr>
            </w:pPr>
            <w:r>
              <w:rPr>
                <w:lang w:val="mi-NZ"/>
              </w:rPr>
              <w:t>Relatively small impact on per-molecule basis, but large effect with accumulation in the atmosphere over time. Responsible for the majority of human-driven warming.</w:t>
            </w:r>
          </w:p>
        </w:tc>
      </w:tr>
      <w:tr w:rsidR="00F03A47" w14:paraId="0C2CFD5E" w14:textId="77777777" w:rsidTr="007602C9">
        <w:trPr>
          <w:trHeight w:val="712"/>
        </w:trPr>
        <w:tc>
          <w:tcPr>
            <w:tcW w:w="2272" w:type="dxa"/>
          </w:tcPr>
          <w:p w14:paraId="02837D84" w14:textId="77777777" w:rsidR="00F03A47" w:rsidRPr="00320F1C" w:rsidRDefault="00F03A47" w:rsidP="007602C9">
            <w:pPr>
              <w:rPr>
                <w:b/>
                <w:lang w:val="mi-NZ"/>
              </w:rPr>
            </w:pPr>
            <w:r w:rsidRPr="00320F1C">
              <w:rPr>
                <w:b/>
                <w:bCs/>
                <w:lang w:val="mi-NZ"/>
              </w:rPr>
              <w:t>Methane</w:t>
            </w:r>
          </w:p>
        </w:tc>
        <w:tc>
          <w:tcPr>
            <w:tcW w:w="2272" w:type="dxa"/>
          </w:tcPr>
          <w:p w14:paraId="0972ECAD" w14:textId="77777777" w:rsidR="00F03A47" w:rsidRDefault="00F03A47" w:rsidP="007602C9">
            <w:pPr>
              <w:rPr>
                <w:lang w:val="mi-NZ"/>
              </w:rPr>
            </w:pPr>
            <w:r>
              <w:rPr>
                <w:lang w:val="mi-NZ"/>
              </w:rPr>
              <w:t xml:space="preserve">Accounts for the second largest share of global emissions (~20%). </w:t>
            </w:r>
          </w:p>
          <w:p w14:paraId="18EE5369" w14:textId="77777777" w:rsidR="00F03A47" w:rsidRDefault="00F03A47" w:rsidP="007602C9">
            <w:pPr>
              <w:rPr>
                <w:lang w:val="mi-NZ"/>
              </w:rPr>
            </w:pPr>
            <w:r>
              <w:rPr>
                <w:lang w:val="mi-NZ"/>
              </w:rPr>
              <w:t xml:space="preserve">Mostly from fossil fuel extraction, distribution and combustion. </w:t>
            </w:r>
          </w:p>
          <w:p w14:paraId="0A02B436" w14:textId="77777777" w:rsidR="00F03A47" w:rsidRDefault="00F03A47" w:rsidP="007602C9">
            <w:pPr>
              <w:rPr>
                <w:lang w:val="mi-NZ"/>
              </w:rPr>
            </w:pPr>
            <w:r>
              <w:rPr>
                <w:lang w:val="mi-NZ"/>
              </w:rPr>
              <w:t>Biogenic methane largely stems from ruminant agriculture, rice cultivation and organic waste decomposition.</w:t>
            </w:r>
          </w:p>
        </w:tc>
        <w:tc>
          <w:tcPr>
            <w:tcW w:w="2272" w:type="dxa"/>
          </w:tcPr>
          <w:p w14:paraId="24C83461" w14:textId="77777777" w:rsidR="00F03A47" w:rsidRDefault="00F03A47" w:rsidP="007602C9">
            <w:pPr>
              <w:rPr>
                <w:lang w:val="mi-NZ"/>
              </w:rPr>
            </w:pPr>
            <w:r>
              <w:rPr>
                <w:lang w:val="mi-NZ"/>
              </w:rPr>
              <w:t>Short-lived greenhouse gas. Breaks down in the atmosphere after around 12 years.</w:t>
            </w:r>
          </w:p>
        </w:tc>
        <w:tc>
          <w:tcPr>
            <w:tcW w:w="2272" w:type="dxa"/>
          </w:tcPr>
          <w:p w14:paraId="2F8E2446" w14:textId="77777777" w:rsidR="00F03A47" w:rsidRDefault="00F03A47" w:rsidP="007602C9">
            <w:r>
              <w:rPr>
                <w:lang w:val="mi-NZ"/>
              </w:rPr>
              <w:t>Powerful warming effect on a per-molecule basis. Responsbile for about one-fifth of all human-driven warming.</w:t>
            </w:r>
            <w:r>
              <w:rPr>
                <w:rStyle w:val="FootnoteReference"/>
                <w:rFonts w:ascii="Calibri" w:hAnsi="Calibri" w:cs="Calibri"/>
                <w:lang w:val="mi-NZ"/>
              </w:rPr>
              <w:t xml:space="preserve"> </w:t>
            </w:r>
          </w:p>
          <w:p w14:paraId="7B126802" w14:textId="77777777" w:rsidR="00F03A47" w:rsidRDefault="00F03A47" w:rsidP="007602C9">
            <w:pPr>
              <w:rPr>
                <w:lang w:val="mi-NZ"/>
              </w:rPr>
            </w:pPr>
            <w:r>
              <w:rPr>
                <w:rFonts w:ascii="Calibri" w:hAnsi="Calibri" w:cs="Calibri"/>
                <w:lang w:val="mi-NZ"/>
              </w:rPr>
              <w:t>Some longer-term indirect warming effects through climate-carbon cycle feedbacks that endure after atmospheric decay.</w:t>
            </w:r>
          </w:p>
        </w:tc>
      </w:tr>
      <w:tr w:rsidR="00F03A47" w14:paraId="2AC3312A" w14:textId="77777777" w:rsidTr="007602C9">
        <w:trPr>
          <w:trHeight w:val="673"/>
        </w:trPr>
        <w:tc>
          <w:tcPr>
            <w:tcW w:w="2272" w:type="dxa"/>
          </w:tcPr>
          <w:p w14:paraId="3500B8EB" w14:textId="77777777" w:rsidR="00F03A47" w:rsidRPr="00320F1C" w:rsidRDefault="00F03A47" w:rsidP="007602C9">
            <w:pPr>
              <w:rPr>
                <w:b/>
                <w:lang w:val="mi-NZ"/>
              </w:rPr>
            </w:pPr>
            <w:r w:rsidRPr="00320F1C">
              <w:rPr>
                <w:b/>
                <w:bCs/>
                <w:lang w:val="mi-NZ"/>
              </w:rPr>
              <w:t>Nitrous oxide</w:t>
            </w:r>
          </w:p>
        </w:tc>
        <w:tc>
          <w:tcPr>
            <w:tcW w:w="2272" w:type="dxa"/>
          </w:tcPr>
          <w:p w14:paraId="77C2EAEE" w14:textId="77777777" w:rsidR="00F03A47" w:rsidRDefault="00F03A47" w:rsidP="007602C9">
            <w:pPr>
              <w:rPr>
                <w:lang w:val="mi-NZ"/>
              </w:rPr>
            </w:pPr>
            <w:r>
              <w:rPr>
                <w:lang w:val="mi-NZ"/>
              </w:rPr>
              <w:t>Relatively small quantity of emissions (&lt;5%).</w:t>
            </w:r>
          </w:p>
          <w:p w14:paraId="0BBBAB51" w14:textId="77777777" w:rsidR="00F03A47" w:rsidRDefault="00F03A47" w:rsidP="007602C9">
            <w:pPr>
              <w:rPr>
                <w:lang w:val="mi-NZ"/>
              </w:rPr>
            </w:pPr>
            <w:r>
              <w:rPr>
                <w:lang w:val="mi-NZ"/>
              </w:rPr>
              <w:t>Mainly from industrial processes, agricultural soils, manure management and wastewater.</w:t>
            </w:r>
          </w:p>
        </w:tc>
        <w:tc>
          <w:tcPr>
            <w:tcW w:w="2272" w:type="dxa"/>
          </w:tcPr>
          <w:p w14:paraId="39A809D5" w14:textId="77777777" w:rsidR="00F03A47" w:rsidRDefault="00F03A47" w:rsidP="007602C9">
            <w:pPr>
              <w:rPr>
                <w:lang w:val="mi-NZ"/>
              </w:rPr>
            </w:pPr>
            <w:r>
              <w:rPr>
                <w:lang w:val="mi-NZ"/>
              </w:rPr>
              <w:t>Long-lived gas with warming dynamics similar to carbon dioxide over decadal to centennial timeframes.</w:t>
            </w:r>
          </w:p>
        </w:tc>
        <w:tc>
          <w:tcPr>
            <w:tcW w:w="2272" w:type="dxa"/>
          </w:tcPr>
          <w:p w14:paraId="7E8E0E30" w14:textId="62FF8419" w:rsidR="00F03A47" w:rsidRDefault="00F03A47" w:rsidP="007602C9">
            <w:pPr>
              <w:rPr>
                <w:lang w:val="mi-NZ"/>
              </w:rPr>
            </w:pPr>
            <w:r>
              <w:rPr>
                <w:lang w:val="mi-NZ"/>
              </w:rPr>
              <w:t>Powerful warming effect on a per-molecule basis. Accumulates in the atmosphere over time.</w:t>
            </w:r>
          </w:p>
        </w:tc>
      </w:tr>
    </w:tbl>
    <w:p w14:paraId="01E6A951" w14:textId="77777777" w:rsidR="00F03A47" w:rsidRPr="00972EF1" w:rsidRDefault="00F03A47" w:rsidP="00F03A47">
      <w:pPr>
        <w:pStyle w:val="paragraph"/>
        <w:spacing w:before="0" w:beforeAutospacing="0" w:after="0" w:afterAutospacing="0"/>
        <w:textAlignment w:val="baseline"/>
        <w:rPr>
          <w:rStyle w:val="normaltextrun"/>
          <w:rFonts w:ascii="Calibri" w:hAnsi="Calibri" w:cs="Calibri"/>
          <w:sz w:val="22"/>
          <w:szCs w:val="22"/>
          <w:lang w:val="mi-NZ"/>
        </w:rPr>
      </w:pPr>
    </w:p>
    <w:p w14:paraId="08FA2EDE" w14:textId="77777777" w:rsidR="00F03A47" w:rsidRPr="00972EF1" w:rsidRDefault="00F03A47" w:rsidP="00F03A47">
      <w:pPr>
        <w:pStyle w:val="paragraph"/>
        <w:spacing w:before="0" w:beforeAutospacing="0" w:after="0" w:afterAutospacing="0"/>
        <w:textAlignment w:val="baseline"/>
        <w:rPr>
          <w:rFonts w:asciiTheme="minorHAnsi" w:eastAsiaTheme="minorHAnsi" w:hAnsiTheme="minorHAnsi" w:cstheme="minorBidi"/>
          <w:sz w:val="22"/>
          <w:szCs w:val="22"/>
          <w:lang w:val="mi-NZ" w:eastAsia="en-US"/>
        </w:rPr>
      </w:pPr>
      <w:r>
        <w:rPr>
          <w:rStyle w:val="normaltextrun"/>
          <w:rFonts w:ascii="Calibri" w:hAnsi="Calibri" w:cs="Calibri"/>
          <w:sz w:val="22"/>
          <w:szCs w:val="22"/>
          <w:lang w:val="mi-NZ"/>
        </w:rPr>
        <w:t>The combination of these factors - the quantity of emissions, their duration</w:t>
      </w:r>
      <w:r w:rsidRPr="00972EF1">
        <w:rPr>
          <w:rStyle w:val="normaltextrun"/>
          <w:rFonts w:ascii="Calibri" w:hAnsi="Calibri" w:cs="Calibri"/>
          <w:sz w:val="22"/>
          <w:szCs w:val="22"/>
          <w:lang w:val="mi-NZ"/>
        </w:rPr>
        <w:t xml:space="preserve"> in the atmosphere </w:t>
      </w:r>
      <w:r>
        <w:rPr>
          <w:rStyle w:val="normaltextrun"/>
          <w:rFonts w:ascii="Calibri" w:hAnsi="Calibri" w:cs="Calibri"/>
          <w:sz w:val="22"/>
          <w:szCs w:val="22"/>
          <w:lang w:val="mi-NZ"/>
        </w:rPr>
        <w:t xml:space="preserve">and the </w:t>
      </w:r>
      <w:r w:rsidRPr="00972EF1">
        <w:rPr>
          <w:rStyle w:val="normaltextrun"/>
          <w:rFonts w:ascii="Calibri" w:hAnsi="Calibri" w:cs="Calibri"/>
          <w:sz w:val="22"/>
          <w:szCs w:val="22"/>
          <w:lang w:val="mi-NZ"/>
        </w:rPr>
        <w:t xml:space="preserve">warming </w:t>
      </w:r>
      <w:r>
        <w:rPr>
          <w:rStyle w:val="normaltextrun"/>
          <w:rFonts w:ascii="Calibri" w:hAnsi="Calibri" w:cs="Calibri"/>
          <w:sz w:val="22"/>
          <w:szCs w:val="22"/>
          <w:lang w:val="mi-NZ"/>
        </w:rPr>
        <w:t xml:space="preserve">effect of the gas – </w:t>
      </w:r>
      <w:r>
        <w:rPr>
          <w:rStyle w:val="normaltextrun"/>
          <w:rFonts w:ascii="Calibri" w:hAnsi="Calibri" w:cs="Calibri"/>
          <w:sz w:val="22"/>
          <w:szCs w:val="22"/>
          <w:shd w:val="clear" w:color="auto" w:fill="FFFFFF"/>
          <w:lang w:val="mi-NZ"/>
        </w:rPr>
        <w:t>all interact with</w:t>
      </w:r>
      <w:r w:rsidRPr="00972EF1">
        <w:rPr>
          <w:rStyle w:val="normaltextrun"/>
          <w:rFonts w:ascii="Calibri" w:hAnsi="Calibri" w:cs="Calibri"/>
          <w:sz w:val="22"/>
          <w:szCs w:val="22"/>
          <w:shd w:val="clear" w:color="auto" w:fill="FFFFFF"/>
          <w:lang w:val="mi-NZ"/>
        </w:rPr>
        <w:t xml:space="preserve"> each other to </w:t>
      </w:r>
      <w:r>
        <w:rPr>
          <w:rStyle w:val="normaltextrun"/>
          <w:rFonts w:ascii="Calibri" w:hAnsi="Calibri" w:cs="Calibri"/>
          <w:sz w:val="22"/>
          <w:szCs w:val="22"/>
          <w:shd w:val="clear" w:color="auto" w:fill="FFFFFF"/>
          <w:lang w:val="mi-NZ"/>
        </w:rPr>
        <w:t>produce</w:t>
      </w:r>
      <w:r w:rsidRPr="00972EF1">
        <w:rPr>
          <w:rStyle w:val="normaltextrun"/>
          <w:rFonts w:ascii="Calibri" w:hAnsi="Calibri" w:cs="Calibri"/>
          <w:sz w:val="22"/>
          <w:szCs w:val="22"/>
          <w:shd w:val="clear" w:color="auto" w:fill="FFFFFF"/>
          <w:lang w:val="mi-NZ"/>
        </w:rPr>
        <w:t xml:space="preserve"> any given temperature.</w:t>
      </w:r>
      <w:r>
        <w:rPr>
          <w:rStyle w:val="normaltextrun"/>
          <w:rFonts w:ascii="Calibri" w:hAnsi="Calibri" w:cs="Calibri"/>
          <w:sz w:val="22"/>
          <w:szCs w:val="22"/>
          <w:shd w:val="clear" w:color="auto" w:fill="FFFFFF"/>
          <w:lang w:val="mi-NZ"/>
        </w:rPr>
        <w:t xml:space="preserve"> </w:t>
      </w:r>
      <w:r>
        <w:rPr>
          <w:rFonts w:asciiTheme="minorHAnsi" w:eastAsiaTheme="minorHAnsi" w:hAnsiTheme="minorHAnsi" w:cstheme="minorBidi"/>
          <w:sz w:val="22"/>
          <w:szCs w:val="22"/>
          <w:lang w:val="mi-NZ" w:eastAsia="en-US"/>
        </w:rPr>
        <w:t>This means the reductions in biogenic methane required to meet the 1.5</w:t>
      </w:r>
      <w:r w:rsidRPr="00F8786C">
        <w:rPr>
          <w:rFonts w:asciiTheme="minorHAnsi" w:eastAsiaTheme="minorHAnsi" w:hAnsiTheme="minorHAnsi" w:cstheme="minorBidi"/>
          <w:sz w:val="22"/>
          <w:szCs w:val="22"/>
          <w:vertAlign w:val="superscript"/>
          <w:lang w:val="mi-NZ" w:eastAsia="en-US"/>
        </w:rPr>
        <w:t xml:space="preserve"> </w:t>
      </w:r>
      <w:r w:rsidRPr="00F8786C">
        <w:rPr>
          <w:rFonts w:asciiTheme="minorHAnsi" w:eastAsiaTheme="minorHAnsi" w:hAnsiTheme="minorHAnsi" w:cstheme="minorBidi"/>
          <w:iCs/>
          <w:sz w:val="22"/>
          <w:szCs w:val="22"/>
          <w:vertAlign w:val="superscript"/>
          <w:lang w:val="mi-NZ" w:eastAsia="en-US"/>
        </w:rPr>
        <w:t>o</w:t>
      </w:r>
      <w:r w:rsidRPr="00F8786C">
        <w:rPr>
          <w:rFonts w:asciiTheme="minorHAnsi" w:eastAsiaTheme="minorHAnsi" w:hAnsiTheme="minorHAnsi" w:cstheme="minorBidi"/>
          <w:sz w:val="22"/>
          <w:szCs w:val="22"/>
          <w:lang w:val="mi-NZ" w:eastAsia="en-US"/>
        </w:rPr>
        <w:t>C</w:t>
      </w:r>
      <w:r>
        <w:rPr>
          <w:rFonts w:asciiTheme="minorHAnsi" w:eastAsiaTheme="minorHAnsi" w:hAnsiTheme="minorHAnsi" w:cstheme="minorBidi"/>
          <w:sz w:val="22"/>
          <w:szCs w:val="22"/>
          <w:lang w:val="mi-NZ" w:eastAsia="en-US"/>
        </w:rPr>
        <w:t xml:space="preserve"> temperature goal are</w:t>
      </w:r>
      <w:r w:rsidDel="005849A8">
        <w:rPr>
          <w:rFonts w:asciiTheme="minorHAnsi" w:eastAsiaTheme="minorHAnsi" w:hAnsiTheme="minorHAnsi" w:cstheme="minorBidi"/>
          <w:sz w:val="22"/>
          <w:szCs w:val="22"/>
          <w:lang w:val="mi-NZ" w:eastAsia="en-US"/>
        </w:rPr>
        <w:t xml:space="preserve"> </w:t>
      </w:r>
      <w:r>
        <w:rPr>
          <w:rFonts w:asciiTheme="minorHAnsi" w:eastAsiaTheme="minorHAnsi" w:hAnsiTheme="minorHAnsi" w:cstheme="minorBidi"/>
          <w:sz w:val="22"/>
          <w:szCs w:val="22"/>
          <w:lang w:val="mi-NZ" w:eastAsia="en-US"/>
        </w:rPr>
        <w:t>dependent on the levels of other greenhouse gas emissions and emissions removals.</w:t>
      </w:r>
      <w:r w:rsidRPr="00972EF1">
        <w:rPr>
          <w:rFonts w:asciiTheme="minorHAnsi" w:eastAsiaTheme="minorHAnsi" w:hAnsiTheme="minorHAnsi" w:cstheme="minorBidi"/>
          <w:sz w:val="22"/>
          <w:szCs w:val="22"/>
          <w:lang w:val="mi-NZ" w:eastAsia="en-US"/>
        </w:rPr>
        <w:t xml:space="preserve"> </w:t>
      </w:r>
    </w:p>
    <w:p w14:paraId="00E4B519" w14:textId="77777777" w:rsidR="00F03A47" w:rsidRPr="00972EF1" w:rsidRDefault="00F03A47" w:rsidP="00F03A47">
      <w:pPr>
        <w:pStyle w:val="paragraph"/>
        <w:spacing w:before="0" w:beforeAutospacing="0" w:after="0" w:afterAutospacing="0"/>
        <w:textAlignment w:val="baseline"/>
        <w:rPr>
          <w:rFonts w:asciiTheme="minorHAnsi" w:eastAsiaTheme="minorHAnsi" w:hAnsiTheme="minorHAnsi" w:cstheme="minorBidi"/>
          <w:sz w:val="22"/>
          <w:szCs w:val="22"/>
          <w:lang w:val="mi-NZ" w:eastAsia="en-US"/>
        </w:rPr>
      </w:pPr>
    </w:p>
    <w:p w14:paraId="61043E43" w14:textId="4477CD46" w:rsidR="00F03A47" w:rsidRPr="00EF42F8" w:rsidRDefault="00F03A47" w:rsidP="00F03A47">
      <w:pPr>
        <w:pStyle w:val="paragraph"/>
        <w:spacing w:before="0" w:beforeAutospacing="0" w:after="0" w:afterAutospacing="0"/>
        <w:textAlignment w:val="baseline"/>
        <w:rPr>
          <w:rFonts w:eastAsiaTheme="minorHAnsi"/>
          <w:b/>
          <w:lang w:val="mi-NZ"/>
        </w:rPr>
      </w:pPr>
      <w:r w:rsidRPr="00EF42F8">
        <w:rPr>
          <w:rFonts w:asciiTheme="minorHAnsi" w:eastAsiaTheme="minorHAnsi" w:hAnsiTheme="minorHAnsi" w:cstheme="minorBidi"/>
          <w:b/>
          <w:sz w:val="22"/>
          <w:szCs w:val="22"/>
          <w:lang w:val="mi-NZ" w:eastAsia="en-US"/>
        </w:rPr>
        <w:t>The global reductions in biogenic methane required to stay below 1.5</w:t>
      </w:r>
      <w:r w:rsidRPr="00EF42F8">
        <w:rPr>
          <w:rFonts w:asciiTheme="minorHAnsi" w:eastAsiaTheme="minorHAnsi" w:hAnsiTheme="minorHAnsi" w:cstheme="minorBidi"/>
          <w:b/>
          <w:sz w:val="22"/>
          <w:szCs w:val="22"/>
          <w:vertAlign w:val="superscript"/>
          <w:lang w:val="mi-NZ" w:eastAsia="en-US"/>
        </w:rPr>
        <w:t xml:space="preserve"> o</w:t>
      </w:r>
      <w:r w:rsidRPr="00EF42F8">
        <w:rPr>
          <w:rFonts w:asciiTheme="minorHAnsi" w:eastAsiaTheme="minorHAnsi" w:hAnsiTheme="minorHAnsi" w:cstheme="minorBidi"/>
          <w:b/>
          <w:sz w:val="22"/>
          <w:szCs w:val="22"/>
          <w:lang w:val="mi-NZ" w:eastAsia="en-US"/>
        </w:rPr>
        <w:t xml:space="preserve">C will depend on the level of carbon dioxide and nitrous oxide emissions over the next century. Therefore, it is not currently possible to know for certain what reductions in biogenic methane will be required. However, it is </w:t>
      </w:r>
      <w:r w:rsidRPr="00EF42F8">
        <w:rPr>
          <w:rFonts w:asciiTheme="minorHAnsi" w:eastAsiaTheme="minorHAnsi" w:hAnsiTheme="minorHAnsi" w:cstheme="minorBidi"/>
          <w:b/>
          <w:sz w:val="22"/>
          <w:szCs w:val="22"/>
          <w:lang w:val="mi-NZ" w:eastAsia="en-US"/>
        </w:rPr>
        <w:lastRenderedPageBreak/>
        <w:t>possible to identify the ranges of reductions of the different gases that mean it is likely warming will be limited to 1.5</w:t>
      </w:r>
      <w:r w:rsidRPr="00EF42F8">
        <w:rPr>
          <w:rFonts w:asciiTheme="minorHAnsi" w:eastAsiaTheme="minorHAnsi" w:hAnsiTheme="minorHAnsi" w:cstheme="minorBidi"/>
          <w:b/>
          <w:sz w:val="22"/>
          <w:szCs w:val="22"/>
          <w:vertAlign w:val="superscript"/>
          <w:lang w:val="mi-NZ" w:eastAsia="en-US"/>
        </w:rPr>
        <w:t xml:space="preserve"> o</w:t>
      </w:r>
      <w:r w:rsidRPr="00EF42F8">
        <w:rPr>
          <w:rFonts w:asciiTheme="minorHAnsi" w:eastAsiaTheme="minorHAnsi" w:hAnsiTheme="minorHAnsi" w:cstheme="minorBidi"/>
          <w:b/>
          <w:sz w:val="22"/>
          <w:szCs w:val="22"/>
          <w:lang w:val="mi-NZ" w:eastAsia="en-US"/>
        </w:rPr>
        <w:t xml:space="preserve">C above pre-industrial levels. </w:t>
      </w:r>
    </w:p>
    <w:p w14:paraId="7AD57824" w14:textId="77777777" w:rsidR="00F03A47" w:rsidRPr="00972EF1" w:rsidRDefault="00F03A47" w:rsidP="00F03A47">
      <w:pPr>
        <w:pStyle w:val="paragraph"/>
        <w:spacing w:before="0" w:beforeAutospacing="0" w:after="0" w:afterAutospacing="0"/>
        <w:textAlignment w:val="baseline"/>
        <w:rPr>
          <w:rFonts w:asciiTheme="minorHAnsi" w:eastAsiaTheme="minorHAnsi" w:hAnsiTheme="minorHAnsi" w:cstheme="minorBidi"/>
          <w:sz w:val="22"/>
          <w:szCs w:val="22"/>
          <w:lang w:val="mi-NZ" w:eastAsia="en-US"/>
        </w:rPr>
      </w:pPr>
    </w:p>
    <w:p w14:paraId="6A6EFFC0" w14:textId="77777777" w:rsidR="00F03A47" w:rsidRPr="00CA373D" w:rsidRDefault="00F03A47" w:rsidP="00F03A47">
      <w:pPr>
        <w:pStyle w:val="Heading3"/>
      </w:pPr>
      <w:bookmarkStart w:id="366" w:name="_Toc62052800"/>
      <w:bookmarkStart w:id="367" w:name="_Toc62649418"/>
      <w:bookmarkStart w:id="368" w:name="_Toc62650359"/>
      <w:r>
        <w:t xml:space="preserve">9.2.1 </w:t>
      </w:r>
      <w:r w:rsidRPr="00CA373D">
        <w:t>Global pathways compatible with limiting warming to 1.5</w:t>
      </w:r>
      <w:r w:rsidRPr="00BD214E">
        <w:rPr>
          <w:lang w:val="mi-NZ"/>
        </w:rPr>
        <w:t>°C</w:t>
      </w:r>
      <w:bookmarkEnd w:id="366"/>
      <w:bookmarkEnd w:id="367"/>
      <w:bookmarkEnd w:id="368"/>
    </w:p>
    <w:p w14:paraId="3F566090" w14:textId="77777777" w:rsidR="00F03A47" w:rsidRDefault="00F03A47" w:rsidP="00F03A47">
      <w:pPr>
        <w:spacing w:line="252" w:lineRule="auto"/>
        <w:rPr>
          <w:lang w:val="mi-NZ"/>
        </w:rPr>
      </w:pPr>
      <w:r w:rsidRPr="00972EF1">
        <w:rPr>
          <w:lang w:val="mi-NZ"/>
        </w:rPr>
        <w:t xml:space="preserve">The IPCC has produced a large number of possible </w:t>
      </w:r>
      <w:r>
        <w:rPr>
          <w:lang w:val="mi-NZ"/>
        </w:rPr>
        <w:t>emissions reduction scenarios</w:t>
      </w:r>
      <w:r w:rsidRPr="00972EF1">
        <w:rPr>
          <w:lang w:val="mi-NZ"/>
        </w:rPr>
        <w:t xml:space="preserve"> that limit warming to 1.5</w:t>
      </w:r>
      <w:r w:rsidRPr="00496BB7">
        <w:rPr>
          <w:vertAlign w:val="superscript"/>
          <w:lang w:val="mi-NZ"/>
        </w:rPr>
        <w:t xml:space="preserve"> </w:t>
      </w:r>
      <w:r w:rsidRPr="00972EF1">
        <w:rPr>
          <w:iCs/>
          <w:vertAlign w:val="superscript"/>
          <w:lang w:val="mi-NZ"/>
        </w:rPr>
        <w:t>o</w:t>
      </w:r>
      <w:r>
        <w:rPr>
          <w:lang w:val="mi-NZ"/>
        </w:rPr>
        <w:t>C</w:t>
      </w:r>
      <w:r w:rsidRPr="00972EF1">
        <w:rPr>
          <w:lang w:val="mi-NZ"/>
        </w:rPr>
        <w:t>.</w:t>
      </w:r>
      <w:r>
        <w:rPr>
          <w:lang w:val="mi-NZ"/>
        </w:rPr>
        <w:t xml:space="preserve"> </w:t>
      </w:r>
      <w:r w:rsidRPr="00972EF1">
        <w:rPr>
          <w:lang w:val="mi-NZ"/>
        </w:rPr>
        <w:t xml:space="preserve">Each </w:t>
      </w:r>
      <w:r>
        <w:rPr>
          <w:lang w:val="mi-NZ"/>
        </w:rPr>
        <w:t>scenario</w:t>
      </w:r>
      <w:r w:rsidRPr="00972EF1">
        <w:rPr>
          <w:lang w:val="mi-NZ"/>
        </w:rPr>
        <w:t xml:space="preserve"> has been designed to reach </w:t>
      </w:r>
      <w:r>
        <w:rPr>
          <w:lang w:val="mi-NZ"/>
        </w:rPr>
        <w:t>the</w:t>
      </w:r>
      <w:r w:rsidRPr="00972EF1">
        <w:rPr>
          <w:lang w:val="mi-NZ"/>
        </w:rPr>
        <w:t xml:space="preserve"> temperature goal in the lowest-cost way possible. They use current understanding of the relative costs of reducing emissions using known technologies. They do not include any direct </w:t>
      </w:r>
      <w:r>
        <w:rPr>
          <w:lang w:val="mi-NZ"/>
        </w:rPr>
        <w:t>emissions reduction</w:t>
      </w:r>
      <w:r w:rsidRPr="00972EF1">
        <w:rPr>
          <w:lang w:val="mi-NZ"/>
        </w:rPr>
        <w:t xml:space="preserve"> technologies applying to biogenic methane</w:t>
      </w:r>
      <w:r>
        <w:rPr>
          <w:lang w:val="mi-NZ"/>
        </w:rPr>
        <w:t xml:space="preserve">. </w:t>
      </w:r>
      <w:r w:rsidRPr="00972EF1">
        <w:rPr>
          <w:lang w:val="mi-NZ"/>
        </w:rPr>
        <w:t xml:space="preserve">The </w:t>
      </w:r>
      <w:r>
        <w:rPr>
          <w:lang w:val="mi-NZ"/>
        </w:rPr>
        <w:t>scenarios</w:t>
      </w:r>
      <w:r w:rsidRPr="00972EF1">
        <w:rPr>
          <w:lang w:val="mi-NZ"/>
        </w:rPr>
        <w:t xml:space="preserve"> contain a range of assumptions about economic growth, technology developments and lifestyles. </w:t>
      </w:r>
    </w:p>
    <w:p w14:paraId="6FC338CB" w14:textId="10AB3B54" w:rsidR="00F03A47" w:rsidRPr="00972EF1" w:rsidRDefault="00F03A47" w:rsidP="00F03A47">
      <w:pPr>
        <w:spacing w:line="252" w:lineRule="auto"/>
        <w:rPr>
          <w:lang w:val="mi-NZ"/>
        </w:rPr>
      </w:pPr>
      <w:r w:rsidRPr="00972EF1">
        <w:rPr>
          <w:lang w:val="mi-NZ"/>
        </w:rPr>
        <w:t>The IPCC modelling found 1.5</w:t>
      </w:r>
      <w:r w:rsidRPr="00713EF4">
        <w:rPr>
          <w:rFonts w:cstheme="minorHAnsi"/>
          <w:iCs/>
          <w:lang w:val="mi-NZ"/>
        </w:rPr>
        <w:t>°</w:t>
      </w:r>
      <w:r>
        <w:rPr>
          <w:lang w:val="mi-NZ"/>
        </w:rPr>
        <w:t xml:space="preserve">C </w:t>
      </w:r>
      <w:r w:rsidRPr="00972EF1">
        <w:rPr>
          <w:lang w:val="mi-NZ"/>
        </w:rPr>
        <w:t xml:space="preserve">compatible </w:t>
      </w:r>
      <w:r>
        <w:rPr>
          <w:lang w:val="mi-NZ"/>
        </w:rPr>
        <w:t>scenarios</w:t>
      </w:r>
      <w:r w:rsidRPr="00972EF1">
        <w:rPr>
          <w:lang w:val="mi-NZ"/>
        </w:rPr>
        <w:t xml:space="preserve"> under a broad range of possible futures, with different economic and demographic developments.</w:t>
      </w:r>
      <w:r w:rsidRPr="00972EF1">
        <w:rPr>
          <w:rStyle w:val="FootnoteReference"/>
          <w:lang w:val="mi-NZ"/>
        </w:rPr>
        <w:t xml:space="preserve"> </w:t>
      </w:r>
      <w:r w:rsidRPr="00972EF1">
        <w:rPr>
          <w:lang w:val="mi-NZ"/>
        </w:rPr>
        <w:t>All of the 1.5</w:t>
      </w:r>
      <w:r w:rsidRPr="00972EF1">
        <w:rPr>
          <w:vertAlign w:val="superscript"/>
          <w:lang w:val="mi-NZ"/>
        </w:rPr>
        <w:t>o</w:t>
      </w:r>
      <w:r>
        <w:rPr>
          <w:lang w:val="mi-NZ"/>
        </w:rPr>
        <w:t>C</w:t>
      </w:r>
      <w:r w:rsidRPr="00972EF1">
        <w:rPr>
          <w:lang w:val="mi-NZ"/>
        </w:rPr>
        <w:t xml:space="preserve"> compatible </w:t>
      </w:r>
      <w:r>
        <w:rPr>
          <w:lang w:val="mi-NZ"/>
        </w:rPr>
        <w:t>scenarios</w:t>
      </w:r>
      <w:r w:rsidRPr="00972EF1">
        <w:rPr>
          <w:lang w:val="mi-NZ"/>
        </w:rPr>
        <w:t xml:space="preserve"> are assume global population and food demand will increase o</w:t>
      </w:r>
      <w:r>
        <w:rPr>
          <w:lang w:val="mi-NZ"/>
        </w:rPr>
        <w:t>ver</w:t>
      </w:r>
      <w:r w:rsidRPr="00972EF1">
        <w:rPr>
          <w:lang w:val="mi-NZ"/>
        </w:rPr>
        <w:t xml:space="preserve"> the course of the century, although some of the scenarios expect both population and food demand to drop by 2100.</w:t>
      </w:r>
    </w:p>
    <w:p w14:paraId="2F66C4B3" w14:textId="77777777" w:rsidR="00F03A47" w:rsidRPr="00972EF1" w:rsidRDefault="00F03A47" w:rsidP="00F03A47">
      <w:pPr>
        <w:spacing w:after="240" w:line="276" w:lineRule="auto"/>
        <w:rPr>
          <w:lang w:val="mi-NZ"/>
        </w:rPr>
      </w:pPr>
      <w:r w:rsidRPr="00972EF1">
        <w:rPr>
          <w:lang w:val="mi-NZ"/>
        </w:rPr>
        <w:t xml:space="preserve">Despite their common underlying features, the IPCC </w:t>
      </w:r>
      <w:r>
        <w:rPr>
          <w:lang w:val="mi-NZ"/>
        </w:rPr>
        <w:t>scenarios</w:t>
      </w:r>
      <w:r w:rsidRPr="00972EF1">
        <w:rPr>
          <w:lang w:val="mi-NZ"/>
        </w:rPr>
        <w:t xml:space="preserve"> do differ in whether they always stay within the 1.5</w:t>
      </w:r>
      <w:r w:rsidRPr="00972EF1">
        <w:rPr>
          <w:rFonts w:cstheme="minorHAnsi"/>
          <w:lang w:val="mi-NZ"/>
        </w:rPr>
        <w:t>°</w:t>
      </w:r>
      <w:r w:rsidRPr="00972EF1">
        <w:rPr>
          <w:lang w:val="mi-NZ"/>
        </w:rPr>
        <w:t xml:space="preserve">C goal, with some </w:t>
      </w:r>
      <w:r>
        <w:rPr>
          <w:lang w:val="mi-NZ"/>
        </w:rPr>
        <w:t>scenarios</w:t>
      </w:r>
      <w:r w:rsidRPr="00972EF1">
        <w:rPr>
          <w:lang w:val="mi-NZ"/>
        </w:rPr>
        <w:t xml:space="preserve"> allowing the temperature to overshoot 1.5</w:t>
      </w:r>
      <w:r w:rsidRPr="00972EF1">
        <w:rPr>
          <w:rFonts w:cstheme="minorHAnsi"/>
          <w:lang w:val="mi-NZ"/>
        </w:rPr>
        <w:t>°</w:t>
      </w:r>
      <w:r w:rsidRPr="00972EF1">
        <w:rPr>
          <w:lang w:val="mi-NZ"/>
        </w:rPr>
        <w:t xml:space="preserve">C before cooling down again later in the century. </w:t>
      </w:r>
    </w:p>
    <w:p w14:paraId="1494D1BC" w14:textId="3B01F0E5" w:rsidR="00F03A47" w:rsidRDefault="00F03A47" w:rsidP="00F03A47">
      <w:pPr>
        <w:spacing w:line="252" w:lineRule="auto"/>
        <w:rPr>
          <w:lang w:val="mi-NZ"/>
        </w:rPr>
      </w:pPr>
      <w:r>
        <w:rPr>
          <w:rStyle w:val="normaltextrun"/>
          <w:rFonts w:ascii="Calibri" w:hAnsi="Calibri" w:cs="Calibri"/>
          <w:color w:val="000000"/>
          <w:shd w:val="clear" w:color="auto" w:fill="FFFFFF"/>
        </w:rPr>
        <w:t>The scenarios with little or no overshoot have been estimated to be the most likely to deliver the best overall social, economic and environmental outcomes. Higher levels of overshoot are associated with higher cumulative emissions and greater climate impacts and adaptation needs. Scenarios with higher overshoot also rely on high levels of emissions removal technologies such as carbon capture and storage that may not be feasible. We have therefore chosen to only consider scenarios with no or limited overshoot.</w:t>
      </w:r>
      <w:r>
        <w:rPr>
          <w:rStyle w:val="eop"/>
          <w:rFonts w:ascii="Calibri" w:hAnsi="Calibri" w:cs="Calibri"/>
          <w:color w:val="000000"/>
          <w:shd w:val="clear" w:color="auto" w:fill="FFFFFF"/>
        </w:rPr>
        <w:t xml:space="preserve"> </w:t>
      </w:r>
    </w:p>
    <w:p w14:paraId="2C3ED072" w14:textId="056620B2" w:rsidR="00F03A47" w:rsidRDefault="00F03A47" w:rsidP="00F03A47">
      <w:pPr>
        <w:rPr>
          <w:lang w:val="mi-NZ"/>
        </w:rPr>
      </w:pPr>
      <w:r w:rsidRPr="00972EF1">
        <w:rPr>
          <w:lang w:val="mi-NZ"/>
        </w:rPr>
        <w:t xml:space="preserve">Each </w:t>
      </w:r>
      <w:r>
        <w:rPr>
          <w:lang w:val="mi-NZ"/>
        </w:rPr>
        <w:t xml:space="preserve">of these </w:t>
      </w:r>
      <w:r w:rsidRPr="00972EF1">
        <w:rPr>
          <w:lang w:val="mi-NZ"/>
        </w:rPr>
        <w:t xml:space="preserve">different </w:t>
      </w:r>
      <w:r>
        <w:rPr>
          <w:lang w:val="mi-NZ"/>
        </w:rPr>
        <w:t>scenarios</w:t>
      </w:r>
      <w:r w:rsidRPr="00972EF1">
        <w:rPr>
          <w:lang w:val="mi-NZ"/>
        </w:rPr>
        <w:t xml:space="preserve"> results in different rates of emissions reduction</w:t>
      </w:r>
      <w:r>
        <w:rPr>
          <w:lang w:val="mi-NZ"/>
        </w:rPr>
        <w:t>s</w:t>
      </w:r>
      <w:r w:rsidRPr="00972EF1">
        <w:rPr>
          <w:lang w:val="mi-NZ"/>
        </w:rPr>
        <w:t xml:space="preserve"> for each greenhouse gas. </w:t>
      </w:r>
      <w:r>
        <w:rPr>
          <w:lang w:val="mi-NZ"/>
        </w:rPr>
        <w:t>The interquartile range of emissions reductions ranges for carbon dioxide, agricultural methane and nitrous oxide in these scenarios are summarised below in</w:t>
      </w:r>
      <w:r w:rsidRPr="009570B7">
        <w:rPr>
          <w:lang w:val="mi-NZ"/>
        </w:rPr>
        <w:t xml:space="preserve"> </w:t>
      </w:r>
      <w:r w:rsidRPr="009570B7">
        <w:rPr>
          <w:lang w:val="mi-NZ"/>
        </w:rPr>
        <w:fldChar w:fldCharType="begin"/>
      </w:r>
      <w:r w:rsidRPr="009570B7">
        <w:rPr>
          <w:lang w:val="mi-NZ"/>
        </w:rPr>
        <w:instrText xml:space="preserve"> REF _Ref58859514 \h  \* MERGEFORMAT </w:instrText>
      </w:r>
      <w:r w:rsidRPr="009570B7">
        <w:rPr>
          <w:lang w:val="mi-NZ"/>
        </w:rPr>
      </w:r>
      <w:r w:rsidRPr="009570B7">
        <w:rPr>
          <w:lang w:val="mi-NZ"/>
        </w:rPr>
        <w:fldChar w:fldCharType="separate"/>
      </w:r>
      <w:r w:rsidR="00A22B54" w:rsidRPr="00A22B54">
        <w:rPr>
          <w:lang w:val="mi-NZ"/>
        </w:rPr>
        <w:t xml:space="preserve">Table </w:t>
      </w:r>
      <w:r w:rsidR="00A22B54" w:rsidRPr="00D47AEC">
        <w:rPr>
          <w:lang w:val="mi-NZ"/>
        </w:rPr>
        <w:t>9.</w:t>
      </w:r>
      <w:r w:rsidRPr="009570B7">
        <w:rPr>
          <w:lang w:val="mi-NZ"/>
        </w:rPr>
        <w:fldChar w:fldCharType="end"/>
      </w:r>
      <w:r>
        <w:rPr>
          <w:lang w:val="mi-NZ"/>
        </w:rPr>
        <w:t xml:space="preserve"> </w:t>
      </w:r>
      <w:r>
        <w:t xml:space="preserve">We have used the interquartile range as it excludes more extreme model results that are less likely to be feasible. </w:t>
      </w:r>
      <w:r>
        <w:rPr>
          <w:lang w:val="mi-NZ"/>
        </w:rPr>
        <w:t>The emission reductions here are associated with scenarios with a 50-66% probability of limiting warming to 1.5</w:t>
      </w:r>
      <w:r>
        <w:rPr>
          <w:rFonts w:cstheme="minorHAnsi"/>
          <w:lang w:val="mi-NZ"/>
        </w:rPr>
        <w:t>ᵒ</w:t>
      </w:r>
      <w:r>
        <w:rPr>
          <w:lang w:val="mi-NZ"/>
        </w:rPr>
        <w:t>C.</w:t>
      </w:r>
    </w:p>
    <w:p w14:paraId="00CF7345" w14:textId="332A9F6C" w:rsidR="00F03A47" w:rsidRDefault="00F03A47" w:rsidP="00F03A47">
      <w:r>
        <w:t>Scenarios</w:t>
      </w:r>
      <w:r w:rsidRPr="007E216B">
        <w:t xml:space="preserve"> </w:t>
      </w:r>
      <w:r w:rsidRPr="00C121FA">
        <w:t xml:space="preserve">closer to the lower quartile range have greater </w:t>
      </w:r>
      <w:r w:rsidRPr="007E216B">
        <w:t>methane</w:t>
      </w:r>
      <w:r w:rsidRPr="00C121FA">
        <w:t xml:space="preserve"> reductions and are less likely to overshoot the 1.5</w:t>
      </w:r>
      <w:r w:rsidRPr="00C121FA">
        <w:rPr>
          <w:rFonts w:ascii="Symbol" w:eastAsia="Symbol" w:hAnsi="Symbol" w:cs="Symbol"/>
        </w:rPr>
        <w:t>°</w:t>
      </w:r>
      <w:r w:rsidRPr="00C121FA">
        <w:t xml:space="preserve">C goal. Conversely, </w:t>
      </w:r>
      <w:r>
        <w:t>scenarios</w:t>
      </w:r>
      <w:r w:rsidRPr="007E216B">
        <w:t xml:space="preserve"> </w:t>
      </w:r>
      <w:r w:rsidRPr="00C121FA">
        <w:t xml:space="preserve">closer to the upper quartile range have smaller </w:t>
      </w:r>
      <w:r w:rsidRPr="007E216B">
        <w:t>methane</w:t>
      </w:r>
      <w:r w:rsidRPr="00C121FA">
        <w:t xml:space="preserve"> reductions and are more likely to overshoot the 1.5</w:t>
      </w:r>
      <w:r w:rsidRPr="00C121FA">
        <w:rPr>
          <w:rFonts w:ascii="Symbol" w:eastAsia="Symbol" w:hAnsi="Symbol" w:cs="Symbol"/>
        </w:rPr>
        <w:t>°</w:t>
      </w:r>
      <w:r w:rsidRPr="00C121FA">
        <w:t>C goal and rely on carbon dioxide removals in the latter part of the century to bring temperatures back down. The IPCC has noted that relying on large scale carbon dioxide removals represents a major risk that the world will not be able to limit warming to 1.5</w:t>
      </w:r>
      <w:r w:rsidRPr="00C121FA">
        <w:rPr>
          <w:rFonts w:ascii="Symbol" w:eastAsia="Symbol" w:hAnsi="Symbol" w:cs="Symbol"/>
        </w:rPr>
        <w:t>°</w:t>
      </w:r>
      <w:r w:rsidRPr="00C121FA">
        <w:t>C.</w:t>
      </w:r>
    </w:p>
    <w:p w14:paraId="0532AFFB" w14:textId="0495D713" w:rsidR="002C0A8A" w:rsidRDefault="002C0A8A" w:rsidP="00F03A47"/>
    <w:p w14:paraId="0368B1CC" w14:textId="755ED4AD" w:rsidR="002C0A8A" w:rsidRDefault="002C0A8A" w:rsidP="00F03A47"/>
    <w:p w14:paraId="5211EC41" w14:textId="77777777" w:rsidR="002C0A8A" w:rsidRPr="008B41EF" w:rsidRDefault="002C0A8A" w:rsidP="00F03A47"/>
    <w:p w14:paraId="3185C6FA" w14:textId="77777777" w:rsidR="00F03A47" w:rsidRPr="00D47AEC" w:rsidRDefault="00F03A47" w:rsidP="00F03A47">
      <w:pPr>
        <w:pStyle w:val="Caption"/>
        <w:rPr>
          <w:i w:val="0"/>
          <w:lang w:val="mi-NZ"/>
        </w:rPr>
      </w:pPr>
      <w:bookmarkStart w:id="369" w:name="_Ref58859514"/>
      <w:r w:rsidRPr="00D47AEC">
        <w:lastRenderedPageBreak/>
        <w:t xml:space="preserve">Table </w:t>
      </w:r>
      <w:r w:rsidRPr="00D47AEC">
        <w:rPr>
          <w:lang w:val="mi-NZ"/>
        </w:rPr>
        <w:t>9.</w:t>
      </w:r>
      <w:bookmarkEnd w:id="369"/>
      <w:r w:rsidRPr="00D47AEC">
        <w:rPr>
          <w:lang w:val="mi-NZ"/>
        </w:rPr>
        <w:t>2: Change in greenhouse gas emissions in IPCC model scenarios with no or limited overshoot.</w:t>
      </w:r>
      <w:r w:rsidRPr="00D47AEC">
        <w:t xml:space="preserve"> </w:t>
      </w:r>
    </w:p>
    <w:tbl>
      <w:tblPr>
        <w:tblStyle w:val="GridTable1Light"/>
        <w:tblW w:w="0" w:type="auto"/>
        <w:tblInd w:w="478" w:type="dxa"/>
        <w:tblLook w:val="04A0" w:firstRow="1" w:lastRow="0" w:firstColumn="1" w:lastColumn="0" w:noHBand="0" w:noVBand="1"/>
      </w:tblPr>
      <w:tblGrid>
        <w:gridCol w:w="3472"/>
        <w:gridCol w:w="1583"/>
        <w:gridCol w:w="2068"/>
        <w:gridCol w:w="1573"/>
      </w:tblGrid>
      <w:tr w:rsidR="00F03A47" w:rsidRPr="00972EF1" w14:paraId="43C0FAE9" w14:textId="77777777" w:rsidTr="007602C9">
        <w:trPr>
          <w:cnfStyle w:val="100000000000" w:firstRow="1" w:lastRow="0" w:firstColumn="0" w:lastColumn="0" w:oddVBand="0" w:evenVBand="0" w:oddHBand="0"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3293" w:type="dxa"/>
            <w:tcBorders>
              <w:bottom w:val="single" w:sz="4" w:space="0" w:color="auto"/>
              <w:right w:val="single" w:sz="4" w:space="0" w:color="auto"/>
            </w:tcBorders>
          </w:tcPr>
          <w:p w14:paraId="742F4567" w14:textId="77777777" w:rsidR="00F03A47" w:rsidRPr="00972EF1" w:rsidRDefault="00F03A47" w:rsidP="007602C9">
            <w:pPr>
              <w:spacing w:after="160"/>
              <w:jc w:val="center"/>
              <w:rPr>
                <w:b w:val="0"/>
                <w:bCs w:val="0"/>
                <w:lang w:val="mi-NZ"/>
              </w:rPr>
            </w:pPr>
          </w:p>
        </w:tc>
        <w:tc>
          <w:tcPr>
            <w:tcW w:w="5245" w:type="dxa"/>
            <w:gridSpan w:val="3"/>
            <w:tcBorders>
              <w:top w:val="single" w:sz="4" w:space="0" w:color="auto"/>
              <w:left w:val="single" w:sz="4" w:space="0" w:color="auto"/>
              <w:bottom w:val="single" w:sz="4" w:space="0" w:color="auto"/>
              <w:right w:val="single" w:sz="4" w:space="0" w:color="auto"/>
            </w:tcBorders>
          </w:tcPr>
          <w:p w14:paraId="54866AED" w14:textId="77777777" w:rsidR="00F03A47" w:rsidRPr="00972EF1" w:rsidRDefault="00F03A47" w:rsidP="007602C9">
            <w:pPr>
              <w:cnfStyle w:val="100000000000" w:firstRow="1" w:lastRow="0" w:firstColumn="0" w:lastColumn="0" w:oddVBand="0" w:evenVBand="0" w:oddHBand="0" w:evenHBand="0" w:firstRowFirstColumn="0" w:firstRowLastColumn="0" w:lastRowFirstColumn="0" w:lastRowLastColumn="0"/>
              <w:rPr>
                <w:lang w:val="mi-NZ"/>
              </w:rPr>
            </w:pPr>
            <w:r w:rsidRPr="008B41EF">
              <w:rPr>
                <w:lang w:val="mi-NZ"/>
              </w:rPr>
              <w:t>Percentage change relative to 2010</w:t>
            </w:r>
          </w:p>
        </w:tc>
      </w:tr>
      <w:tr w:rsidR="00F03A47" w:rsidRPr="00972EF1" w14:paraId="304D9C83" w14:textId="77777777" w:rsidTr="007602C9">
        <w:trPr>
          <w:trHeight w:val="311"/>
        </w:trPr>
        <w:tc>
          <w:tcPr>
            <w:cnfStyle w:val="001000000000" w:firstRow="0" w:lastRow="0" w:firstColumn="1" w:lastColumn="0" w:oddVBand="0" w:evenVBand="0" w:oddHBand="0" w:evenHBand="0" w:firstRowFirstColumn="0" w:firstRowLastColumn="0" w:lastRowFirstColumn="0" w:lastRowLastColumn="0"/>
            <w:tcW w:w="3293" w:type="dxa"/>
            <w:tcBorders>
              <w:top w:val="single" w:sz="4" w:space="0" w:color="auto"/>
            </w:tcBorders>
          </w:tcPr>
          <w:p w14:paraId="5D669D4D" w14:textId="77777777" w:rsidR="00F03A47" w:rsidRPr="00972EF1" w:rsidRDefault="00F03A47" w:rsidP="007602C9">
            <w:pPr>
              <w:spacing w:after="160"/>
              <w:rPr>
                <w:lang w:val="mi-NZ"/>
              </w:rPr>
            </w:pPr>
          </w:p>
        </w:tc>
        <w:tc>
          <w:tcPr>
            <w:tcW w:w="1589" w:type="dxa"/>
            <w:tcBorders>
              <w:top w:val="single" w:sz="4" w:space="0" w:color="auto"/>
              <w:left w:val="single" w:sz="4" w:space="0" w:color="auto"/>
              <w:bottom w:val="single" w:sz="12" w:space="0" w:color="auto"/>
              <w:right w:val="single" w:sz="4" w:space="0" w:color="auto"/>
            </w:tcBorders>
          </w:tcPr>
          <w:p w14:paraId="44AD78F3" w14:textId="77777777" w:rsidR="00F03A47" w:rsidRPr="00972EF1" w:rsidRDefault="00F03A47" w:rsidP="007602C9">
            <w:pPr>
              <w:spacing w:after="160"/>
              <w:cnfStyle w:val="000000000000" w:firstRow="0" w:lastRow="0" w:firstColumn="0" w:lastColumn="0" w:oddVBand="0" w:evenVBand="0" w:oddHBand="0" w:evenHBand="0" w:firstRowFirstColumn="0" w:firstRowLastColumn="0" w:lastRowFirstColumn="0" w:lastRowLastColumn="0"/>
              <w:rPr>
                <w:lang w:val="mi-NZ"/>
              </w:rPr>
            </w:pPr>
            <w:r w:rsidRPr="00972EF1">
              <w:rPr>
                <w:lang w:val="mi-NZ"/>
              </w:rPr>
              <w:t>2030</w:t>
            </w:r>
          </w:p>
        </w:tc>
        <w:tc>
          <w:tcPr>
            <w:tcW w:w="2077" w:type="dxa"/>
            <w:tcBorders>
              <w:top w:val="single" w:sz="4" w:space="0" w:color="auto"/>
              <w:left w:val="single" w:sz="4" w:space="0" w:color="auto"/>
              <w:bottom w:val="single" w:sz="12" w:space="0" w:color="auto"/>
              <w:right w:val="single" w:sz="4" w:space="0" w:color="auto"/>
            </w:tcBorders>
          </w:tcPr>
          <w:p w14:paraId="4E05E448" w14:textId="77777777" w:rsidR="00F03A47" w:rsidRPr="00972EF1" w:rsidRDefault="00F03A47" w:rsidP="007602C9">
            <w:pPr>
              <w:spacing w:after="160"/>
              <w:cnfStyle w:val="000000000000" w:firstRow="0" w:lastRow="0" w:firstColumn="0" w:lastColumn="0" w:oddVBand="0" w:evenVBand="0" w:oddHBand="0" w:evenHBand="0" w:firstRowFirstColumn="0" w:firstRowLastColumn="0" w:lastRowFirstColumn="0" w:lastRowLastColumn="0"/>
              <w:rPr>
                <w:lang w:val="mi-NZ"/>
              </w:rPr>
            </w:pPr>
            <w:r w:rsidRPr="00972EF1">
              <w:rPr>
                <w:lang w:val="mi-NZ"/>
              </w:rPr>
              <w:t>2050</w:t>
            </w:r>
          </w:p>
        </w:tc>
        <w:tc>
          <w:tcPr>
            <w:tcW w:w="1579" w:type="dxa"/>
            <w:tcBorders>
              <w:top w:val="single" w:sz="4" w:space="0" w:color="auto"/>
              <w:left w:val="single" w:sz="4" w:space="0" w:color="auto"/>
              <w:bottom w:val="single" w:sz="12" w:space="0" w:color="auto"/>
              <w:right w:val="single" w:sz="4" w:space="0" w:color="auto"/>
            </w:tcBorders>
          </w:tcPr>
          <w:p w14:paraId="53138E79" w14:textId="77777777" w:rsidR="00F03A47" w:rsidRPr="00972EF1" w:rsidRDefault="00F03A47" w:rsidP="007602C9">
            <w:pPr>
              <w:cnfStyle w:val="000000000000" w:firstRow="0" w:lastRow="0" w:firstColumn="0" w:lastColumn="0" w:oddVBand="0" w:evenVBand="0" w:oddHBand="0" w:evenHBand="0" w:firstRowFirstColumn="0" w:firstRowLastColumn="0" w:lastRowFirstColumn="0" w:lastRowLastColumn="0"/>
              <w:rPr>
                <w:lang w:val="mi-NZ"/>
              </w:rPr>
            </w:pPr>
            <w:r w:rsidRPr="00972EF1">
              <w:rPr>
                <w:lang w:val="mi-NZ"/>
              </w:rPr>
              <w:t>2100</w:t>
            </w:r>
          </w:p>
        </w:tc>
      </w:tr>
      <w:tr w:rsidR="00F03A47" w:rsidRPr="00972EF1" w14:paraId="62051EA2" w14:textId="77777777" w:rsidTr="007602C9">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tcBorders>
          </w:tcPr>
          <w:p w14:paraId="2C7A1E4A" w14:textId="77777777" w:rsidR="00F03A47" w:rsidRPr="008B41EF" w:rsidRDefault="00F03A47" w:rsidP="007602C9">
            <w:pPr>
              <w:spacing w:after="160"/>
              <w:rPr>
                <w:lang w:val="mi-NZ"/>
              </w:rPr>
            </w:pPr>
            <w:r w:rsidRPr="008B41EF">
              <w:rPr>
                <w:lang w:val="mi-NZ"/>
              </w:rPr>
              <w:t>Net carbon dioxide emissions</w:t>
            </w:r>
          </w:p>
        </w:tc>
        <w:tc>
          <w:tcPr>
            <w:tcW w:w="1589" w:type="dxa"/>
            <w:tcBorders>
              <w:top w:val="single" w:sz="12" w:space="0" w:color="auto"/>
            </w:tcBorders>
          </w:tcPr>
          <w:p w14:paraId="63E8C869" w14:textId="77777777" w:rsidR="00F03A47" w:rsidRPr="00972EF1" w:rsidRDefault="00F03A47" w:rsidP="007602C9">
            <w:pPr>
              <w:spacing w:after="160"/>
              <w:cnfStyle w:val="000000000000" w:firstRow="0" w:lastRow="0" w:firstColumn="0" w:lastColumn="0" w:oddVBand="0" w:evenVBand="0" w:oddHBand="0" w:evenHBand="0" w:firstRowFirstColumn="0" w:firstRowLastColumn="0" w:lastRowFirstColumn="0" w:lastRowLastColumn="0"/>
              <w:rPr>
                <w:lang w:val="mi-NZ"/>
              </w:rPr>
            </w:pPr>
            <w:r w:rsidRPr="00972EF1">
              <w:rPr>
                <w:lang w:val="mi-NZ"/>
              </w:rPr>
              <w:t>-40 to -58%</w:t>
            </w:r>
          </w:p>
        </w:tc>
        <w:tc>
          <w:tcPr>
            <w:tcW w:w="2077" w:type="dxa"/>
            <w:tcBorders>
              <w:top w:val="single" w:sz="12" w:space="0" w:color="auto"/>
            </w:tcBorders>
          </w:tcPr>
          <w:p w14:paraId="745D4194" w14:textId="77777777" w:rsidR="00F03A47" w:rsidRPr="00972EF1" w:rsidRDefault="00F03A47" w:rsidP="007602C9">
            <w:pPr>
              <w:spacing w:after="160"/>
              <w:cnfStyle w:val="000000000000" w:firstRow="0" w:lastRow="0" w:firstColumn="0" w:lastColumn="0" w:oddVBand="0" w:evenVBand="0" w:oddHBand="0" w:evenHBand="0" w:firstRowFirstColumn="0" w:firstRowLastColumn="0" w:lastRowFirstColumn="0" w:lastRowLastColumn="0"/>
              <w:rPr>
                <w:lang w:val="mi-NZ"/>
              </w:rPr>
            </w:pPr>
            <w:r w:rsidRPr="00972EF1">
              <w:rPr>
                <w:lang w:val="mi-NZ"/>
              </w:rPr>
              <w:t>-94 to -107%</w:t>
            </w:r>
          </w:p>
        </w:tc>
        <w:tc>
          <w:tcPr>
            <w:tcW w:w="1579" w:type="dxa"/>
            <w:tcBorders>
              <w:top w:val="single" w:sz="12" w:space="0" w:color="auto"/>
            </w:tcBorders>
          </w:tcPr>
          <w:p w14:paraId="38A9B803" w14:textId="77777777" w:rsidR="00F03A47" w:rsidRPr="00972EF1" w:rsidRDefault="00F03A47" w:rsidP="007602C9">
            <w:pPr>
              <w:cnfStyle w:val="000000000000" w:firstRow="0" w:lastRow="0" w:firstColumn="0" w:lastColumn="0" w:oddVBand="0" w:evenVBand="0" w:oddHBand="0" w:evenHBand="0" w:firstRowFirstColumn="0" w:firstRowLastColumn="0" w:lastRowFirstColumn="0" w:lastRowLastColumn="0"/>
              <w:rPr>
                <w:lang w:val="mi-NZ"/>
              </w:rPr>
            </w:pPr>
            <w:r w:rsidRPr="00972EF1">
              <w:rPr>
                <w:lang w:val="mi-NZ"/>
              </w:rPr>
              <w:t>-121 to -136%</w:t>
            </w:r>
          </w:p>
        </w:tc>
      </w:tr>
      <w:tr w:rsidR="00F03A47" w:rsidRPr="00972EF1" w14:paraId="17BA6318" w14:textId="77777777" w:rsidTr="007602C9">
        <w:tc>
          <w:tcPr>
            <w:cnfStyle w:val="001000000000" w:firstRow="0" w:lastRow="0" w:firstColumn="1" w:lastColumn="0" w:oddVBand="0" w:evenVBand="0" w:oddHBand="0" w:evenHBand="0" w:firstRowFirstColumn="0" w:firstRowLastColumn="0" w:lastRowFirstColumn="0" w:lastRowLastColumn="0"/>
            <w:tcW w:w="0" w:type="auto"/>
          </w:tcPr>
          <w:p w14:paraId="79751AFE" w14:textId="77777777" w:rsidR="00F03A47" w:rsidRPr="008B41EF" w:rsidRDefault="00F03A47" w:rsidP="007602C9">
            <w:pPr>
              <w:spacing w:after="160"/>
              <w:rPr>
                <w:lang w:val="mi-NZ"/>
              </w:rPr>
            </w:pPr>
            <w:r w:rsidRPr="008B41EF">
              <w:rPr>
                <w:lang w:val="mi-NZ"/>
              </w:rPr>
              <w:t>Agricultural methane emissions</w:t>
            </w:r>
          </w:p>
        </w:tc>
        <w:tc>
          <w:tcPr>
            <w:tcW w:w="1589" w:type="dxa"/>
          </w:tcPr>
          <w:p w14:paraId="1C9982EE" w14:textId="77777777" w:rsidR="00F03A47" w:rsidRPr="00972EF1" w:rsidRDefault="00F03A47" w:rsidP="007602C9">
            <w:pPr>
              <w:spacing w:after="160"/>
              <w:cnfStyle w:val="000000000000" w:firstRow="0" w:lastRow="0" w:firstColumn="0" w:lastColumn="0" w:oddVBand="0" w:evenVBand="0" w:oddHBand="0" w:evenHBand="0" w:firstRowFirstColumn="0" w:firstRowLastColumn="0" w:lastRowFirstColumn="0" w:lastRowLastColumn="0"/>
              <w:rPr>
                <w:lang w:val="mi-NZ"/>
              </w:rPr>
            </w:pPr>
            <w:r w:rsidRPr="00972EF1">
              <w:rPr>
                <w:lang w:val="mi-NZ"/>
              </w:rPr>
              <w:t>-11 to -30%</w:t>
            </w:r>
          </w:p>
        </w:tc>
        <w:tc>
          <w:tcPr>
            <w:tcW w:w="2077" w:type="dxa"/>
          </w:tcPr>
          <w:p w14:paraId="4840934A" w14:textId="77777777" w:rsidR="00F03A47" w:rsidRPr="00972EF1" w:rsidRDefault="00F03A47" w:rsidP="007602C9">
            <w:pPr>
              <w:spacing w:after="160"/>
              <w:cnfStyle w:val="000000000000" w:firstRow="0" w:lastRow="0" w:firstColumn="0" w:lastColumn="0" w:oddVBand="0" w:evenVBand="0" w:oddHBand="0" w:evenHBand="0" w:firstRowFirstColumn="0" w:firstRowLastColumn="0" w:lastRowFirstColumn="0" w:lastRowLastColumn="0"/>
              <w:rPr>
                <w:lang w:val="mi-NZ"/>
              </w:rPr>
            </w:pPr>
            <w:r w:rsidRPr="00972EF1">
              <w:rPr>
                <w:lang w:val="mi-NZ"/>
              </w:rPr>
              <w:t>-24 to -47%</w:t>
            </w:r>
          </w:p>
        </w:tc>
        <w:tc>
          <w:tcPr>
            <w:tcW w:w="1579" w:type="dxa"/>
          </w:tcPr>
          <w:p w14:paraId="705F6BE0" w14:textId="77777777" w:rsidR="00F03A47" w:rsidRPr="00A6106E" w:rsidRDefault="00F03A47" w:rsidP="007602C9">
            <w:pPr>
              <w:cnfStyle w:val="000000000000" w:firstRow="0" w:lastRow="0" w:firstColumn="0" w:lastColumn="0" w:oddVBand="0" w:evenVBand="0" w:oddHBand="0" w:evenHBand="0" w:firstRowFirstColumn="0" w:firstRowLastColumn="0" w:lastRowFirstColumn="0" w:lastRowLastColumn="0"/>
              <w:rPr>
                <w:lang w:val="mi-NZ"/>
              </w:rPr>
            </w:pPr>
            <w:r w:rsidRPr="00A6106E">
              <w:rPr>
                <w:lang w:val="mi-NZ"/>
              </w:rPr>
              <w:t>-37 to -60%</w:t>
            </w:r>
          </w:p>
        </w:tc>
      </w:tr>
      <w:tr w:rsidR="00F03A47" w:rsidRPr="00972EF1" w14:paraId="76F78A19" w14:textId="77777777" w:rsidTr="007602C9">
        <w:tc>
          <w:tcPr>
            <w:cnfStyle w:val="001000000000" w:firstRow="0" w:lastRow="0" w:firstColumn="1" w:lastColumn="0" w:oddVBand="0" w:evenVBand="0" w:oddHBand="0" w:evenHBand="0" w:firstRowFirstColumn="0" w:firstRowLastColumn="0" w:lastRowFirstColumn="0" w:lastRowLastColumn="0"/>
            <w:tcW w:w="0" w:type="auto"/>
          </w:tcPr>
          <w:p w14:paraId="647846CA" w14:textId="77777777" w:rsidR="00F03A47" w:rsidRPr="008B41EF" w:rsidRDefault="00F03A47" w:rsidP="007602C9">
            <w:pPr>
              <w:spacing w:after="160"/>
              <w:rPr>
                <w:lang w:val="mi-NZ"/>
              </w:rPr>
            </w:pPr>
            <w:r w:rsidRPr="008B41EF">
              <w:rPr>
                <w:lang w:val="mi-NZ"/>
              </w:rPr>
              <w:t>Agricultural nitrous oxide emissions</w:t>
            </w:r>
          </w:p>
        </w:tc>
        <w:tc>
          <w:tcPr>
            <w:tcW w:w="1589" w:type="dxa"/>
          </w:tcPr>
          <w:p w14:paraId="7540A0A0" w14:textId="77777777" w:rsidR="00F03A47" w:rsidRPr="00972EF1" w:rsidRDefault="00F03A47" w:rsidP="007602C9">
            <w:pPr>
              <w:spacing w:after="160"/>
              <w:cnfStyle w:val="000000000000" w:firstRow="0" w:lastRow="0" w:firstColumn="0" w:lastColumn="0" w:oddVBand="0" w:evenVBand="0" w:oddHBand="0" w:evenHBand="0" w:firstRowFirstColumn="0" w:firstRowLastColumn="0" w:lastRowFirstColumn="0" w:lastRowLastColumn="0"/>
              <w:rPr>
                <w:lang w:val="mi-NZ"/>
              </w:rPr>
            </w:pPr>
            <w:r w:rsidRPr="00972EF1">
              <w:rPr>
                <w:lang w:val="mi-NZ"/>
              </w:rPr>
              <w:t>+3% to -21%</w:t>
            </w:r>
          </w:p>
        </w:tc>
        <w:tc>
          <w:tcPr>
            <w:tcW w:w="2077" w:type="dxa"/>
          </w:tcPr>
          <w:p w14:paraId="4B5F13E2" w14:textId="77777777" w:rsidR="00F03A47" w:rsidRPr="00972EF1" w:rsidRDefault="00F03A47" w:rsidP="007602C9">
            <w:pPr>
              <w:spacing w:after="160"/>
              <w:cnfStyle w:val="000000000000" w:firstRow="0" w:lastRow="0" w:firstColumn="0" w:lastColumn="0" w:oddVBand="0" w:evenVBand="0" w:oddHBand="0" w:evenHBand="0" w:firstRowFirstColumn="0" w:firstRowLastColumn="0" w:lastRowFirstColumn="0" w:lastRowLastColumn="0"/>
              <w:rPr>
                <w:lang w:val="mi-NZ"/>
              </w:rPr>
            </w:pPr>
            <w:r w:rsidRPr="00972EF1">
              <w:rPr>
                <w:lang w:val="mi-NZ"/>
              </w:rPr>
              <w:t>+1% to -26%</w:t>
            </w:r>
          </w:p>
        </w:tc>
        <w:tc>
          <w:tcPr>
            <w:tcW w:w="1579" w:type="dxa"/>
          </w:tcPr>
          <w:p w14:paraId="198AA563" w14:textId="77777777" w:rsidR="00F03A47" w:rsidRPr="00972EF1" w:rsidRDefault="00F03A47" w:rsidP="007602C9">
            <w:pPr>
              <w:cnfStyle w:val="000000000000" w:firstRow="0" w:lastRow="0" w:firstColumn="0" w:lastColumn="0" w:oddVBand="0" w:evenVBand="0" w:oddHBand="0" w:evenHBand="0" w:firstRowFirstColumn="0" w:firstRowLastColumn="0" w:lastRowFirstColumn="0" w:lastRowLastColumn="0"/>
              <w:rPr>
                <w:lang w:val="mi-NZ"/>
              </w:rPr>
            </w:pPr>
            <w:r w:rsidRPr="00972EF1">
              <w:rPr>
                <w:lang w:val="mi-NZ"/>
              </w:rPr>
              <w:t>-6 to -39%</w:t>
            </w:r>
          </w:p>
        </w:tc>
      </w:tr>
    </w:tbl>
    <w:p w14:paraId="1179D7B2" w14:textId="77777777" w:rsidR="00F03A47" w:rsidRPr="00713EF4" w:rsidRDefault="00F03A47" w:rsidP="00F03A47">
      <w:pPr>
        <w:ind w:left="720"/>
        <w:rPr>
          <w:i/>
          <w:iCs/>
          <w:sz w:val="18"/>
          <w:szCs w:val="18"/>
          <w:lang w:val="mi-NZ"/>
        </w:rPr>
      </w:pPr>
      <w:r w:rsidRPr="00713EF4">
        <w:rPr>
          <w:i/>
          <w:iCs/>
          <w:sz w:val="18"/>
          <w:szCs w:val="18"/>
          <w:lang w:val="mi-NZ"/>
        </w:rPr>
        <w:t>Note: i</w:t>
      </w:r>
      <w:r w:rsidRPr="00713EF4">
        <w:rPr>
          <w:i/>
          <w:iCs/>
          <w:sz w:val="18"/>
          <w:szCs w:val="18"/>
        </w:rPr>
        <w:t>n some of the s</w:t>
      </w:r>
      <w:r>
        <w:rPr>
          <w:i/>
          <w:iCs/>
          <w:sz w:val="18"/>
          <w:szCs w:val="18"/>
        </w:rPr>
        <w:t>cenarios</w:t>
      </w:r>
      <w:r w:rsidRPr="00713EF4">
        <w:rPr>
          <w:i/>
          <w:iCs/>
          <w:sz w:val="18"/>
          <w:szCs w:val="18"/>
        </w:rPr>
        <w:t>, nitrous oxide stays the same or increases out to 2050. This reflects the lack of mitigation options that exist for this gas, and the fact that some nitrous oxide emissions are an inevitable by-product of agricultural practices.</w:t>
      </w:r>
    </w:p>
    <w:p w14:paraId="0A548FD3" w14:textId="77777777" w:rsidR="00F03A47" w:rsidRPr="00972EF1" w:rsidRDefault="00F03A47" w:rsidP="00F03A47">
      <w:pPr>
        <w:rPr>
          <w:lang w:val="mi-NZ"/>
        </w:rPr>
      </w:pPr>
      <w:r w:rsidRPr="00972EF1">
        <w:rPr>
          <w:lang w:val="mi-NZ"/>
        </w:rPr>
        <w:t xml:space="preserve">The </w:t>
      </w:r>
      <w:r>
        <w:rPr>
          <w:lang w:val="mi-NZ"/>
        </w:rPr>
        <w:t>scenarios</w:t>
      </w:r>
      <w:r w:rsidRPr="00972EF1">
        <w:rPr>
          <w:lang w:val="mi-NZ"/>
        </w:rPr>
        <w:t xml:space="preserve"> that had the greatest chance of limiting warming to 1.5</w:t>
      </w:r>
      <w:r w:rsidRPr="00972EF1">
        <w:rPr>
          <w:rFonts w:cstheme="minorHAnsi"/>
          <w:lang w:val="mi-NZ"/>
        </w:rPr>
        <w:t>°</w:t>
      </w:r>
      <w:r w:rsidRPr="00972EF1">
        <w:rPr>
          <w:lang w:val="mi-NZ"/>
        </w:rPr>
        <w:t>C, all required rapid emission</w:t>
      </w:r>
      <w:r>
        <w:rPr>
          <w:lang w:val="mi-NZ"/>
        </w:rPr>
        <w:t>s</w:t>
      </w:r>
      <w:r w:rsidRPr="00972EF1">
        <w:rPr>
          <w:lang w:val="mi-NZ"/>
        </w:rPr>
        <w:t xml:space="preserve"> </w:t>
      </w:r>
      <w:r>
        <w:rPr>
          <w:lang w:val="mi-NZ"/>
        </w:rPr>
        <w:t>reductions</w:t>
      </w:r>
      <w:r w:rsidRPr="00972EF1">
        <w:rPr>
          <w:lang w:val="mi-NZ"/>
        </w:rPr>
        <w:t xml:space="preserve"> of greenhouse gases between now and 2030 and then slower reductions out to the end of the century. All these </w:t>
      </w:r>
      <w:r>
        <w:rPr>
          <w:lang w:val="mi-NZ"/>
        </w:rPr>
        <w:t>scenarios</w:t>
      </w:r>
      <w:r w:rsidRPr="00972EF1">
        <w:rPr>
          <w:lang w:val="mi-NZ"/>
        </w:rPr>
        <w:t xml:space="preserve"> have several other features in common:</w:t>
      </w:r>
    </w:p>
    <w:p w14:paraId="691E420E" w14:textId="77777777" w:rsidR="00F03A47" w:rsidRDefault="00F03A47" w:rsidP="009B509E">
      <w:pPr>
        <w:pStyle w:val="ListParagraph"/>
        <w:numPr>
          <w:ilvl w:val="0"/>
          <w:numId w:val="87"/>
        </w:numPr>
        <w:autoSpaceDE w:val="0"/>
        <w:autoSpaceDN w:val="0"/>
        <w:adjustRightInd w:val="0"/>
        <w:spacing w:before="0" w:after="240" w:line="276" w:lineRule="auto"/>
        <w:ind w:left="714" w:hanging="357"/>
        <w:rPr>
          <w:lang w:val="mi-NZ"/>
        </w:rPr>
      </w:pPr>
      <w:r>
        <w:rPr>
          <w:lang w:val="mi-NZ"/>
        </w:rPr>
        <w:t>Net emissions of carbon dioxide and other greenhouse gases peak in the 2020s and then rapidly reduce through the 2030s and 2040s.</w:t>
      </w:r>
    </w:p>
    <w:p w14:paraId="48D8F9F6" w14:textId="77777777" w:rsidR="00F03A47" w:rsidRDefault="00F03A47" w:rsidP="009B509E">
      <w:pPr>
        <w:pStyle w:val="ListParagraph"/>
        <w:numPr>
          <w:ilvl w:val="0"/>
          <w:numId w:val="87"/>
        </w:numPr>
        <w:autoSpaceDE w:val="0"/>
        <w:autoSpaceDN w:val="0"/>
        <w:adjustRightInd w:val="0"/>
        <w:spacing w:before="0" w:after="240" w:line="276" w:lineRule="auto"/>
        <w:ind w:left="714" w:hanging="357"/>
        <w:rPr>
          <w:lang w:val="mi-NZ"/>
        </w:rPr>
      </w:pPr>
      <w:r>
        <w:rPr>
          <w:lang w:val="mi-NZ"/>
        </w:rPr>
        <w:t>Emissions of methane reduce significantly through the next 20 years, but do not need to reach zero by 2050 or 2100, due to the short-lived nature of the gas.</w:t>
      </w:r>
    </w:p>
    <w:p w14:paraId="46FA3B44" w14:textId="77777777" w:rsidR="00F03A47" w:rsidRDefault="00F03A47" w:rsidP="009B509E">
      <w:pPr>
        <w:pStyle w:val="ListParagraph"/>
        <w:numPr>
          <w:ilvl w:val="0"/>
          <w:numId w:val="87"/>
        </w:numPr>
        <w:autoSpaceDE w:val="0"/>
        <w:autoSpaceDN w:val="0"/>
        <w:adjustRightInd w:val="0"/>
        <w:spacing w:before="0" w:after="240" w:line="276" w:lineRule="auto"/>
        <w:ind w:left="714" w:hanging="357"/>
        <w:rPr>
          <w:lang w:val="mi-NZ"/>
        </w:rPr>
      </w:pPr>
      <w:r>
        <w:rPr>
          <w:lang w:val="mi-NZ"/>
        </w:rPr>
        <w:t>Emissions of nitrous oxide peak in the 2020s and then reduce, but do not reduce to zero due to the difficulty of eliminating nitrous oxide emissions from agriculture.</w:t>
      </w:r>
    </w:p>
    <w:p w14:paraId="08C084EF" w14:textId="0C9A04DD" w:rsidR="00F03A47" w:rsidRDefault="00F03A47" w:rsidP="009B509E">
      <w:pPr>
        <w:pStyle w:val="ListParagraph"/>
        <w:numPr>
          <w:ilvl w:val="0"/>
          <w:numId w:val="87"/>
        </w:numPr>
        <w:autoSpaceDE w:val="0"/>
        <w:autoSpaceDN w:val="0"/>
        <w:adjustRightInd w:val="0"/>
        <w:spacing w:before="0" w:after="240" w:line="276" w:lineRule="auto"/>
        <w:ind w:left="714" w:hanging="357"/>
        <w:rPr>
          <w:lang w:val="mi-NZ"/>
        </w:rPr>
      </w:pPr>
      <w:r>
        <w:rPr>
          <w:lang w:val="mi-NZ"/>
        </w:rPr>
        <w:t>Emissions of long-lived greenhouse gases will be near zero by 2050. Most pathways have some remaining gross emissions in 2050 from hard-to-abate sectors. This includes things like carbon dioxide from cement manufacturing. As a result, emissions removals are required to ensure emissions reach and remain at net zero.</w:t>
      </w:r>
    </w:p>
    <w:p w14:paraId="5CB88782" w14:textId="77777777" w:rsidR="00F03A47" w:rsidRPr="008C71D7" w:rsidRDefault="00F03A47" w:rsidP="00F03A47">
      <w:pPr>
        <w:spacing w:line="252" w:lineRule="auto"/>
        <w:rPr>
          <w:b/>
          <w:lang w:val="mi-NZ"/>
        </w:rPr>
      </w:pPr>
      <w:r>
        <w:rPr>
          <w:b/>
          <w:bCs/>
          <w:lang w:val="mi-NZ"/>
        </w:rPr>
        <w:t>Overall, t</w:t>
      </w:r>
      <w:r w:rsidRPr="008C71D7">
        <w:rPr>
          <w:b/>
          <w:bCs/>
          <w:lang w:val="mi-NZ"/>
        </w:rPr>
        <w:t xml:space="preserve">he IPCC </w:t>
      </w:r>
      <w:r>
        <w:rPr>
          <w:b/>
          <w:bCs/>
          <w:lang w:val="mi-NZ"/>
        </w:rPr>
        <w:t>scenarios</w:t>
      </w:r>
      <w:r w:rsidRPr="008C71D7">
        <w:rPr>
          <w:b/>
          <w:bCs/>
          <w:lang w:val="mi-NZ"/>
        </w:rPr>
        <w:t xml:space="preserve"> show that the</w:t>
      </w:r>
      <w:r>
        <w:rPr>
          <w:b/>
          <w:bCs/>
          <w:lang w:val="mi-NZ"/>
        </w:rPr>
        <w:t xml:space="preserve"> at least a 37% reduction in agricultural methane is required to have a 50-66% chance of limiting warming to 1.5</w:t>
      </w:r>
      <w:r w:rsidRPr="00CB3E02">
        <w:rPr>
          <w:b/>
          <w:bCs/>
          <w:iCs/>
          <w:vertAlign w:val="superscript"/>
          <w:lang w:val="mi-NZ"/>
        </w:rPr>
        <w:t>o</w:t>
      </w:r>
      <w:r w:rsidRPr="00CB3E02">
        <w:rPr>
          <w:b/>
          <w:bCs/>
          <w:lang w:val="mi-NZ"/>
        </w:rPr>
        <w:t>C</w:t>
      </w:r>
      <w:r>
        <w:rPr>
          <w:b/>
          <w:bCs/>
          <w:lang w:val="mi-NZ"/>
        </w:rPr>
        <w:t xml:space="preserve"> by 2100. Simply maintaining</w:t>
      </w:r>
      <w:r>
        <w:rPr>
          <w:b/>
          <w:lang w:val="mi-NZ"/>
        </w:rPr>
        <w:t xml:space="preserve"> the current level of warming from methane </w:t>
      </w:r>
      <w:r>
        <w:rPr>
          <w:b/>
          <w:bCs/>
          <w:lang w:val="mi-NZ"/>
        </w:rPr>
        <w:t xml:space="preserve">is not enough, as it </w:t>
      </w:r>
      <w:r w:rsidRPr="008C71D7">
        <w:rPr>
          <w:b/>
          <w:bCs/>
          <w:lang w:val="mi-NZ"/>
        </w:rPr>
        <w:t xml:space="preserve">would </w:t>
      </w:r>
      <w:r>
        <w:rPr>
          <w:b/>
          <w:bCs/>
          <w:lang w:val="mi-NZ"/>
        </w:rPr>
        <w:t>require the world to</w:t>
      </w:r>
      <w:r w:rsidRPr="008C71D7">
        <w:rPr>
          <w:b/>
          <w:bCs/>
          <w:lang w:val="mi-NZ"/>
        </w:rPr>
        <w:t xml:space="preserve"> reach</w:t>
      </w:r>
      <w:r w:rsidRPr="008C71D7">
        <w:rPr>
          <w:b/>
          <w:lang w:val="mi-NZ"/>
        </w:rPr>
        <w:t xml:space="preserve"> net</w:t>
      </w:r>
      <w:r w:rsidRPr="0A970AA4">
        <w:rPr>
          <w:b/>
          <w:bCs/>
          <w:lang w:val="mi-NZ"/>
        </w:rPr>
        <w:t xml:space="preserve"> </w:t>
      </w:r>
      <w:r w:rsidRPr="008C71D7">
        <w:rPr>
          <w:b/>
          <w:lang w:val="mi-NZ"/>
        </w:rPr>
        <w:t xml:space="preserve">zero </w:t>
      </w:r>
      <w:r>
        <w:rPr>
          <w:b/>
          <w:lang w:val="mi-NZ"/>
        </w:rPr>
        <w:t xml:space="preserve">carbon dioxde </w:t>
      </w:r>
      <w:r w:rsidRPr="008C71D7">
        <w:rPr>
          <w:b/>
          <w:lang w:val="mi-NZ"/>
        </w:rPr>
        <w:t>by 2030 to keep warming below 1.</w:t>
      </w:r>
      <w:r w:rsidRPr="008C71D7">
        <w:rPr>
          <w:b/>
          <w:bCs/>
          <w:lang w:val="mi-NZ"/>
        </w:rPr>
        <w:t>5</w:t>
      </w:r>
      <w:r w:rsidRPr="00CB3E02">
        <w:rPr>
          <w:b/>
          <w:bCs/>
          <w:iCs/>
          <w:vertAlign w:val="superscript"/>
          <w:lang w:val="mi-NZ"/>
        </w:rPr>
        <w:t>o</w:t>
      </w:r>
      <w:r w:rsidRPr="00CB3E02">
        <w:rPr>
          <w:b/>
          <w:bCs/>
          <w:lang w:val="mi-NZ"/>
        </w:rPr>
        <w:t>C</w:t>
      </w:r>
      <w:r w:rsidRPr="008C71D7">
        <w:rPr>
          <w:b/>
          <w:lang w:val="mi-NZ"/>
        </w:rPr>
        <w:t>. We consider this to be infeasible and consequent</w:t>
      </w:r>
      <w:r>
        <w:rPr>
          <w:b/>
          <w:lang w:val="mi-NZ"/>
        </w:rPr>
        <w:t>i</w:t>
      </w:r>
      <w:r w:rsidRPr="008C71D7">
        <w:rPr>
          <w:b/>
          <w:lang w:val="mi-NZ"/>
        </w:rPr>
        <w:t>ally that the global warming contribution from methane must be reduced if the 1.</w:t>
      </w:r>
      <w:r w:rsidRPr="008C71D7">
        <w:rPr>
          <w:b/>
          <w:bCs/>
          <w:lang w:val="mi-NZ"/>
        </w:rPr>
        <w:t>5</w:t>
      </w:r>
      <w:r w:rsidRPr="00CB3E02">
        <w:rPr>
          <w:b/>
          <w:bCs/>
          <w:iCs/>
          <w:vertAlign w:val="superscript"/>
          <w:lang w:val="mi-NZ"/>
        </w:rPr>
        <w:t>o</w:t>
      </w:r>
      <w:r w:rsidRPr="00CB3E02">
        <w:rPr>
          <w:b/>
          <w:bCs/>
          <w:lang w:val="mi-NZ"/>
        </w:rPr>
        <w:t>C</w:t>
      </w:r>
      <w:r w:rsidRPr="008C71D7">
        <w:rPr>
          <w:b/>
          <w:lang w:val="mi-NZ"/>
        </w:rPr>
        <w:t xml:space="preserve"> temperture goal is to be achieved.</w:t>
      </w:r>
    </w:p>
    <w:p w14:paraId="2E337965" w14:textId="634FE97C" w:rsidR="00F03A47" w:rsidRPr="00E37247" w:rsidRDefault="00F03A47" w:rsidP="00F03A47">
      <w:pPr>
        <w:rPr>
          <w:lang w:val="mi-NZ"/>
        </w:rPr>
      </w:pPr>
      <w:r w:rsidRPr="00FF3743">
        <w:rPr>
          <w:lang w:val="mi-NZ"/>
        </w:rPr>
        <w:t xml:space="preserve">The </w:t>
      </w:r>
      <w:r>
        <w:rPr>
          <w:lang w:val="mi-NZ"/>
        </w:rPr>
        <w:t xml:space="preserve">reductions in methane </w:t>
      </w:r>
      <w:r w:rsidRPr="00FF3743">
        <w:rPr>
          <w:lang w:val="mi-NZ"/>
        </w:rPr>
        <w:t>modell</w:t>
      </w:r>
      <w:r>
        <w:rPr>
          <w:lang w:val="mi-NZ"/>
        </w:rPr>
        <w:t xml:space="preserve">ed by the IPCC were against 2010 levels. The current biogenic methane targets for Aotearoa are set against 2017 emission levels. </w:t>
      </w:r>
      <w:r>
        <w:t xml:space="preserve">As the country’s biogenic methane emissions in 2010 and 2017 differed by less than 1%, the percentage reduction is the same when presented against either year. From here we present reductions in biogenic methane against 2017 levels for ease of comparison with the existing targets. </w:t>
      </w:r>
      <w:r>
        <w:rPr>
          <w:lang w:val="mi-NZ"/>
        </w:rPr>
        <w:t xml:space="preserve">  </w:t>
      </w:r>
    </w:p>
    <w:p w14:paraId="07C4D224" w14:textId="77777777" w:rsidR="00F03A47" w:rsidRPr="00972EF1" w:rsidRDefault="00F03A47" w:rsidP="00F03A47">
      <w:pPr>
        <w:rPr>
          <w:lang w:val="mi-NZ"/>
        </w:rPr>
      </w:pPr>
    </w:p>
    <w:p w14:paraId="24BE5645" w14:textId="52B0D350" w:rsidR="00F03A47" w:rsidRPr="00972EF1" w:rsidRDefault="00F03A47" w:rsidP="00F03A47">
      <w:pPr>
        <w:pStyle w:val="Heading2"/>
        <w:rPr>
          <w:lang w:val="mi-NZ"/>
        </w:rPr>
      </w:pPr>
      <w:bookmarkStart w:id="370" w:name="_Toc62052801"/>
      <w:bookmarkStart w:id="371" w:name="_Toc62650360"/>
      <w:r>
        <w:rPr>
          <w:lang w:val="mi-NZ"/>
        </w:rPr>
        <w:lastRenderedPageBreak/>
        <w:t xml:space="preserve">9.3 </w:t>
      </w:r>
      <w:r w:rsidRPr="00972EF1">
        <w:rPr>
          <w:lang w:val="mi-NZ"/>
        </w:rPr>
        <w:t>Consideration 2: What reductions of biogenic methane could Aotearoa make to contribute to limiting warming to 1.5 degrees, recognising national circumstances?</w:t>
      </w:r>
      <w:bookmarkEnd w:id="370"/>
      <w:bookmarkEnd w:id="371"/>
    </w:p>
    <w:p w14:paraId="35004878" w14:textId="73E6ACA3" w:rsidR="00F03A47" w:rsidRPr="00972EF1" w:rsidRDefault="00F03A47" w:rsidP="00F03A47">
      <w:pPr>
        <w:rPr>
          <w:lang w:val="mi-NZ"/>
        </w:rPr>
      </w:pPr>
      <w:r w:rsidRPr="2DEE3B75">
        <w:rPr>
          <w:lang w:val="mi-NZ"/>
        </w:rPr>
        <w:t>Our second consideration is of the potential contribution Aotearoa could make to reducing biogenic methane emissions, in light of national circumstances. We analyse the sources of biogenic methane emissions, the opportunities for Aotearoa to reduce biogenic methane emissions and key aspects of national circumstances that affect</w:t>
      </w:r>
      <w:r>
        <w:rPr>
          <w:lang w:val="mi-NZ"/>
        </w:rPr>
        <w:t xml:space="preserve"> these.</w:t>
      </w:r>
      <w:r w:rsidRPr="00972EF1">
        <w:rPr>
          <w:lang w:val="mi-NZ"/>
        </w:rPr>
        <w:t xml:space="preserve"> </w:t>
      </w:r>
    </w:p>
    <w:p w14:paraId="66E8EE4C" w14:textId="77777777" w:rsidR="00F03A47" w:rsidRPr="00972EF1" w:rsidRDefault="00F03A47" w:rsidP="00F03A47">
      <w:pPr>
        <w:pStyle w:val="Heading3"/>
        <w:rPr>
          <w:lang w:val="mi-NZ"/>
        </w:rPr>
      </w:pPr>
      <w:bookmarkStart w:id="372" w:name="_Toc62052802"/>
      <w:bookmarkStart w:id="373" w:name="_Toc62649420"/>
      <w:bookmarkStart w:id="374" w:name="_Toc62650361"/>
      <w:r>
        <w:rPr>
          <w:lang w:val="mi-NZ"/>
        </w:rPr>
        <w:t xml:space="preserve">9.3.1 </w:t>
      </w:r>
      <w:r w:rsidRPr="00972EF1">
        <w:rPr>
          <w:lang w:val="mi-NZ"/>
        </w:rPr>
        <w:t>The sources of biogenic methane</w:t>
      </w:r>
      <w:r>
        <w:rPr>
          <w:lang w:val="mi-NZ"/>
        </w:rPr>
        <w:t xml:space="preserve"> in Aotearoa</w:t>
      </w:r>
      <w:bookmarkEnd w:id="372"/>
      <w:bookmarkEnd w:id="373"/>
      <w:bookmarkEnd w:id="374"/>
    </w:p>
    <w:p w14:paraId="110AB720" w14:textId="77777777" w:rsidR="00F03A47" w:rsidRPr="00972EF1" w:rsidRDefault="00F03A47" w:rsidP="00F03A47">
      <w:pPr>
        <w:rPr>
          <w:lang w:val="mi-NZ"/>
        </w:rPr>
      </w:pPr>
      <w:r w:rsidRPr="00972EF1">
        <w:rPr>
          <w:lang w:val="mi-NZ"/>
        </w:rPr>
        <w:t>In 2018, gross emissions of biogenic methane were about 1.34 Mt CH</w:t>
      </w:r>
      <w:r w:rsidRPr="00972EF1">
        <w:rPr>
          <w:vertAlign w:val="subscript"/>
          <w:lang w:val="mi-NZ"/>
        </w:rPr>
        <w:t>4</w:t>
      </w:r>
      <w:r>
        <w:rPr>
          <w:lang w:val="mi-NZ"/>
        </w:rPr>
        <w:t xml:space="preserve"> in Aotearoa.</w:t>
      </w:r>
      <w:r w:rsidRPr="00972EF1">
        <w:rPr>
          <w:lang w:val="mi-NZ"/>
        </w:rPr>
        <w:t xml:space="preserve"> Agriculture is the largest source of biogenic methane at around 88%, with the remainder from waste. </w:t>
      </w:r>
    </w:p>
    <w:p w14:paraId="631FEE1C" w14:textId="77777777" w:rsidR="00F03A47" w:rsidRPr="00972EF1" w:rsidRDefault="00F03A47" w:rsidP="00F03A47">
      <w:pPr>
        <w:jc w:val="center"/>
        <w:rPr>
          <w:lang w:val="mi-NZ"/>
        </w:rPr>
      </w:pPr>
      <w:r>
        <w:rPr>
          <w:noProof/>
        </w:rPr>
        <w:drawing>
          <wp:inline distT="0" distB="0" distL="0" distR="0" wp14:anchorId="37030453" wp14:editId="4AC32485">
            <wp:extent cx="5731510" cy="477774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68">
                      <a:extLst>
                        <a:ext uri="{28A0092B-C50C-407E-A947-70E740481C1C}">
                          <a14:useLocalDpi xmlns:a14="http://schemas.microsoft.com/office/drawing/2010/main" val="0"/>
                        </a:ext>
                      </a:extLst>
                    </a:blip>
                    <a:stretch>
                      <a:fillRect/>
                    </a:stretch>
                  </pic:blipFill>
                  <pic:spPr>
                    <a:xfrm>
                      <a:off x="0" y="0"/>
                      <a:ext cx="5731510" cy="4777740"/>
                    </a:xfrm>
                    <a:prstGeom prst="rect">
                      <a:avLst/>
                    </a:prstGeom>
                  </pic:spPr>
                </pic:pic>
              </a:graphicData>
            </a:graphic>
          </wp:inline>
        </w:drawing>
      </w:r>
    </w:p>
    <w:p w14:paraId="5AFE9DCF" w14:textId="77777777" w:rsidR="00F03A47" w:rsidRPr="002E62CA" w:rsidRDefault="00F03A47" w:rsidP="00F03A47">
      <w:pPr>
        <w:pStyle w:val="Caption"/>
        <w:rPr>
          <w:lang w:val="mi-NZ"/>
        </w:rPr>
      </w:pPr>
      <w:r w:rsidRPr="002E62CA">
        <w:rPr>
          <w:lang w:val="mi-NZ"/>
        </w:rPr>
        <w:t>Figure 9.</w:t>
      </w:r>
      <w:r>
        <w:rPr>
          <w:lang w:val="mi-NZ"/>
        </w:rPr>
        <w:t>1</w:t>
      </w:r>
      <w:r w:rsidRPr="002E62CA">
        <w:rPr>
          <w:lang w:val="mi-NZ"/>
        </w:rPr>
        <w:t>: Aotearoa biogenic methane emissions by sector 2018</w:t>
      </w:r>
    </w:p>
    <w:p w14:paraId="74F8EEC7" w14:textId="77777777" w:rsidR="00F03A47" w:rsidRPr="00972EF1" w:rsidRDefault="00F03A47" w:rsidP="00F03A47">
      <w:pPr>
        <w:pStyle w:val="Heading4"/>
        <w:rPr>
          <w:lang w:val="mi-NZ"/>
        </w:rPr>
      </w:pPr>
      <w:r w:rsidRPr="00972EF1">
        <w:rPr>
          <w:lang w:val="mi-NZ"/>
        </w:rPr>
        <w:t xml:space="preserve">Agriculture </w:t>
      </w:r>
    </w:p>
    <w:p w14:paraId="3734E463" w14:textId="6664334B" w:rsidR="00856C6F" w:rsidRPr="00972EF1" w:rsidRDefault="00F03A47" w:rsidP="00856C6F">
      <w:pPr>
        <w:rPr>
          <w:lang w:val="mi-NZ"/>
        </w:rPr>
      </w:pPr>
      <w:r w:rsidRPr="00972EF1">
        <w:rPr>
          <w:lang w:val="mi-NZ"/>
        </w:rPr>
        <w:t xml:space="preserve">Aotearoa has a well-developed agricultural sector that makes up a much larger part of </w:t>
      </w:r>
      <w:r w:rsidR="00203728">
        <w:rPr>
          <w:lang w:val="mi-NZ"/>
        </w:rPr>
        <w:t>the</w:t>
      </w:r>
      <w:r w:rsidRPr="00972EF1">
        <w:rPr>
          <w:lang w:val="mi-NZ"/>
        </w:rPr>
        <w:t xml:space="preserve"> economy than </w:t>
      </w:r>
      <w:r>
        <w:rPr>
          <w:lang w:val="mi-NZ"/>
        </w:rPr>
        <w:t xml:space="preserve">in </w:t>
      </w:r>
      <w:r w:rsidRPr="00972EF1">
        <w:rPr>
          <w:lang w:val="mi-NZ"/>
        </w:rPr>
        <w:t xml:space="preserve">many other developed nations. </w:t>
      </w:r>
      <w:r>
        <w:rPr>
          <w:lang w:val="mi-NZ"/>
        </w:rPr>
        <w:t>A</w:t>
      </w:r>
      <w:r w:rsidRPr="00972EF1">
        <w:rPr>
          <w:lang w:val="mi-NZ"/>
        </w:rPr>
        <w:t xml:space="preserve">round 9.7 million hectares of </w:t>
      </w:r>
      <w:r w:rsidR="00EB694A">
        <w:rPr>
          <w:lang w:val="mi-NZ"/>
        </w:rPr>
        <w:t>the</w:t>
      </w:r>
      <w:r w:rsidRPr="00972EF1">
        <w:rPr>
          <w:lang w:val="mi-NZ"/>
        </w:rPr>
        <w:t xml:space="preserve"> 26.8 million hectares </w:t>
      </w:r>
      <w:r w:rsidR="00220F56">
        <w:rPr>
          <w:lang w:val="mi-NZ"/>
        </w:rPr>
        <w:t xml:space="preserve">in total in Aotearoa </w:t>
      </w:r>
      <w:r>
        <w:rPr>
          <w:lang w:val="mi-NZ"/>
        </w:rPr>
        <w:t>are used for</w:t>
      </w:r>
      <w:r w:rsidRPr="00972EF1">
        <w:rPr>
          <w:lang w:val="mi-NZ"/>
        </w:rPr>
        <w:t xml:space="preserve"> </w:t>
      </w:r>
      <w:r>
        <w:rPr>
          <w:lang w:val="mi-NZ"/>
        </w:rPr>
        <w:t>pastoral agriculture</w:t>
      </w:r>
      <w:r w:rsidRPr="00972EF1">
        <w:rPr>
          <w:lang w:val="mi-NZ"/>
        </w:rPr>
        <w:t xml:space="preserve">. </w:t>
      </w:r>
      <w:r w:rsidR="00220F56">
        <w:rPr>
          <w:lang w:val="mi-NZ"/>
        </w:rPr>
        <w:t>The</w:t>
      </w:r>
      <w:r>
        <w:rPr>
          <w:lang w:val="mi-NZ"/>
        </w:rPr>
        <w:t xml:space="preserve"> main </w:t>
      </w:r>
      <w:r w:rsidRPr="00972EF1">
        <w:rPr>
          <w:lang w:val="mi-NZ"/>
        </w:rPr>
        <w:t xml:space="preserve">agricultural products by volume </w:t>
      </w:r>
      <w:r>
        <w:rPr>
          <w:lang w:val="mi-NZ"/>
        </w:rPr>
        <w:t>are</w:t>
      </w:r>
      <w:r w:rsidRPr="00972EF1">
        <w:rPr>
          <w:lang w:val="mi-NZ"/>
        </w:rPr>
        <w:t xml:space="preserve"> meat, dairy products and wool</w:t>
      </w:r>
      <w:r>
        <w:rPr>
          <w:lang w:val="mi-NZ"/>
        </w:rPr>
        <w:t>, with the vast majority being exported</w:t>
      </w:r>
      <w:r w:rsidDel="00D07C34">
        <w:rPr>
          <w:lang w:val="mi-NZ"/>
        </w:rPr>
        <w:t>.</w:t>
      </w:r>
      <w:r>
        <w:rPr>
          <w:lang w:val="mi-NZ"/>
        </w:rPr>
        <w:t xml:space="preserve"> Figure 9.2 </w:t>
      </w:r>
      <w:r w:rsidRPr="00972EF1">
        <w:rPr>
          <w:lang w:val="mi-NZ"/>
        </w:rPr>
        <w:t xml:space="preserve">shows the breakdown of historic biogenic methane emissions from agriculture and </w:t>
      </w:r>
      <w:r>
        <w:rPr>
          <w:lang w:val="mi-NZ"/>
        </w:rPr>
        <w:t>those projected</w:t>
      </w:r>
      <w:r w:rsidRPr="00972EF1">
        <w:rPr>
          <w:lang w:val="mi-NZ"/>
        </w:rPr>
        <w:t xml:space="preserve"> under </w:t>
      </w:r>
      <w:r>
        <w:rPr>
          <w:lang w:val="mi-NZ"/>
        </w:rPr>
        <w:t xml:space="preserve">current policies </w:t>
      </w:r>
      <w:r>
        <w:rPr>
          <w:lang w:val="mi-NZ"/>
        </w:rPr>
        <w:lastRenderedPageBreak/>
        <w:t xml:space="preserve">(termed </w:t>
      </w:r>
      <w:r w:rsidRPr="00972EF1">
        <w:rPr>
          <w:lang w:val="mi-NZ"/>
        </w:rPr>
        <w:t>the Current Policy Reference case</w:t>
      </w:r>
      <w:r>
        <w:rPr>
          <w:lang w:val="mi-NZ"/>
        </w:rPr>
        <w:t>)</w:t>
      </w:r>
      <w:r w:rsidRPr="00972EF1">
        <w:rPr>
          <w:lang w:val="mi-NZ"/>
        </w:rPr>
        <w:t xml:space="preserve">. </w:t>
      </w:r>
      <w:r>
        <w:rPr>
          <w:lang w:val="mi-NZ"/>
        </w:rPr>
        <w:t>D</w:t>
      </w:r>
      <w:r w:rsidRPr="00972EF1">
        <w:rPr>
          <w:lang w:val="mi-NZ"/>
        </w:rPr>
        <w:t>airy</w:t>
      </w:r>
      <w:r>
        <w:rPr>
          <w:lang w:val="mi-NZ"/>
        </w:rPr>
        <w:t>,</w:t>
      </w:r>
      <w:r w:rsidRPr="00972EF1">
        <w:rPr>
          <w:lang w:val="mi-NZ"/>
        </w:rPr>
        <w:t xml:space="preserve"> </w:t>
      </w:r>
      <w:r>
        <w:rPr>
          <w:lang w:val="mi-NZ"/>
        </w:rPr>
        <w:t>s</w:t>
      </w:r>
      <w:r w:rsidRPr="00972EF1">
        <w:rPr>
          <w:lang w:val="mi-NZ"/>
        </w:rPr>
        <w:t xml:space="preserve">heep and </w:t>
      </w:r>
      <w:r>
        <w:rPr>
          <w:lang w:val="mi-NZ"/>
        </w:rPr>
        <w:t>b</w:t>
      </w:r>
      <w:r w:rsidRPr="00972EF1">
        <w:rPr>
          <w:lang w:val="mi-NZ"/>
        </w:rPr>
        <w:t xml:space="preserve">eef farming account for the majority of these emissions, although the former has increased historically while the latter has decreased. For more information of these trends and the Current Policy Reference case see </w:t>
      </w:r>
      <w:r w:rsidRPr="00856C6F">
        <w:rPr>
          <w:lang w:val="mi-NZ"/>
        </w:rPr>
        <w:t>Chapter 7: Where are we currently heading?</w:t>
      </w:r>
      <w:r w:rsidRPr="006A3310">
        <w:rPr>
          <w:lang w:val="mi-NZ"/>
        </w:rPr>
        <w:t xml:space="preserve"> </w:t>
      </w:r>
      <w:r w:rsidRPr="00972EF1">
        <w:rPr>
          <w:lang w:val="mi-NZ"/>
        </w:rPr>
        <w:t>in the Evidence Report.</w:t>
      </w:r>
      <w:r w:rsidR="00856C6F" w:rsidRPr="00856C6F">
        <w:rPr>
          <w:noProof/>
        </w:rPr>
        <w:t xml:space="preserve"> </w:t>
      </w:r>
      <w:r w:rsidR="00856C6F">
        <w:rPr>
          <w:noProof/>
        </w:rPr>
        <w:drawing>
          <wp:inline distT="0" distB="0" distL="0" distR="0" wp14:anchorId="1C16EB43" wp14:editId="364C2296">
            <wp:extent cx="5731510" cy="331914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r:link="rId70">
                      <a:extLst>
                        <a:ext uri="{28A0092B-C50C-407E-A947-70E740481C1C}">
                          <a14:useLocalDpi xmlns:a14="http://schemas.microsoft.com/office/drawing/2010/main" val="0"/>
                        </a:ext>
                      </a:extLst>
                    </a:blip>
                    <a:srcRect t="7927"/>
                    <a:stretch/>
                  </pic:blipFill>
                  <pic:spPr bwMode="auto">
                    <a:xfrm>
                      <a:off x="0" y="0"/>
                      <a:ext cx="5731510" cy="3319145"/>
                    </a:xfrm>
                    <a:prstGeom prst="rect">
                      <a:avLst/>
                    </a:prstGeom>
                    <a:noFill/>
                    <a:ln>
                      <a:noFill/>
                    </a:ln>
                    <a:extLst>
                      <a:ext uri="{53640926-AAD7-44D8-BBD7-CCE9431645EC}">
                        <a14:shadowObscured xmlns:a14="http://schemas.microsoft.com/office/drawing/2010/main"/>
                      </a:ext>
                    </a:extLst>
                  </pic:spPr>
                </pic:pic>
              </a:graphicData>
            </a:graphic>
          </wp:inline>
        </w:drawing>
      </w:r>
    </w:p>
    <w:p w14:paraId="032A82AF" w14:textId="77777777" w:rsidR="00856C6F" w:rsidRPr="00972EF1" w:rsidRDefault="00856C6F" w:rsidP="00856C6F">
      <w:pPr>
        <w:rPr>
          <w:lang w:val="mi-NZ"/>
        </w:rPr>
      </w:pPr>
      <w:r>
        <w:rPr>
          <w:noProof/>
        </w:rPr>
        <mc:AlternateContent>
          <mc:Choice Requires="wps">
            <w:drawing>
              <wp:inline distT="0" distB="0" distL="114300" distR="114300" wp14:anchorId="21D7A5A4" wp14:editId="68FA538D">
                <wp:extent cx="5731510" cy="297815"/>
                <wp:effectExtent l="0" t="0" r="2540" b="6985"/>
                <wp:docPr id="12" name="Text Box 12"/>
                <wp:cNvGraphicFramePr/>
                <a:graphic xmlns:a="http://schemas.openxmlformats.org/drawingml/2006/main">
                  <a:graphicData uri="http://schemas.microsoft.com/office/word/2010/wordprocessingShape">
                    <wps:wsp>
                      <wps:cNvSpPr txBox="1"/>
                      <wps:spPr>
                        <a:xfrm>
                          <a:off x="0" y="0"/>
                          <a:ext cx="5731510" cy="297815"/>
                        </a:xfrm>
                        <a:prstGeom prst="rect">
                          <a:avLst/>
                        </a:prstGeom>
                        <a:solidFill>
                          <a:prstClr val="white"/>
                        </a:solidFill>
                        <a:ln>
                          <a:noFill/>
                        </a:ln>
                      </wps:spPr>
                      <wps:txbx>
                        <w:txbxContent>
                          <w:p w14:paraId="15DF6BBD" w14:textId="52DD4021" w:rsidR="00856C6F" w:rsidRPr="00B15990" w:rsidRDefault="00856C6F" w:rsidP="00856C6F">
                            <w:pPr>
                              <w:pStyle w:val="Caption"/>
                              <w:rPr>
                                <w:lang w:val="en-US"/>
                              </w:rPr>
                            </w:pPr>
                            <w:r w:rsidRPr="00B15990">
                              <w:rPr>
                                <w:lang w:val="en-US"/>
                              </w:rPr>
                              <w:t>Figure 9.</w:t>
                            </w:r>
                            <w:r>
                              <w:rPr>
                                <w:lang w:val="en-US"/>
                              </w:rPr>
                              <w:t>2</w:t>
                            </w:r>
                            <w:r w:rsidRPr="00B15990">
                              <w:rPr>
                                <w:lang w:val="en-US"/>
                              </w:rPr>
                              <w:t>: Historic and Current Policy Reference case biogenic methane emissions from agriculture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21D7A5A4" id="_x0000_t202" coordsize="21600,21600" o:spt="202" path="m,l,21600r21600,l21600,xe">
                <v:stroke joinstyle="miter"/>
                <v:path gradientshapeok="t" o:connecttype="rect"/>
              </v:shapetype>
              <v:shape id="Text Box 12" o:spid="_x0000_s1026" type="#_x0000_t202" style="width:451.3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" stroked="f">
                <v:textbox style="mso-fit-shape-to-text:t" inset="0,0,0,0">
                  <w:txbxContent>
                    <w:p w14:paraId="15DF6BBD" w14:textId="52DD4021" w:rsidR="00856C6F" w:rsidRPr="00B15990" w:rsidRDefault="00856C6F" w:rsidP="00856C6F">
                      <w:pPr>
                        <w:pStyle w:val="Caption"/>
                        <w:rPr>
                          <w:lang w:val="en-US"/>
                        </w:rPr>
                      </w:pPr>
                      <w:r w:rsidRPr="00B15990">
                        <w:rPr>
                          <w:lang w:val="en-US"/>
                        </w:rPr>
                        <w:t>Figure 9.</w:t>
                      </w:r>
                      <w:r>
                        <w:rPr>
                          <w:lang w:val="en-US"/>
                        </w:rPr>
                        <w:t>2</w:t>
                      </w:r>
                      <w:r w:rsidRPr="00B15990">
                        <w:rPr>
                          <w:lang w:val="en-US"/>
                        </w:rPr>
                        <w:t>: Historic and Current Policy Reference case biogenic methane emissions from agriculture</w:t>
                      </w:r>
                    </w:p>
                  </w:txbxContent>
                </v:textbox>
                <w10:anchorlock/>
              </v:shape>
            </w:pict>
          </mc:Fallback>
        </mc:AlternateContent>
      </w:r>
    </w:p>
    <w:p w14:paraId="0CED4DAB" w14:textId="10E42973" w:rsidR="00F03A47" w:rsidRPr="00972EF1" w:rsidRDefault="00F03A47" w:rsidP="00F03A47">
      <w:pPr>
        <w:spacing w:line="276" w:lineRule="auto"/>
        <w:jc w:val="both"/>
        <w:rPr>
          <w:lang w:val="mi-NZ"/>
        </w:rPr>
      </w:pPr>
    </w:p>
    <w:p w14:paraId="06C958E4" w14:textId="77777777" w:rsidR="00F03A47" w:rsidRPr="00972EF1" w:rsidRDefault="00F03A47" w:rsidP="00F03A47">
      <w:pPr>
        <w:pStyle w:val="Heading4"/>
        <w:rPr>
          <w:lang w:val="mi-NZ"/>
        </w:rPr>
      </w:pPr>
      <w:r w:rsidRPr="00972EF1">
        <w:rPr>
          <w:lang w:val="mi-NZ"/>
        </w:rPr>
        <w:t>Waste</w:t>
      </w:r>
    </w:p>
    <w:p w14:paraId="7563C60B" w14:textId="24E55510" w:rsidR="00F03A47" w:rsidRPr="00972EF1" w:rsidRDefault="00F03A47" w:rsidP="00F03A47">
      <w:pPr>
        <w:spacing w:line="276" w:lineRule="auto"/>
        <w:jc w:val="both"/>
        <w:rPr>
          <w:lang w:val="mi-NZ"/>
        </w:rPr>
      </w:pPr>
      <w:r w:rsidRPr="00972EF1">
        <w:rPr>
          <w:lang w:val="mi-NZ"/>
        </w:rPr>
        <w:t xml:space="preserve">Aotearoa has </w:t>
      </w:r>
      <w:r>
        <w:rPr>
          <w:lang w:val="mi-NZ"/>
        </w:rPr>
        <w:t xml:space="preserve">a </w:t>
      </w:r>
      <w:r w:rsidRPr="00972EF1">
        <w:rPr>
          <w:lang w:val="mi-NZ"/>
        </w:rPr>
        <w:t xml:space="preserve">high per capita waste production and resulting methane emissions compared to many other developed countries. </w:t>
      </w:r>
      <w:r w:rsidRPr="00972EF1">
        <w:rPr>
          <w:lang w:val="mi-NZ"/>
        </w:rPr>
        <w:fldChar w:fldCharType="begin"/>
      </w:r>
      <w:r w:rsidRPr="00972EF1">
        <w:rPr>
          <w:lang w:val="mi-NZ"/>
        </w:rPr>
        <w:instrText xml:space="preserve"> REF _Ref58840198 \h </w:instrText>
      </w:r>
      <w:r w:rsidRPr="00972EF1">
        <w:rPr>
          <w:lang w:val="mi-NZ"/>
        </w:rPr>
      </w:r>
      <w:r w:rsidRPr="00972EF1">
        <w:rPr>
          <w:lang w:val="mi-NZ"/>
        </w:rPr>
        <w:fldChar w:fldCharType="separate"/>
      </w:r>
      <w:r w:rsidR="00A22B54" w:rsidRPr="00B15990">
        <w:rPr>
          <w:lang w:val="mi-NZ"/>
        </w:rPr>
        <w:t>Figure 9.</w:t>
      </w:r>
      <w:r w:rsidR="00A22B54">
        <w:rPr>
          <w:lang w:val="mi-NZ"/>
        </w:rPr>
        <w:t>3</w:t>
      </w:r>
      <w:r w:rsidR="00A22B54" w:rsidRPr="00B15990">
        <w:rPr>
          <w:lang w:val="mi-NZ"/>
        </w:rPr>
        <w:t>:</w:t>
      </w:r>
      <w:r w:rsidRPr="00972EF1">
        <w:rPr>
          <w:lang w:val="mi-NZ"/>
        </w:rPr>
        <w:fldChar w:fldCharType="end"/>
      </w:r>
      <w:r>
        <w:rPr>
          <w:lang w:val="mi-NZ"/>
        </w:rPr>
        <w:t>3</w:t>
      </w:r>
      <w:r w:rsidRPr="00972EF1">
        <w:rPr>
          <w:lang w:val="mi-NZ"/>
        </w:rPr>
        <w:t xml:space="preserve"> shows the historic biogenic methane emissions f</w:t>
      </w:r>
      <w:r>
        <w:rPr>
          <w:lang w:val="mi-NZ"/>
        </w:rPr>
        <w:t>ro</w:t>
      </w:r>
      <w:r w:rsidRPr="00972EF1">
        <w:rPr>
          <w:lang w:val="mi-NZ"/>
        </w:rPr>
        <w:t xml:space="preserve">m waste and those projected </w:t>
      </w:r>
      <w:r>
        <w:rPr>
          <w:lang w:val="mi-NZ"/>
        </w:rPr>
        <w:t>under current policies</w:t>
      </w:r>
      <w:r w:rsidRPr="00972EF1">
        <w:rPr>
          <w:lang w:val="mi-NZ"/>
        </w:rPr>
        <w:t>. The main sources of these emissions are landfills</w:t>
      </w:r>
      <w:r>
        <w:rPr>
          <w:lang w:val="mi-NZ"/>
        </w:rPr>
        <w:t>, some of which use landfill gas capture (LFG) technology</w:t>
      </w:r>
      <w:r w:rsidRPr="00972EF1">
        <w:rPr>
          <w:lang w:val="mi-NZ"/>
        </w:rPr>
        <w:t xml:space="preserve"> and farm fills. For more information o</w:t>
      </w:r>
      <w:r>
        <w:rPr>
          <w:lang w:val="mi-NZ"/>
        </w:rPr>
        <w:t>n</w:t>
      </w:r>
      <w:r w:rsidRPr="00972EF1">
        <w:rPr>
          <w:lang w:val="mi-NZ"/>
        </w:rPr>
        <w:t xml:space="preserve"> these trends and the Current Policy Reference case see </w:t>
      </w:r>
      <w:r>
        <w:rPr>
          <w:i/>
          <w:iCs/>
          <w:lang w:val="mi-NZ"/>
        </w:rPr>
        <w:t>C</w:t>
      </w:r>
      <w:r w:rsidRPr="00972DA4">
        <w:rPr>
          <w:i/>
          <w:iCs/>
          <w:lang w:val="mi-NZ"/>
        </w:rPr>
        <w:t>hapter</w:t>
      </w:r>
      <w:r w:rsidRPr="00972DA4">
        <w:rPr>
          <w:i/>
          <w:lang w:val="mi-NZ"/>
        </w:rPr>
        <w:t xml:space="preserve"> 7: Where are we currently heading</w:t>
      </w:r>
      <w:r w:rsidRPr="00FF2AB4">
        <w:rPr>
          <w:lang w:val="mi-NZ"/>
        </w:rPr>
        <w:t>?</w:t>
      </w:r>
      <w:r>
        <w:rPr>
          <w:lang w:val="mi-NZ"/>
        </w:rPr>
        <w:t xml:space="preserve"> in </w:t>
      </w:r>
      <w:r w:rsidRPr="00972EF1">
        <w:rPr>
          <w:lang w:val="mi-NZ"/>
        </w:rPr>
        <w:t>the Evidence Report.</w:t>
      </w:r>
    </w:p>
    <w:p w14:paraId="1F2A3EFF" w14:textId="77777777" w:rsidR="00F03A47" w:rsidRPr="00972EF1" w:rsidRDefault="00F03A47" w:rsidP="00F03A47">
      <w:pPr>
        <w:jc w:val="center"/>
        <w:rPr>
          <w:lang w:val="mi-NZ"/>
        </w:rPr>
      </w:pPr>
      <w:r>
        <w:rPr>
          <w:noProof/>
        </w:rPr>
        <w:lastRenderedPageBreak/>
        <w:drawing>
          <wp:inline distT="0" distB="0" distL="0" distR="0" wp14:anchorId="6899331D" wp14:editId="584AD865">
            <wp:extent cx="5723454" cy="3247390"/>
            <wp:effectExtent l="0" t="0" r="0" b="0"/>
            <wp:docPr id="1943548531" name="Picture 194354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548531"/>
                    <pic:cNvPicPr/>
                  </pic:nvPicPr>
                  <pic:blipFill rotWithShape="1">
                    <a:blip r:embed="rId71">
                      <a:extLst>
                        <a:ext uri="{28A0092B-C50C-407E-A947-70E740481C1C}">
                          <a14:useLocalDpi xmlns:a14="http://schemas.microsoft.com/office/drawing/2010/main" val="0"/>
                        </a:ext>
                      </a:extLst>
                    </a:blip>
                    <a:srcRect t="6318"/>
                    <a:stretch/>
                  </pic:blipFill>
                  <pic:spPr bwMode="auto">
                    <a:xfrm>
                      <a:off x="0" y="0"/>
                      <a:ext cx="5724524" cy="3247997"/>
                    </a:xfrm>
                    <a:prstGeom prst="rect">
                      <a:avLst/>
                    </a:prstGeom>
                    <a:ln>
                      <a:noFill/>
                    </a:ln>
                    <a:extLst>
                      <a:ext uri="{53640926-AAD7-44D8-BBD7-CCE9431645EC}">
                        <a14:shadowObscured xmlns:a14="http://schemas.microsoft.com/office/drawing/2010/main"/>
                      </a:ext>
                    </a:extLst>
                  </pic:spPr>
                </pic:pic>
              </a:graphicData>
            </a:graphic>
          </wp:inline>
        </w:drawing>
      </w:r>
    </w:p>
    <w:p w14:paraId="32BF8132" w14:textId="77777777" w:rsidR="00F03A47" w:rsidRPr="00B15990" w:rsidRDefault="00F03A47" w:rsidP="00F03A47">
      <w:pPr>
        <w:pStyle w:val="Caption"/>
        <w:rPr>
          <w:lang w:val="mi-NZ"/>
        </w:rPr>
      </w:pPr>
      <w:bookmarkStart w:id="375" w:name="_Ref58840198"/>
      <w:r w:rsidRPr="00B15990">
        <w:rPr>
          <w:lang w:val="mi-NZ"/>
        </w:rPr>
        <w:t>Figure 9.</w:t>
      </w:r>
      <w:r>
        <w:rPr>
          <w:lang w:val="mi-NZ"/>
        </w:rPr>
        <w:t>3</w:t>
      </w:r>
      <w:r w:rsidRPr="00B15990">
        <w:rPr>
          <w:lang w:val="mi-NZ"/>
        </w:rPr>
        <w:t>:</w:t>
      </w:r>
      <w:bookmarkEnd w:id="375"/>
      <w:r w:rsidRPr="00B15990">
        <w:rPr>
          <w:lang w:val="mi-NZ"/>
        </w:rPr>
        <w:t xml:space="preserve"> Historic and Current Policy Reference case biogenic methane emissions from waste</w:t>
      </w:r>
    </w:p>
    <w:p w14:paraId="77CC3CB8" w14:textId="77777777" w:rsidR="00F03A47" w:rsidRPr="00972EF1" w:rsidRDefault="00F03A47" w:rsidP="00F03A47">
      <w:pPr>
        <w:rPr>
          <w:lang w:val="mi-NZ"/>
        </w:rPr>
      </w:pPr>
    </w:p>
    <w:p w14:paraId="71424BB6" w14:textId="77777777" w:rsidR="00F03A47" w:rsidRDefault="00F03A47" w:rsidP="00F03A47">
      <w:pPr>
        <w:pStyle w:val="Heading3"/>
        <w:rPr>
          <w:lang w:val="mi-NZ"/>
        </w:rPr>
      </w:pPr>
      <w:bookmarkStart w:id="376" w:name="_Toc62052803"/>
      <w:bookmarkStart w:id="377" w:name="_Toc62649421"/>
      <w:bookmarkStart w:id="378" w:name="_Toc62650362"/>
      <w:r>
        <w:rPr>
          <w:lang w:val="mi-NZ"/>
        </w:rPr>
        <w:t xml:space="preserve">9.3.2 </w:t>
      </w:r>
      <w:r w:rsidRPr="00972EF1">
        <w:rPr>
          <w:lang w:val="mi-NZ"/>
        </w:rPr>
        <w:t>How much could biogenic methane emission</w:t>
      </w:r>
      <w:r>
        <w:rPr>
          <w:lang w:val="mi-NZ"/>
        </w:rPr>
        <w:t>s be</w:t>
      </w:r>
      <w:r w:rsidRPr="00972EF1">
        <w:rPr>
          <w:lang w:val="mi-NZ"/>
        </w:rPr>
        <w:t xml:space="preserve"> reduce</w:t>
      </w:r>
      <w:r>
        <w:rPr>
          <w:lang w:val="mi-NZ"/>
        </w:rPr>
        <w:t>d</w:t>
      </w:r>
      <w:r w:rsidRPr="00972EF1">
        <w:rPr>
          <w:lang w:val="mi-NZ"/>
        </w:rPr>
        <w:t>?</w:t>
      </w:r>
      <w:bookmarkEnd w:id="376"/>
      <w:bookmarkEnd w:id="377"/>
      <w:bookmarkEnd w:id="378"/>
    </w:p>
    <w:p w14:paraId="175F827A" w14:textId="77777777" w:rsidR="00F03A47" w:rsidRPr="00972EF1" w:rsidRDefault="00F03A47" w:rsidP="00F03A47">
      <w:pPr>
        <w:rPr>
          <w:lang w:val="mi-NZ"/>
        </w:rPr>
      </w:pPr>
      <w:r w:rsidRPr="00972EF1">
        <w:rPr>
          <w:lang w:val="mi-NZ"/>
        </w:rPr>
        <w:t xml:space="preserve">As part of our analysis, we have identified a number of opportunities to reduce biogenic methane emissions from agriculture and waste. </w:t>
      </w:r>
    </w:p>
    <w:p w14:paraId="461D3173" w14:textId="77777777" w:rsidR="00F03A47" w:rsidRPr="000F107E" w:rsidRDefault="00F03A47" w:rsidP="00F03A47">
      <w:pPr>
        <w:pStyle w:val="Heading4"/>
        <w:rPr>
          <w:lang w:val="mi-NZ"/>
        </w:rPr>
      </w:pPr>
      <w:r>
        <w:rPr>
          <w:lang w:val="mi-NZ"/>
        </w:rPr>
        <w:t>Agriculture</w:t>
      </w:r>
    </w:p>
    <w:p w14:paraId="68FEEC48" w14:textId="77777777" w:rsidR="00F03A47" w:rsidRPr="00713EF4" w:rsidRDefault="00F03A47" w:rsidP="00F03A47">
      <w:pPr>
        <w:rPr>
          <w:rFonts w:ascii="Calibri" w:hAnsi="Calibri" w:cs="Calibri"/>
          <w:lang w:val="mi-NZ"/>
        </w:rPr>
      </w:pPr>
      <w:r>
        <w:rPr>
          <w:lang w:val="mi-NZ"/>
        </w:rPr>
        <w:t>B</w:t>
      </w:r>
      <w:r w:rsidRPr="00F74D3A">
        <w:rPr>
          <w:rFonts w:ascii="Calibri" w:hAnsi="Calibri" w:cs="Calibri"/>
          <w:lang w:val="mi-NZ"/>
        </w:rPr>
        <w:t>iogenic methane emissions f</w:t>
      </w:r>
      <w:r w:rsidRPr="00972EF1">
        <w:rPr>
          <w:rFonts w:ascii="Calibri" w:hAnsi="Calibri" w:cs="Calibri"/>
          <w:lang w:val="mi-NZ"/>
        </w:rPr>
        <w:t xml:space="preserve">rom agriculture are largely a function of the amount of feed an animal eats. Reducing methane from agriculture therefore relies largely on changes to farm management practices that reduce total feed being produced and consumed. Adjusting stocking rates, supplementary feed and other inputs can improve emissions-efficiency on-farm. Changing land use to lower emissions activities </w:t>
      </w:r>
      <w:r>
        <w:rPr>
          <w:rFonts w:ascii="Calibri" w:hAnsi="Calibri" w:cs="Calibri"/>
          <w:lang w:val="mi-NZ"/>
        </w:rPr>
        <w:t>such as</w:t>
      </w:r>
      <w:r w:rsidRPr="00972EF1">
        <w:rPr>
          <w:rFonts w:ascii="Calibri" w:hAnsi="Calibri" w:cs="Calibri"/>
          <w:lang w:val="mi-NZ"/>
        </w:rPr>
        <w:t xml:space="preserve"> horticulture</w:t>
      </w:r>
      <w:r>
        <w:rPr>
          <w:rFonts w:ascii="Calibri" w:hAnsi="Calibri" w:cs="Calibri"/>
          <w:lang w:val="mi-NZ"/>
        </w:rPr>
        <w:t>,</w:t>
      </w:r>
      <w:r w:rsidRPr="00972EF1">
        <w:rPr>
          <w:rFonts w:ascii="Calibri" w:hAnsi="Calibri" w:cs="Calibri"/>
          <w:lang w:val="mi-NZ"/>
        </w:rPr>
        <w:t xml:space="preserve"> </w:t>
      </w:r>
      <w:r>
        <w:rPr>
          <w:rFonts w:ascii="Calibri" w:hAnsi="Calibri" w:cs="Calibri"/>
          <w:lang w:val="mi-NZ"/>
        </w:rPr>
        <w:t>c</w:t>
      </w:r>
      <w:r w:rsidRPr="00972EF1">
        <w:rPr>
          <w:rFonts w:ascii="Calibri" w:hAnsi="Calibri" w:cs="Calibri"/>
          <w:lang w:val="mi-NZ"/>
        </w:rPr>
        <w:t xml:space="preserve">ould </w:t>
      </w:r>
      <w:r>
        <w:rPr>
          <w:rFonts w:ascii="Calibri" w:hAnsi="Calibri" w:cs="Calibri"/>
          <w:lang w:val="mi-NZ"/>
        </w:rPr>
        <w:t>also reduce</w:t>
      </w:r>
      <w:r w:rsidRPr="00972EF1">
        <w:rPr>
          <w:rFonts w:ascii="Calibri" w:hAnsi="Calibri" w:cs="Calibri"/>
          <w:lang w:val="mi-NZ"/>
        </w:rPr>
        <w:t xml:space="preserve"> methane emissions. </w:t>
      </w:r>
    </w:p>
    <w:p w14:paraId="16BB6864" w14:textId="77777777" w:rsidR="00F03A47" w:rsidRPr="00972EF1" w:rsidRDefault="00F03A47" w:rsidP="00F03A47">
      <w:pPr>
        <w:pStyle w:val="NormalWeb"/>
        <w:spacing w:after="165" w:afterAutospacing="0"/>
        <w:rPr>
          <w:rFonts w:ascii="Segoe UI" w:hAnsi="Segoe UI" w:cs="Segoe UI"/>
          <w:sz w:val="21"/>
          <w:szCs w:val="21"/>
          <w:lang w:val="mi-NZ"/>
        </w:rPr>
      </w:pPr>
      <w:r w:rsidRPr="00972EF1">
        <w:rPr>
          <w:rFonts w:ascii="Calibri" w:hAnsi="Calibri" w:cs="Calibri"/>
          <w:sz w:val="22"/>
          <w:szCs w:val="22"/>
          <w:lang w:val="mi-NZ"/>
        </w:rPr>
        <w:t>New technologies also offer potential</w:t>
      </w:r>
      <w:r>
        <w:rPr>
          <w:rFonts w:ascii="Calibri" w:hAnsi="Calibri" w:cs="Calibri"/>
          <w:sz w:val="22"/>
          <w:szCs w:val="22"/>
          <w:lang w:val="mi-NZ"/>
        </w:rPr>
        <w:t xml:space="preserve"> for reducing methane emissions.</w:t>
      </w:r>
      <w:r w:rsidRPr="00972EF1">
        <w:rPr>
          <w:rFonts w:ascii="Calibri" w:hAnsi="Calibri" w:cs="Calibri"/>
          <w:sz w:val="22"/>
          <w:szCs w:val="22"/>
          <w:lang w:val="mi-NZ"/>
        </w:rPr>
        <w:t xml:space="preserve"> Selective breeding of sheep to be low emitting is already possible. </w:t>
      </w:r>
      <w:r>
        <w:rPr>
          <w:rFonts w:ascii="Calibri" w:hAnsi="Calibri" w:cs="Calibri"/>
          <w:sz w:val="22"/>
          <w:szCs w:val="22"/>
          <w:lang w:val="mi-NZ"/>
        </w:rPr>
        <w:t>This could have a significant impact over time if these traits are bred through the national flock.</w:t>
      </w:r>
      <w:r w:rsidRPr="00972EF1">
        <w:rPr>
          <w:rFonts w:ascii="Calibri" w:hAnsi="Calibri" w:cs="Calibri"/>
          <w:sz w:val="22"/>
          <w:szCs w:val="22"/>
          <w:lang w:val="mi-NZ"/>
        </w:rPr>
        <w:t xml:space="preserve"> Research into the potential for breeding low</w:t>
      </w:r>
      <w:r>
        <w:rPr>
          <w:rFonts w:ascii="Calibri" w:hAnsi="Calibri" w:cs="Calibri"/>
          <w:sz w:val="22"/>
          <w:szCs w:val="22"/>
          <w:lang w:val="mi-NZ"/>
        </w:rPr>
        <w:t xml:space="preserve"> </w:t>
      </w:r>
      <w:r w:rsidRPr="00972EF1">
        <w:rPr>
          <w:rFonts w:ascii="Calibri" w:hAnsi="Calibri" w:cs="Calibri"/>
          <w:sz w:val="22"/>
          <w:szCs w:val="22"/>
          <w:lang w:val="mi-NZ"/>
        </w:rPr>
        <w:t>emissions c</w:t>
      </w:r>
      <w:r>
        <w:rPr>
          <w:rFonts w:ascii="Calibri" w:hAnsi="Calibri" w:cs="Calibri"/>
          <w:sz w:val="22"/>
          <w:szCs w:val="22"/>
          <w:lang w:val="mi-NZ"/>
        </w:rPr>
        <w:t>attle</w:t>
      </w:r>
      <w:r w:rsidRPr="00972EF1">
        <w:rPr>
          <w:rFonts w:ascii="Calibri" w:hAnsi="Calibri" w:cs="Calibri"/>
          <w:sz w:val="22"/>
          <w:szCs w:val="22"/>
          <w:lang w:val="mi-NZ"/>
        </w:rPr>
        <w:t xml:space="preserve"> is ongoing. Other promising </w:t>
      </w:r>
      <w:r>
        <w:rPr>
          <w:rFonts w:ascii="Calibri" w:hAnsi="Calibri" w:cs="Calibri"/>
          <w:sz w:val="22"/>
          <w:szCs w:val="22"/>
          <w:lang w:val="mi-NZ"/>
        </w:rPr>
        <w:t>emission</w:t>
      </w:r>
      <w:r w:rsidRPr="00972EF1">
        <w:rPr>
          <w:rFonts w:ascii="Calibri" w:hAnsi="Calibri" w:cs="Calibri"/>
          <w:sz w:val="22"/>
          <w:szCs w:val="22"/>
          <w:lang w:val="mi-NZ"/>
        </w:rPr>
        <w:t xml:space="preserve"> </w:t>
      </w:r>
      <w:r>
        <w:rPr>
          <w:rFonts w:ascii="Calibri" w:hAnsi="Calibri" w:cs="Calibri"/>
          <w:sz w:val="22"/>
          <w:szCs w:val="22"/>
          <w:lang w:val="mi-NZ"/>
        </w:rPr>
        <w:t xml:space="preserve">reducing </w:t>
      </w:r>
      <w:r w:rsidRPr="00972EF1">
        <w:rPr>
          <w:rFonts w:ascii="Calibri" w:hAnsi="Calibri" w:cs="Calibri"/>
          <w:sz w:val="22"/>
          <w:szCs w:val="22"/>
          <w:lang w:val="mi-NZ"/>
        </w:rPr>
        <w:t xml:space="preserve">options currently being researched and developed include a methane inhibitor that would be compatible with </w:t>
      </w:r>
      <w:r>
        <w:rPr>
          <w:rFonts w:ascii="Calibri" w:hAnsi="Calibri" w:cs="Calibri"/>
          <w:sz w:val="22"/>
          <w:szCs w:val="22"/>
          <w:lang w:val="mi-NZ"/>
        </w:rPr>
        <w:t>the country’s</w:t>
      </w:r>
      <w:r w:rsidRPr="00972EF1">
        <w:rPr>
          <w:rFonts w:ascii="Calibri" w:hAnsi="Calibri" w:cs="Calibri"/>
          <w:sz w:val="22"/>
          <w:szCs w:val="22"/>
          <w:lang w:val="mi-NZ"/>
        </w:rPr>
        <w:t xml:space="preserve"> pastoral farming system and a methane vaccine that could supress methane production.</w:t>
      </w:r>
    </w:p>
    <w:p w14:paraId="2EA07CD3" w14:textId="77777777" w:rsidR="00F03A47" w:rsidRPr="00972EF1" w:rsidRDefault="00F03A47" w:rsidP="00F03A47">
      <w:pPr>
        <w:rPr>
          <w:lang w:val="mi-NZ"/>
        </w:rPr>
      </w:pPr>
      <w:r w:rsidRPr="00972EF1">
        <w:rPr>
          <w:lang w:val="mi-NZ"/>
        </w:rPr>
        <w:t xml:space="preserve">If Aotearoa were to pioneer the development of these methane technologies, we would also be able to make significant contributions to global emissions reductions through helping </w:t>
      </w:r>
      <w:r>
        <w:rPr>
          <w:lang w:val="mi-NZ"/>
        </w:rPr>
        <w:t>disseminate</w:t>
      </w:r>
      <w:r w:rsidRPr="00972EF1">
        <w:rPr>
          <w:lang w:val="mi-NZ"/>
        </w:rPr>
        <w:t xml:space="preserve"> them</w:t>
      </w:r>
      <w:r>
        <w:rPr>
          <w:lang w:val="mi-NZ"/>
        </w:rPr>
        <w:t xml:space="preserve"> internationally</w:t>
      </w:r>
      <w:r w:rsidRPr="00972EF1">
        <w:rPr>
          <w:lang w:val="mi-NZ"/>
        </w:rPr>
        <w:t>.</w:t>
      </w:r>
    </w:p>
    <w:p w14:paraId="5DE182D7" w14:textId="77777777" w:rsidR="00F03A47" w:rsidRPr="00EC190F" w:rsidRDefault="00F03A47" w:rsidP="00F03A47">
      <w:pPr>
        <w:pStyle w:val="Heading4"/>
        <w:rPr>
          <w:lang w:val="mi-NZ"/>
        </w:rPr>
      </w:pPr>
      <w:r w:rsidRPr="00972EF1">
        <w:rPr>
          <w:lang w:val="mi-NZ"/>
        </w:rPr>
        <w:lastRenderedPageBreak/>
        <w:t>Waste</w:t>
      </w:r>
    </w:p>
    <w:p w14:paraId="2F656A4B" w14:textId="254A7313" w:rsidR="00F03A47" w:rsidRDefault="00F03A47" w:rsidP="00F03A47">
      <w:pPr>
        <w:rPr>
          <w:rFonts w:ascii="Calibri" w:hAnsi="Calibri" w:cs="Calibri"/>
          <w:lang w:val="mi-NZ"/>
        </w:rPr>
      </w:pPr>
      <w:r w:rsidRPr="00B42391">
        <w:rPr>
          <w:lang w:val="mi-NZ"/>
        </w:rPr>
        <w:t xml:space="preserve">We </w:t>
      </w:r>
      <w:r w:rsidRPr="00B42391">
        <w:rPr>
          <w:rFonts w:ascii="Calibri" w:hAnsi="Calibri" w:cs="Calibri"/>
          <w:lang w:val="mi-NZ"/>
        </w:rPr>
        <w:t>have identified three broad opportunities for</w:t>
      </w:r>
      <w:r w:rsidRPr="0004332C">
        <w:rPr>
          <w:rFonts w:ascii="Calibri" w:hAnsi="Calibri" w:cs="Calibri"/>
          <w:lang w:val="mi-NZ"/>
        </w:rPr>
        <w:t xml:space="preserve"> reduc</w:t>
      </w:r>
      <w:r w:rsidRPr="00B42391">
        <w:rPr>
          <w:rFonts w:ascii="Calibri" w:hAnsi="Calibri" w:cs="Calibri"/>
          <w:lang w:val="mi-NZ"/>
        </w:rPr>
        <w:t>ing</w:t>
      </w:r>
      <w:r w:rsidRPr="0004332C">
        <w:rPr>
          <w:rFonts w:ascii="Calibri" w:hAnsi="Calibri" w:cs="Calibri"/>
          <w:lang w:val="mi-NZ"/>
        </w:rPr>
        <w:t xml:space="preserve"> </w:t>
      </w:r>
      <w:r w:rsidRPr="00B42391">
        <w:rPr>
          <w:rFonts w:ascii="Calibri" w:hAnsi="Calibri" w:cs="Calibri"/>
          <w:lang w:val="mi-NZ"/>
        </w:rPr>
        <w:t xml:space="preserve">biogenic methane </w:t>
      </w:r>
      <w:r w:rsidRPr="0004332C">
        <w:rPr>
          <w:rFonts w:ascii="Calibri" w:hAnsi="Calibri" w:cs="Calibri"/>
          <w:lang w:val="mi-NZ"/>
        </w:rPr>
        <w:t>emissions</w:t>
      </w:r>
      <w:r w:rsidRPr="00B42391">
        <w:rPr>
          <w:rFonts w:ascii="Calibri" w:hAnsi="Calibri" w:cs="Calibri"/>
          <w:lang w:val="mi-NZ"/>
        </w:rPr>
        <w:t xml:space="preserve"> from waste</w:t>
      </w:r>
      <w:r>
        <w:rPr>
          <w:rFonts w:ascii="Calibri" w:hAnsi="Calibri" w:cs="Calibri"/>
          <w:lang w:val="mi-NZ"/>
        </w:rPr>
        <w:t>. These are:</w:t>
      </w:r>
    </w:p>
    <w:p w14:paraId="60AB8035" w14:textId="77777777" w:rsidR="00F03A47" w:rsidRDefault="00F03A47" w:rsidP="009B509E">
      <w:pPr>
        <w:pStyle w:val="NormalWeb"/>
        <w:numPr>
          <w:ilvl w:val="0"/>
          <w:numId w:val="89"/>
        </w:numPr>
        <w:spacing w:after="165" w:afterAutospacing="0"/>
        <w:rPr>
          <w:rFonts w:ascii="Calibri" w:hAnsi="Calibri" w:cs="Calibri"/>
          <w:sz w:val="22"/>
          <w:szCs w:val="22"/>
          <w:lang w:val="mi-NZ"/>
        </w:rPr>
      </w:pPr>
      <w:r w:rsidRPr="00B42391">
        <w:rPr>
          <w:rFonts w:ascii="Calibri" w:hAnsi="Calibri" w:cs="Calibri"/>
          <w:sz w:val="22"/>
          <w:szCs w:val="22"/>
          <w:lang w:val="mi-NZ"/>
        </w:rPr>
        <w:t xml:space="preserve">reducing total waste generation </w:t>
      </w:r>
      <w:r>
        <w:rPr>
          <w:rFonts w:ascii="Calibri" w:hAnsi="Calibri" w:cs="Calibri"/>
          <w:sz w:val="22"/>
          <w:szCs w:val="22"/>
          <w:lang w:val="mi-NZ"/>
        </w:rPr>
        <w:t xml:space="preserve">by </w:t>
      </w:r>
      <w:r w:rsidRPr="00B42391">
        <w:rPr>
          <w:rFonts w:ascii="Calibri" w:hAnsi="Calibri" w:cs="Calibri"/>
          <w:sz w:val="22"/>
          <w:szCs w:val="22"/>
          <w:lang w:val="mi-NZ"/>
        </w:rPr>
        <w:t>improving resource efficiency and supporting consumers to reduce household</w:t>
      </w:r>
      <w:r>
        <w:rPr>
          <w:rFonts w:ascii="Calibri" w:hAnsi="Calibri" w:cs="Calibri"/>
          <w:sz w:val="22"/>
          <w:szCs w:val="22"/>
          <w:lang w:val="mi-NZ"/>
        </w:rPr>
        <w:t xml:space="preserve"> waste</w:t>
      </w:r>
    </w:p>
    <w:p w14:paraId="2E625D9A" w14:textId="77777777" w:rsidR="00F03A47" w:rsidRDefault="00F03A47" w:rsidP="009B509E">
      <w:pPr>
        <w:pStyle w:val="NormalWeb"/>
        <w:numPr>
          <w:ilvl w:val="0"/>
          <w:numId w:val="89"/>
        </w:numPr>
        <w:spacing w:after="165" w:afterAutospacing="0"/>
        <w:rPr>
          <w:rFonts w:ascii="Calibri" w:hAnsi="Calibri" w:cs="Calibri"/>
          <w:sz w:val="22"/>
          <w:szCs w:val="22"/>
          <w:lang w:val="mi-NZ"/>
        </w:rPr>
      </w:pPr>
      <w:r w:rsidRPr="00B42391">
        <w:rPr>
          <w:rFonts w:ascii="Calibri" w:hAnsi="Calibri" w:cs="Calibri"/>
          <w:sz w:val="22"/>
          <w:szCs w:val="22"/>
          <w:lang w:val="mi-NZ"/>
        </w:rPr>
        <w:t xml:space="preserve">increasing the amount of waste </w:t>
      </w:r>
      <w:r w:rsidRPr="00972EF1">
        <w:rPr>
          <w:rFonts w:ascii="Calibri" w:hAnsi="Calibri" w:cs="Calibri"/>
          <w:sz w:val="22"/>
          <w:szCs w:val="22"/>
          <w:lang w:val="mi-NZ"/>
        </w:rPr>
        <w:t xml:space="preserve">we </w:t>
      </w:r>
      <w:r>
        <w:rPr>
          <w:rFonts w:ascii="Calibri" w:hAnsi="Calibri" w:cs="Calibri"/>
          <w:sz w:val="22"/>
          <w:szCs w:val="22"/>
          <w:lang w:val="mi-NZ"/>
        </w:rPr>
        <w:t>divert</w:t>
      </w:r>
      <w:r w:rsidRPr="00B42391">
        <w:rPr>
          <w:rFonts w:ascii="Calibri" w:hAnsi="Calibri" w:cs="Calibri"/>
          <w:sz w:val="22"/>
          <w:szCs w:val="22"/>
          <w:lang w:val="mi-NZ"/>
        </w:rPr>
        <w:t xml:space="preserve"> from </w:t>
      </w:r>
      <w:r w:rsidRPr="00972EF1">
        <w:rPr>
          <w:rFonts w:ascii="Calibri" w:hAnsi="Calibri" w:cs="Calibri"/>
          <w:sz w:val="22"/>
          <w:szCs w:val="22"/>
          <w:lang w:val="mi-NZ"/>
        </w:rPr>
        <w:t>landfill</w:t>
      </w:r>
      <w:r>
        <w:rPr>
          <w:rFonts w:ascii="Calibri" w:hAnsi="Calibri" w:cs="Calibri"/>
          <w:sz w:val="22"/>
          <w:szCs w:val="22"/>
          <w:lang w:val="mi-NZ"/>
        </w:rPr>
        <w:t>s</w:t>
      </w:r>
      <w:r w:rsidRPr="00B42391">
        <w:rPr>
          <w:rFonts w:ascii="Calibri" w:hAnsi="Calibri" w:cs="Calibri"/>
          <w:sz w:val="22"/>
          <w:szCs w:val="22"/>
          <w:lang w:val="mi-NZ"/>
        </w:rPr>
        <w:t xml:space="preserve"> </w:t>
      </w:r>
      <w:r>
        <w:rPr>
          <w:rFonts w:ascii="Calibri" w:hAnsi="Calibri" w:cs="Calibri"/>
          <w:sz w:val="22"/>
          <w:szCs w:val="22"/>
          <w:lang w:val="mi-NZ"/>
        </w:rPr>
        <w:t xml:space="preserve">by, </w:t>
      </w:r>
      <w:r w:rsidRPr="00B42391">
        <w:rPr>
          <w:rFonts w:ascii="Calibri" w:hAnsi="Calibri" w:cs="Calibri"/>
          <w:sz w:val="22"/>
          <w:szCs w:val="22"/>
          <w:lang w:val="mi-NZ"/>
        </w:rPr>
        <w:t>for example, turning what would have gone to landfill as 'food waste' into compost</w:t>
      </w:r>
      <w:r>
        <w:rPr>
          <w:rFonts w:ascii="Calibri" w:hAnsi="Calibri" w:cs="Calibri"/>
          <w:sz w:val="22"/>
          <w:szCs w:val="22"/>
          <w:lang w:val="mi-NZ"/>
        </w:rPr>
        <w:t xml:space="preserve"> </w:t>
      </w:r>
    </w:p>
    <w:p w14:paraId="0EADA973" w14:textId="77777777" w:rsidR="00F03A47" w:rsidRPr="00B42391" w:rsidRDefault="00F03A47" w:rsidP="009B509E">
      <w:pPr>
        <w:pStyle w:val="NormalWeb"/>
        <w:numPr>
          <w:ilvl w:val="0"/>
          <w:numId w:val="89"/>
        </w:numPr>
        <w:spacing w:after="165" w:afterAutospacing="0"/>
        <w:rPr>
          <w:rFonts w:ascii="Calibri" w:hAnsi="Calibri" w:cs="Calibri"/>
          <w:sz w:val="22"/>
          <w:szCs w:val="22"/>
          <w:lang w:val="mi-NZ"/>
        </w:rPr>
      </w:pPr>
      <w:r w:rsidRPr="00B42391">
        <w:rPr>
          <w:rFonts w:ascii="Calibri" w:hAnsi="Calibri" w:cs="Calibri"/>
          <w:sz w:val="22"/>
          <w:szCs w:val="22"/>
          <w:lang w:val="mi-NZ"/>
        </w:rPr>
        <w:t>ensuring that landfills that receive organic waste have high efficiency landfill gas capture systems</w:t>
      </w:r>
      <w:r>
        <w:rPr>
          <w:rFonts w:ascii="Calibri" w:hAnsi="Calibri" w:cs="Calibri"/>
          <w:sz w:val="22"/>
          <w:szCs w:val="22"/>
          <w:lang w:val="mi-NZ"/>
        </w:rPr>
        <w:t>,</w:t>
      </w:r>
      <w:r w:rsidRPr="00B42391">
        <w:rPr>
          <w:rFonts w:ascii="Calibri" w:hAnsi="Calibri" w:cs="Calibri"/>
          <w:sz w:val="22"/>
          <w:szCs w:val="22"/>
          <w:lang w:val="mi-NZ"/>
        </w:rPr>
        <w:t xml:space="preserve"> </w:t>
      </w:r>
      <w:r>
        <w:rPr>
          <w:rFonts w:ascii="Calibri" w:hAnsi="Calibri" w:cs="Calibri"/>
          <w:sz w:val="22"/>
          <w:szCs w:val="22"/>
          <w:lang w:val="mi-NZ"/>
        </w:rPr>
        <w:t>that</w:t>
      </w:r>
      <w:r w:rsidRPr="00B42391">
        <w:rPr>
          <w:rFonts w:ascii="Calibri" w:hAnsi="Calibri" w:cs="Calibri"/>
          <w:sz w:val="22"/>
          <w:szCs w:val="22"/>
          <w:lang w:val="mi-NZ"/>
        </w:rPr>
        <w:t xml:space="preserve"> capture </w:t>
      </w:r>
      <w:r>
        <w:rPr>
          <w:rFonts w:ascii="Calibri" w:hAnsi="Calibri" w:cs="Calibri"/>
          <w:sz w:val="22"/>
          <w:szCs w:val="22"/>
          <w:lang w:val="mi-NZ"/>
        </w:rPr>
        <w:t xml:space="preserve">the majority of </w:t>
      </w:r>
      <w:r w:rsidRPr="00B42391">
        <w:rPr>
          <w:rFonts w:ascii="Calibri" w:hAnsi="Calibri" w:cs="Calibri"/>
          <w:sz w:val="22"/>
          <w:szCs w:val="22"/>
          <w:lang w:val="mi-NZ"/>
        </w:rPr>
        <w:t xml:space="preserve">the methane being </w:t>
      </w:r>
      <w:r>
        <w:rPr>
          <w:rFonts w:ascii="Calibri" w:hAnsi="Calibri" w:cs="Calibri"/>
          <w:sz w:val="22"/>
          <w:szCs w:val="22"/>
          <w:lang w:val="mi-NZ"/>
        </w:rPr>
        <w:t xml:space="preserve">produced. </w:t>
      </w:r>
    </w:p>
    <w:p w14:paraId="3C2CD527" w14:textId="15E3C766" w:rsidR="00F03A47" w:rsidRPr="006B1B25" w:rsidRDefault="00F03A47" w:rsidP="00F03A47">
      <w:pPr>
        <w:spacing w:after="0" w:line="240" w:lineRule="auto"/>
        <w:rPr>
          <w:rFonts w:eastAsia="Times New Roman" w:cstheme="minorHAnsi"/>
          <w:lang w:val="mi-NZ" w:eastAsia="en-NZ"/>
        </w:rPr>
      </w:pPr>
      <w:r w:rsidRPr="00932437">
        <w:rPr>
          <w:rFonts w:eastAsia="Times New Roman" w:cstheme="minorHAnsi"/>
          <w:lang w:val="mi-NZ" w:eastAsia="en-NZ"/>
        </w:rPr>
        <w:t xml:space="preserve">These opportunities are discussed in more detail in </w:t>
      </w:r>
      <w:r w:rsidRPr="003C7ADD">
        <w:rPr>
          <w:i/>
          <w:lang w:val="mi-NZ"/>
        </w:rPr>
        <w:t>Chapter 4d</w:t>
      </w:r>
      <w:r w:rsidRPr="003C7ADD">
        <w:rPr>
          <w:rFonts w:eastAsia="Times New Roman" w:cstheme="minorHAnsi"/>
          <w:i/>
          <w:lang w:val="mi-NZ" w:eastAsia="en-NZ"/>
        </w:rPr>
        <w:t xml:space="preserve">: Reducing emissions – opportunities and challenges across sectors – Waste </w:t>
      </w:r>
      <w:r>
        <w:rPr>
          <w:rFonts w:eastAsia="Times New Roman" w:cstheme="minorHAnsi"/>
          <w:lang w:val="mi-NZ" w:eastAsia="en-NZ"/>
        </w:rPr>
        <w:t>of</w:t>
      </w:r>
      <w:r w:rsidRPr="00932437">
        <w:rPr>
          <w:rFonts w:eastAsia="Times New Roman" w:cstheme="minorHAnsi"/>
          <w:lang w:val="mi-NZ" w:eastAsia="en-NZ"/>
        </w:rPr>
        <w:t xml:space="preserve"> the Evidence report. </w:t>
      </w:r>
    </w:p>
    <w:p w14:paraId="1EFA1170" w14:textId="77777777" w:rsidR="00F03A47" w:rsidRPr="00972EF1" w:rsidRDefault="00F03A47" w:rsidP="00F03A47">
      <w:pPr>
        <w:pStyle w:val="Heading3"/>
        <w:rPr>
          <w:lang w:val="mi-NZ"/>
        </w:rPr>
      </w:pPr>
      <w:bookmarkStart w:id="379" w:name="_Toc62052804"/>
      <w:bookmarkStart w:id="380" w:name="_Toc62649422"/>
      <w:bookmarkStart w:id="381" w:name="_Toc62650363"/>
      <w:r>
        <w:rPr>
          <w:lang w:val="mi-NZ"/>
        </w:rPr>
        <w:t xml:space="preserve">9.3.3 </w:t>
      </w:r>
      <w:r w:rsidRPr="00972EF1">
        <w:rPr>
          <w:lang w:val="mi-NZ"/>
        </w:rPr>
        <w:t>Overall</w:t>
      </w:r>
      <w:bookmarkEnd w:id="379"/>
      <w:bookmarkEnd w:id="380"/>
      <w:bookmarkEnd w:id="381"/>
      <w:r w:rsidRPr="00972EF1">
        <w:rPr>
          <w:lang w:val="mi-NZ"/>
        </w:rPr>
        <w:t xml:space="preserve"> </w:t>
      </w:r>
    </w:p>
    <w:p w14:paraId="7A7BA81C" w14:textId="77777777" w:rsidR="00F03A47" w:rsidRPr="00713EF4" w:rsidRDefault="00F03A47" w:rsidP="00F03A47">
      <w:pPr>
        <w:spacing w:line="252" w:lineRule="auto"/>
        <w:rPr>
          <w:b/>
          <w:lang w:val="mi-NZ"/>
        </w:rPr>
      </w:pPr>
      <w:r w:rsidRPr="00875037">
        <w:rPr>
          <w:b/>
          <w:lang w:val="mi-NZ"/>
        </w:rPr>
        <w:t xml:space="preserve">Our analysis </w:t>
      </w:r>
      <w:r>
        <w:rPr>
          <w:b/>
          <w:lang w:val="mi-NZ"/>
        </w:rPr>
        <w:t xml:space="preserve">to inform emissions budgets </w:t>
      </w:r>
      <w:r w:rsidRPr="00875037">
        <w:rPr>
          <w:b/>
          <w:lang w:val="mi-NZ"/>
        </w:rPr>
        <w:t>indicates that it is possible to reduce total biogenic methane emissions by between 12-26% below 2017 levels by 2030 and 25-</w:t>
      </w:r>
      <w:r w:rsidRPr="00713EF4">
        <w:rPr>
          <w:b/>
          <w:lang w:val="mi-NZ"/>
        </w:rPr>
        <w:t>59</w:t>
      </w:r>
      <w:r w:rsidRPr="00875037">
        <w:rPr>
          <w:b/>
          <w:lang w:val="mi-NZ"/>
        </w:rPr>
        <w:t>% below 2017 levels by 2050 through reducing biogenic methane emissions from both agricultural and waste.</w:t>
      </w:r>
      <w:r w:rsidRPr="00713EF4">
        <w:rPr>
          <w:b/>
          <w:lang w:val="mi-NZ"/>
        </w:rPr>
        <w:t xml:space="preserve"> </w:t>
      </w:r>
    </w:p>
    <w:p w14:paraId="74ED43BD" w14:textId="4B1AF3F1" w:rsidR="00F03A47" w:rsidRPr="00D2009D" w:rsidRDefault="00F03A47" w:rsidP="00F03A47">
      <w:pPr>
        <w:spacing w:line="252" w:lineRule="auto"/>
        <w:rPr>
          <w:b/>
          <w:lang w:val="mi-NZ"/>
        </w:rPr>
      </w:pPr>
      <w:r w:rsidRPr="00713EF4">
        <w:rPr>
          <w:b/>
          <w:lang w:val="mi-NZ"/>
        </w:rPr>
        <w:t>The lower ends of these reductions (12% by 2030 and 25% by 2050) can be achieved using currently available practices and technologies. The</w:t>
      </w:r>
      <w:r w:rsidRPr="00D2009D">
        <w:rPr>
          <w:lang w:val="mi-NZ"/>
        </w:rPr>
        <w:t xml:space="preserve"> </w:t>
      </w:r>
      <w:r w:rsidRPr="00713EF4">
        <w:rPr>
          <w:b/>
          <w:lang w:val="mi-NZ"/>
        </w:rPr>
        <w:t xml:space="preserve">development of new technologies such as a methane inhibitor would provide greater flexibility and unlock the upper range </w:t>
      </w:r>
      <w:r>
        <w:rPr>
          <w:b/>
          <w:lang w:val="mi-NZ"/>
        </w:rPr>
        <w:t xml:space="preserve">of </w:t>
      </w:r>
      <w:r w:rsidRPr="00713EF4">
        <w:rPr>
          <w:b/>
          <w:lang w:val="mi-NZ"/>
        </w:rPr>
        <w:t xml:space="preserve">reductions. Reaching the higher range of biogenic methane reductions (26% by 2030 and 59% by 2050) without new technology would likely require reduced agricultural production from livestock and land use change. For more details on our scenarios and projected emissions reduction pathways see </w:t>
      </w:r>
      <w:r>
        <w:rPr>
          <w:b/>
          <w:i/>
          <w:iCs/>
          <w:lang w:val="mi-NZ"/>
        </w:rPr>
        <w:t>C</w:t>
      </w:r>
      <w:r w:rsidRPr="00BA5150">
        <w:rPr>
          <w:b/>
          <w:i/>
          <w:iCs/>
          <w:lang w:val="mi-NZ"/>
        </w:rPr>
        <w:t>hapter</w:t>
      </w:r>
      <w:r w:rsidRPr="00BA5150">
        <w:rPr>
          <w:b/>
          <w:i/>
          <w:lang w:val="mi-NZ"/>
        </w:rPr>
        <w:t xml:space="preserve"> 3: The path to 2035.</w:t>
      </w:r>
    </w:p>
    <w:p w14:paraId="4D4C9661" w14:textId="77777777" w:rsidR="00F03A47" w:rsidRPr="00972EF1" w:rsidRDefault="00F03A47" w:rsidP="00F03A47">
      <w:pPr>
        <w:spacing w:line="252" w:lineRule="auto"/>
        <w:rPr>
          <w:lang w:val="mi-NZ"/>
        </w:rPr>
      </w:pPr>
      <w:r>
        <w:rPr>
          <w:lang w:val="mi-NZ"/>
        </w:rPr>
        <w:t>After 2050, t</w:t>
      </w:r>
      <w:r w:rsidRPr="00972EF1">
        <w:rPr>
          <w:lang w:val="mi-NZ"/>
        </w:rPr>
        <w:t xml:space="preserve">here is a high level of uncertainty around what opportunities to reduce methane may become available and </w:t>
      </w:r>
      <w:r>
        <w:rPr>
          <w:lang w:val="mi-NZ"/>
        </w:rPr>
        <w:t xml:space="preserve">how </w:t>
      </w:r>
      <w:r w:rsidRPr="00972EF1">
        <w:rPr>
          <w:lang w:val="mi-NZ"/>
        </w:rPr>
        <w:t>effective they will be.</w:t>
      </w:r>
      <w:r w:rsidRPr="00972EF1" w:rsidDel="002D4730">
        <w:rPr>
          <w:lang w:val="mi-NZ"/>
        </w:rPr>
        <w:t xml:space="preserve"> </w:t>
      </w:r>
      <w:r w:rsidRPr="00972EF1">
        <w:rPr>
          <w:lang w:val="mi-NZ"/>
        </w:rPr>
        <w:t xml:space="preserve">This makes it difficult to estimate what levels of reductions are likely to be achievable. </w:t>
      </w:r>
    </w:p>
    <w:p w14:paraId="0E31F6A9" w14:textId="77777777" w:rsidR="00F03A47" w:rsidRPr="00972EF1" w:rsidRDefault="00F03A47" w:rsidP="00F03A47">
      <w:pPr>
        <w:pStyle w:val="Heading3"/>
        <w:rPr>
          <w:lang w:val="mi-NZ"/>
        </w:rPr>
      </w:pPr>
      <w:bookmarkStart w:id="382" w:name="_Toc62052805"/>
      <w:bookmarkStart w:id="383" w:name="_Toc62649423"/>
      <w:bookmarkStart w:id="384" w:name="_Toc62650364"/>
      <w:r>
        <w:rPr>
          <w:lang w:val="mi-NZ"/>
        </w:rPr>
        <w:t xml:space="preserve">9.3.4 </w:t>
      </w:r>
      <w:r w:rsidRPr="00972EF1">
        <w:rPr>
          <w:lang w:val="mi-NZ"/>
        </w:rPr>
        <w:t>Important national circumstances that relate to potential biogenic methane emissions reductions</w:t>
      </w:r>
      <w:bookmarkEnd w:id="382"/>
      <w:bookmarkEnd w:id="383"/>
      <w:bookmarkEnd w:id="384"/>
    </w:p>
    <w:p w14:paraId="2DD068B1" w14:textId="77777777" w:rsidR="00F03A47" w:rsidRPr="00972EF1" w:rsidRDefault="00F03A47" w:rsidP="00F03A47">
      <w:pPr>
        <w:rPr>
          <w:lang w:val="mi-NZ"/>
        </w:rPr>
      </w:pPr>
      <w:r w:rsidRPr="00972EF1">
        <w:rPr>
          <w:lang w:val="mi-NZ"/>
        </w:rPr>
        <w:t>There are several important national circumstances that should be taken into account when considering biogenic methane emissions reductions in Aotearoa.</w:t>
      </w:r>
    </w:p>
    <w:p w14:paraId="2F4D2A17" w14:textId="6D587A64" w:rsidR="00F03A47" w:rsidRDefault="00F03A47" w:rsidP="00F03A47">
      <w:pPr>
        <w:pStyle w:val="NoSpacing"/>
        <w:rPr>
          <w:b/>
          <w:highlight w:val="yellow"/>
          <w:lang w:val="mi-NZ"/>
        </w:rPr>
      </w:pPr>
      <w:r w:rsidRPr="007F37E6">
        <w:rPr>
          <w:lang w:val="mi-NZ"/>
        </w:rPr>
        <w:t xml:space="preserve">Firstly, there are obligations </w:t>
      </w:r>
      <w:r w:rsidRPr="0D89CF1F">
        <w:rPr>
          <w:lang w:val="mi-NZ"/>
        </w:rPr>
        <w:t xml:space="preserve">to uphold the principles of partnership, protection,and participation under </w:t>
      </w:r>
      <w:r w:rsidRPr="0F9D2B8B">
        <w:rPr>
          <w:lang w:val="mi-NZ"/>
        </w:rPr>
        <w:t>th</w:t>
      </w:r>
      <w:r w:rsidRPr="007F37E6">
        <w:rPr>
          <w:lang w:val="mi-NZ"/>
        </w:rPr>
        <w:t xml:space="preserve">e </w:t>
      </w:r>
      <w:r>
        <w:rPr>
          <w:lang w:val="mi-NZ"/>
        </w:rPr>
        <w:t>Te Triti o Waitangi</w:t>
      </w:r>
      <w:r w:rsidRPr="0D89CF1F">
        <w:rPr>
          <w:lang w:val="mi-NZ"/>
        </w:rPr>
        <w:t>.</w:t>
      </w:r>
      <w:r>
        <w:rPr>
          <w:lang w:val="mi-NZ"/>
        </w:rPr>
        <w:t xml:space="preserve"> A</w:t>
      </w:r>
      <w:r w:rsidRPr="00B72765">
        <w:rPr>
          <w:lang w:val="mi-NZ"/>
        </w:rPr>
        <w:t xml:space="preserve">s discussed in </w:t>
      </w:r>
      <w:r w:rsidRPr="0062283B">
        <w:rPr>
          <w:i/>
          <w:lang w:val="mi-NZ"/>
        </w:rPr>
        <w:t>Chapter 5: The impacts of emissions budgets on New Zealanders</w:t>
      </w:r>
      <w:r>
        <w:rPr>
          <w:lang w:val="mi-NZ"/>
        </w:rPr>
        <w:t xml:space="preserve">, </w:t>
      </w:r>
      <w:r w:rsidRPr="00C32B6C">
        <w:rPr>
          <w:lang w:val="mi-NZ"/>
        </w:rPr>
        <w:t>M</w:t>
      </w:r>
      <w:r>
        <w:rPr>
          <w:lang w:val="mi-NZ"/>
        </w:rPr>
        <w:t>ā</w:t>
      </w:r>
      <w:r w:rsidRPr="00C32B6C">
        <w:rPr>
          <w:lang w:val="mi-NZ"/>
        </w:rPr>
        <w:t>ori</w:t>
      </w:r>
      <w:r w:rsidRPr="60781C0A">
        <w:rPr>
          <w:lang w:val="mi-NZ"/>
        </w:rPr>
        <w:t>-collectives</w:t>
      </w:r>
      <w:r w:rsidRPr="00C32B6C">
        <w:rPr>
          <w:lang w:val="mi-NZ"/>
        </w:rPr>
        <w:t xml:space="preserve"> </w:t>
      </w:r>
      <w:r>
        <w:rPr>
          <w:lang w:val="mi-NZ"/>
        </w:rPr>
        <w:t xml:space="preserve">hold </w:t>
      </w:r>
      <w:r w:rsidRPr="27C098D3">
        <w:rPr>
          <w:lang w:val="mi-NZ"/>
        </w:rPr>
        <w:t>approximately</w:t>
      </w:r>
      <w:r>
        <w:rPr>
          <w:lang w:val="mi-NZ"/>
        </w:rPr>
        <w:t xml:space="preserve"> $13 billion in assets in the primary industries with potential for further development. Any targets and supporting policies should avoid compounding historical disadvantages. </w:t>
      </w:r>
    </w:p>
    <w:p w14:paraId="3E547B63" w14:textId="77777777" w:rsidR="00F03A47" w:rsidRPr="00972EF1" w:rsidRDefault="00F03A47" w:rsidP="00F03A47">
      <w:pPr>
        <w:pStyle w:val="NoSpacing"/>
        <w:rPr>
          <w:lang w:val="mi-NZ"/>
        </w:rPr>
      </w:pPr>
    </w:p>
    <w:p w14:paraId="4A0E664C" w14:textId="034BD696" w:rsidR="00F03A47" w:rsidRPr="00972EF1" w:rsidRDefault="00F03A47" w:rsidP="00F03A47">
      <w:pPr>
        <w:pStyle w:val="NoSpacing"/>
        <w:rPr>
          <w:lang w:val="mi-NZ"/>
        </w:rPr>
      </w:pPr>
      <w:r w:rsidRPr="00972EF1">
        <w:rPr>
          <w:lang w:val="mi-NZ"/>
        </w:rPr>
        <w:t xml:space="preserve">Secondly, Aotearoa has </w:t>
      </w:r>
      <w:r w:rsidRPr="00847450">
        <w:rPr>
          <w:lang w:val="mi-NZ"/>
        </w:rPr>
        <w:t>a responsibility</w:t>
      </w:r>
      <w:r w:rsidRPr="00972EF1">
        <w:rPr>
          <w:lang w:val="mi-NZ"/>
        </w:rPr>
        <w:t xml:space="preserve"> as a developed country to take a leading role in reducing greenhouse gas emissions under the UNFCCC and principles of “common but differentiated responsibilities”. </w:t>
      </w:r>
      <w:r w:rsidRPr="00847450">
        <w:rPr>
          <w:lang w:val="mi-NZ"/>
        </w:rPr>
        <w:t xml:space="preserve">This responsibility </w:t>
      </w:r>
      <w:r w:rsidRPr="00972EF1">
        <w:rPr>
          <w:lang w:val="mi-NZ"/>
        </w:rPr>
        <w:t xml:space="preserve">is discussed further in </w:t>
      </w:r>
      <w:r w:rsidRPr="00EF5781">
        <w:rPr>
          <w:i/>
          <w:lang w:val="mi-NZ"/>
        </w:rPr>
        <w:t>Chapter 8:</w:t>
      </w:r>
      <w:r w:rsidRPr="004876AA">
        <w:rPr>
          <w:i/>
          <w:lang w:val="mi-NZ"/>
        </w:rPr>
        <w:t xml:space="preserve"> </w:t>
      </w:r>
      <w:r w:rsidR="004876AA" w:rsidRPr="004876AA">
        <w:rPr>
          <w:i/>
          <w:lang w:val="mi-NZ"/>
        </w:rPr>
        <w:t>The global 1.5°C goal and Nationally Determined Contribution</w:t>
      </w:r>
      <w:r w:rsidR="004876AA">
        <w:t xml:space="preserve"> for Aotearoa</w:t>
      </w:r>
      <w:r w:rsidRPr="00847450">
        <w:rPr>
          <w:lang w:val="mi-NZ"/>
        </w:rPr>
        <w:t>. The responsibility</w:t>
      </w:r>
      <w:r w:rsidRPr="00972EF1">
        <w:rPr>
          <w:lang w:val="mi-NZ"/>
        </w:rPr>
        <w:t xml:space="preserve"> </w:t>
      </w:r>
      <w:r>
        <w:rPr>
          <w:lang w:val="mi-NZ"/>
        </w:rPr>
        <w:t xml:space="preserve">means </w:t>
      </w:r>
      <w:r w:rsidRPr="00972EF1">
        <w:rPr>
          <w:lang w:val="mi-NZ"/>
        </w:rPr>
        <w:t xml:space="preserve">that Aotearoa must do more than the global average in terms of reducing emissions to meet fixed temperature targets. </w:t>
      </w:r>
      <w:r>
        <w:rPr>
          <w:lang w:val="mi-NZ"/>
        </w:rPr>
        <w:t>It</w:t>
      </w:r>
      <w:r w:rsidRPr="00972EF1">
        <w:rPr>
          <w:lang w:val="mi-NZ"/>
        </w:rPr>
        <w:t xml:space="preserve"> is </w:t>
      </w:r>
      <w:r w:rsidRPr="00972EF1">
        <w:rPr>
          <w:lang w:val="mi-NZ"/>
        </w:rPr>
        <w:lastRenderedPageBreak/>
        <w:t>based on a range of factors including historical responsibility for greenhouse gas emissions and present capacity to reduce them.</w:t>
      </w:r>
    </w:p>
    <w:p w14:paraId="25774994" w14:textId="77777777" w:rsidR="00F03A47" w:rsidRPr="00972EF1" w:rsidRDefault="00F03A47" w:rsidP="00F03A47">
      <w:pPr>
        <w:pStyle w:val="NoSpacing"/>
        <w:rPr>
          <w:lang w:val="mi-NZ"/>
        </w:rPr>
      </w:pPr>
    </w:p>
    <w:p w14:paraId="6C4E6FAE" w14:textId="2566C7EF" w:rsidR="00F03A47" w:rsidRPr="00972EF1" w:rsidRDefault="00F03A47" w:rsidP="00F03A47">
      <w:pPr>
        <w:pStyle w:val="NoSpacing"/>
        <w:rPr>
          <w:lang w:val="mi-NZ"/>
        </w:rPr>
      </w:pPr>
      <w:r w:rsidRPr="00972EF1">
        <w:rPr>
          <w:lang w:val="mi-NZ"/>
        </w:rPr>
        <w:t xml:space="preserve">Thirdly, Aotearoa is one of the most greenhouse gas efficient producers of </w:t>
      </w:r>
      <w:r>
        <w:rPr>
          <w:lang w:val="mi-NZ"/>
        </w:rPr>
        <w:t xml:space="preserve">red </w:t>
      </w:r>
      <w:r w:rsidRPr="00972EF1">
        <w:rPr>
          <w:lang w:val="mi-NZ"/>
        </w:rPr>
        <w:t xml:space="preserve">meat and dairy products in the world. </w:t>
      </w:r>
      <w:r w:rsidR="00AE28F0">
        <w:rPr>
          <w:lang w:val="mi-NZ"/>
        </w:rPr>
        <w:t>The</w:t>
      </w:r>
      <w:r w:rsidRPr="00972EF1">
        <w:rPr>
          <w:lang w:val="mi-NZ"/>
        </w:rPr>
        <w:t xml:space="preserve"> climate</w:t>
      </w:r>
      <w:r>
        <w:rPr>
          <w:lang w:val="mi-NZ"/>
        </w:rPr>
        <w:t>,</w:t>
      </w:r>
      <w:r w:rsidRPr="00972EF1">
        <w:rPr>
          <w:lang w:val="mi-NZ"/>
        </w:rPr>
        <w:t xml:space="preserve"> topography</w:t>
      </w:r>
      <w:r>
        <w:rPr>
          <w:lang w:val="mi-NZ"/>
        </w:rPr>
        <w:t xml:space="preserve">, </w:t>
      </w:r>
      <w:r w:rsidRPr="00972EF1">
        <w:rPr>
          <w:lang w:val="mi-NZ"/>
        </w:rPr>
        <w:t xml:space="preserve">rainfall patterns </w:t>
      </w:r>
      <w:r>
        <w:rPr>
          <w:lang w:val="mi-NZ"/>
        </w:rPr>
        <w:t>and</w:t>
      </w:r>
      <w:r w:rsidRPr="00972EF1">
        <w:rPr>
          <w:lang w:val="mi-NZ"/>
        </w:rPr>
        <w:t xml:space="preserve"> soil type</w:t>
      </w:r>
      <w:r>
        <w:rPr>
          <w:lang w:val="mi-NZ"/>
        </w:rPr>
        <w:t>s</w:t>
      </w:r>
      <w:r w:rsidRPr="00972EF1">
        <w:rPr>
          <w:lang w:val="mi-NZ"/>
        </w:rPr>
        <w:t xml:space="preserve"> </w:t>
      </w:r>
      <w:r>
        <w:rPr>
          <w:lang w:val="mi-NZ"/>
        </w:rPr>
        <w:t>make</w:t>
      </w:r>
      <w:r w:rsidRPr="00972EF1">
        <w:rPr>
          <w:lang w:val="mi-NZ"/>
        </w:rPr>
        <w:t xml:space="preserve"> much of the country suited to pastoral farming</w:t>
      </w:r>
      <w:r>
        <w:rPr>
          <w:lang w:val="mi-NZ"/>
        </w:rPr>
        <w:t>.</w:t>
      </w:r>
      <w:r w:rsidRPr="00972EF1">
        <w:rPr>
          <w:lang w:val="mi-NZ"/>
        </w:rPr>
        <w:t xml:space="preserve"> </w:t>
      </w:r>
      <w:r>
        <w:rPr>
          <w:lang w:val="mi-NZ"/>
        </w:rPr>
        <w:t>C</w:t>
      </w:r>
      <w:r w:rsidRPr="00972EF1">
        <w:rPr>
          <w:lang w:val="mi-NZ"/>
        </w:rPr>
        <w:t xml:space="preserve">ombined with </w:t>
      </w:r>
      <w:r>
        <w:rPr>
          <w:lang w:val="mi-NZ"/>
        </w:rPr>
        <w:t>access</w:t>
      </w:r>
      <w:r w:rsidRPr="00972EF1">
        <w:rPr>
          <w:lang w:val="mi-NZ"/>
        </w:rPr>
        <w:t xml:space="preserve"> to international markets and the need to compete with </w:t>
      </w:r>
      <w:r>
        <w:rPr>
          <w:lang w:val="mi-NZ"/>
        </w:rPr>
        <w:t>subsidised</w:t>
      </w:r>
      <w:r w:rsidRPr="00972EF1">
        <w:rPr>
          <w:lang w:val="mi-NZ"/>
        </w:rPr>
        <w:t xml:space="preserve"> international producers</w:t>
      </w:r>
      <w:r>
        <w:rPr>
          <w:lang w:val="mi-NZ"/>
        </w:rPr>
        <w:t>, this</w:t>
      </w:r>
      <w:r w:rsidRPr="00972EF1">
        <w:rPr>
          <w:lang w:val="mi-NZ"/>
        </w:rPr>
        <w:t xml:space="preserve"> has helped drive improvements in efficiency across Aotearoa’s pastoral production systems. In a low emissions future where </w:t>
      </w:r>
      <w:r>
        <w:rPr>
          <w:lang w:val="mi-NZ"/>
        </w:rPr>
        <w:t xml:space="preserve">red </w:t>
      </w:r>
      <w:r w:rsidRPr="00972EF1">
        <w:rPr>
          <w:lang w:val="mi-NZ"/>
        </w:rPr>
        <w:t xml:space="preserve">meat and dairy products continue to be consumed there is </w:t>
      </w:r>
      <w:r>
        <w:rPr>
          <w:lang w:val="mi-NZ"/>
        </w:rPr>
        <w:t>good reason to believe that production in Aotearoa would still be globally competitive.</w:t>
      </w:r>
    </w:p>
    <w:p w14:paraId="05C8B7C8" w14:textId="77777777" w:rsidR="00F03A47" w:rsidRPr="00972EF1" w:rsidRDefault="00F03A47" w:rsidP="00F03A47">
      <w:pPr>
        <w:rPr>
          <w:lang w:val="mi-NZ"/>
        </w:rPr>
      </w:pPr>
      <w:r>
        <w:rPr>
          <w:lang w:val="mi-NZ"/>
        </w:rPr>
        <w:t xml:space="preserve">Internationally, Aotearoa leverages its expertise in efficient agricultural production to support emissions reductions and sustainable development in other countries. </w:t>
      </w:r>
      <w:r w:rsidRPr="00713EF4">
        <w:rPr>
          <w:lang w:val="mi-NZ"/>
        </w:rPr>
        <w:t>The</w:t>
      </w:r>
      <w:r>
        <w:rPr>
          <w:lang w:val="mi-NZ"/>
        </w:rPr>
        <w:t xml:space="preserve"> </w:t>
      </w:r>
      <w:r w:rsidRPr="00713EF4">
        <w:rPr>
          <w:lang w:val="mi-NZ"/>
        </w:rPr>
        <w:t>Government’s</w:t>
      </w:r>
      <w:r w:rsidRPr="00D2009D">
        <w:rPr>
          <w:rStyle w:val="normaltextrun"/>
          <w:rFonts w:ascii="Calibri" w:hAnsi="Calibri"/>
          <w:shd w:val="clear" w:color="auto" w:fill="FFFFFF"/>
        </w:rPr>
        <w:t xml:space="preserve"> </w:t>
      </w:r>
      <w:r w:rsidRPr="00713EF4">
        <w:rPr>
          <w:lang w:val="mi-NZ"/>
        </w:rPr>
        <w:t>role</w:t>
      </w:r>
      <w:r w:rsidRPr="00D2009D">
        <w:rPr>
          <w:rStyle w:val="normaltextrun"/>
          <w:rFonts w:ascii="Calibri" w:hAnsi="Calibri"/>
          <w:shd w:val="clear" w:color="auto" w:fill="FFFFFF"/>
        </w:rPr>
        <w:t xml:space="preserve"> </w:t>
      </w:r>
      <w:r w:rsidRPr="00713EF4">
        <w:rPr>
          <w:lang w:val="mi-NZ"/>
        </w:rPr>
        <w:t>in</w:t>
      </w:r>
      <w:r>
        <w:rPr>
          <w:lang w:val="mi-NZ"/>
        </w:rPr>
        <w:t xml:space="preserve"> </w:t>
      </w:r>
      <w:r w:rsidRPr="00713EF4">
        <w:rPr>
          <w:lang w:val="mi-NZ"/>
        </w:rPr>
        <w:t>founding and</w:t>
      </w:r>
      <w:r>
        <w:rPr>
          <w:lang w:val="mi-NZ"/>
        </w:rPr>
        <w:t xml:space="preserve"> </w:t>
      </w:r>
      <w:r w:rsidRPr="00713EF4">
        <w:rPr>
          <w:lang w:val="mi-NZ"/>
        </w:rPr>
        <w:t>funding the Global Research Alliance on Agricultural Greenhouse Gases is a key example of this.</w:t>
      </w:r>
      <w:r>
        <w:rPr>
          <w:lang w:val="mi-NZ"/>
        </w:rPr>
        <w:t xml:space="preserve"> </w:t>
      </w:r>
      <w:r w:rsidRPr="00713EF4">
        <w:rPr>
          <w:lang w:val="mi-NZ"/>
        </w:rPr>
        <w:t>Its ability to</w:t>
      </w:r>
      <w:r>
        <w:rPr>
          <w:lang w:val="mi-NZ"/>
        </w:rPr>
        <w:t xml:space="preserve"> </w:t>
      </w:r>
      <w:r w:rsidRPr="00713EF4">
        <w:rPr>
          <w:lang w:val="mi-NZ"/>
        </w:rPr>
        <w:t>credibly lead such initiatives</w:t>
      </w:r>
      <w:r>
        <w:rPr>
          <w:lang w:val="mi-NZ"/>
        </w:rPr>
        <w:t xml:space="preserve"> </w:t>
      </w:r>
      <w:r w:rsidRPr="00713EF4">
        <w:rPr>
          <w:lang w:val="mi-NZ"/>
        </w:rPr>
        <w:t>is</w:t>
      </w:r>
      <w:r>
        <w:rPr>
          <w:lang w:val="mi-NZ"/>
        </w:rPr>
        <w:t xml:space="preserve"> </w:t>
      </w:r>
      <w:r w:rsidRPr="00713EF4">
        <w:rPr>
          <w:lang w:val="mi-NZ"/>
        </w:rPr>
        <w:t>enabled</w:t>
      </w:r>
      <w:r>
        <w:rPr>
          <w:lang w:val="mi-NZ"/>
        </w:rPr>
        <w:t xml:space="preserve"> </w:t>
      </w:r>
      <w:r w:rsidRPr="00713EF4">
        <w:rPr>
          <w:lang w:val="mi-NZ"/>
        </w:rPr>
        <w:t>and underpinned</w:t>
      </w:r>
      <w:r>
        <w:rPr>
          <w:lang w:val="mi-NZ"/>
        </w:rPr>
        <w:t xml:space="preserve"> </w:t>
      </w:r>
      <w:r w:rsidRPr="00713EF4">
        <w:rPr>
          <w:lang w:val="mi-NZ"/>
        </w:rPr>
        <w:t>by</w:t>
      </w:r>
      <w:r>
        <w:rPr>
          <w:lang w:val="mi-NZ"/>
        </w:rPr>
        <w:t xml:space="preserve"> the country’s </w:t>
      </w:r>
      <w:r w:rsidRPr="00713EF4">
        <w:rPr>
          <w:lang w:val="mi-NZ"/>
        </w:rPr>
        <w:t>innovative ecosystem</w:t>
      </w:r>
      <w:r>
        <w:rPr>
          <w:lang w:val="mi-NZ"/>
        </w:rPr>
        <w:t xml:space="preserve"> </w:t>
      </w:r>
      <w:r w:rsidRPr="00713EF4">
        <w:rPr>
          <w:lang w:val="mi-NZ"/>
        </w:rPr>
        <w:t>of farmers, researchers and agriculture experts. The value of these international contributions should also be considered in assessing biogenic methane emissions reductions.</w:t>
      </w:r>
    </w:p>
    <w:p w14:paraId="003F245D" w14:textId="77777777" w:rsidR="00F03A47" w:rsidRPr="00972EF1" w:rsidRDefault="00F03A47" w:rsidP="00F03A47">
      <w:pPr>
        <w:rPr>
          <w:lang w:val="mi-NZ"/>
        </w:rPr>
      </w:pPr>
      <w:r w:rsidRPr="00972EF1">
        <w:rPr>
          <w:lang w:val="mi-NZ"/>
        </w:rPr>
        <w:t xml:space="preserve">Fourthly, the large role played by agriculture in </w:t>
      </w:r>
      <w:r>
        <w:rPr>
          <w:lang w:val="mi-NZ"/>
        </w:rPr>
        <w:t xml:space="preserve">the </w:t>
      </w:r>
      <w:r w:rsidRPr="00972EF1">
        <w:rPr>
          <w:lang w:val="mi-NZ"/>
        </w:rPr>
        <w:t>economy</w:t>
      </w:r>
      <w:r>
        <w:rPr>
          <w:lang w:val="mi-NZ"/>
        </w:rPr>
        <w:t xml:space="preserve"> of Aotearoa</w:t>
      </w:r>
      <w:r w:rsidRPr="00972EF1">
        <w:rPr>
          <w:lang w:val="mi-NZ"/>
        </w:rPr>
        <w:t xml:space="preserve"> should also be considered when considering reductions in biogenic methane. Reductions in biogenic methane that come at significant cost to agricultural industries could have negative social and economic consequences as discussed in </w:t>
      </w:r>
      <w:r>
        <w:rPr>
          <w:i/>
          <w:iCs/>
          <w:lang w:val="mi-NZ"/>
        </w:rPr>
        <w:t>C</w:t>
      </w:r>
      <w:r w:rsidRPr="001F65E6">
        <w:rPr>
          <w:i/>
          <w:iCs/>
          <w:lang w:val="mi-NZ"/>
        </w:rPr>
        <w:t>hapter</w:t>
      </w:r>
      <w:r w:rsidRPr="001F65E6">
        <w:rPr>
          <w:i/>
          <w:lang w:val="mi-NZ"/>
        </w:rPr>
        <w:t xml:space="preserve"> 5: The impacts of emissions budgets on New Zealanders.</w:t>
      </w:r>
      <w:r w:rsidRPr="00972EF1">
        <w:rPr>
          <w:lang w:val="mi-NZ"/>
        </w:rPr>
        <w:t xml:space="preserve"> At the same time, the long-term viability of these industries may require reductions in biogenic methane to </w:t>
      </w:r>
      <w:r>
        <w:rPr>
          <w:lang w:val="mi-NZ"/>
        </w:rPr>
        <w:t xml:space="preserve">maintain access to international markets and to </w:t>
      </w:r>
      <w:r w:rsidRPr="00972EF1">
        <w:rPr>
          <w:lang w:val="mi-NZ"/>
        </w:rPr>
        <w:t>meet evolving domestic and international consumer preferences. This is discussed more in the next section of this chapter.</w:t>
      </w:r>
    </w:p>
    <w:p w14:paraId="137F129E" w14:textId="4F8C0C40" w:rsidR="00F03A47" w:rsidRPr="002C0A8A" w:rsidRDefault="00F03A47" w:rsidP="002C0A8A">
      <w:pPr>
        <w:spacing w:after="0" w:line="240" w:lineRule="auto"/>
        <w:rPr>
          <w:rFonts w:ascii="Calibri" w:eastAsia="Times New Roman" w:hAnsi="Calibri" w:cs="Calibri"/>
          <w:b/>
          <w:bCs/>
          <w:lang w:eastAsia="en-NZ"/>
        </w:rPr>
      </w:pPr>
      <w:r w:rsidRPr="008674A3">
        <w:rPr>
          <w:b/>
          <w:bCs/>
          <w:lang w:val="mi-NZ"/>
        </w:rPr>
        <w:t xml:space="preserve">On balance, we </w:t>
      </w:r>
      <w:r w:rsidRPr="00AA697B">
        <w:rPr>
          <w:rFonts w:ascii="Calibri" w:eastAsia="Times New Roman" w:hAnsi="Calibri" w:cs="Calibri"/>
          <w:b/>
          <w:bCs/>
          <w:lang w:eastAsia="en-NZ"/>
        </w:rPr>
        <w:t xml:space="preserve">consider that </w:t>
      </w:r>
      <w:r>
        <w:rPr>
          <w:rFonts w:ascii="Calibri" w:eastAsia="Times New Roman" w:hAnsi="Calibri" w:cs="Calibri"/>
          <w:b/>
          <w:bCs/>
          <w:lang w:eastAsia="en-NZ"/>
        </w:rPr>
        <w:t>the country’s</w:t>
      </w:r>
      <w:r w:rsidRPr="00AA697B">
        <w:rPr>
          <w:rFonts w:ascii="Calibri" w:eastAsia="Times New Roman" w:hAnsi="Calibri" w:cs="Calibri"/>
          <w:b/>
          <w:bCs/>
          <w:lang w:eastAsia="en-NZ"/>
        </w:rPr>
        <w:t xml:space="preserve"> national circumstances do not provide sufficient reason to </w:t>
      </w:r>
      <w:r w:rsidRPr="008674A3">
        <w:rPr>
          <w:rFonts w:ascii="Calibri" w:eastAsia="Times New Roman" w:hAnsi="Calibri" w:cs="Calibri"/>
          <w:b/>
          <w:bCs/>
          <w:lang w:eastAsia="en-NZ"/>
        </w:rPr>
        <w:t xml:space="preserve">reduce biogenic methane emissions by less than other </w:t>
      </w:r>
      <w:r w:rsidRPr="00AA697B">
        <w:rPr>
          <w:rFonts w:ascii="Calibri" w:eastAsia="Times New Roman" w:hAnsi="Calibri" w:cs="Calibri"/>
          <w:b/>
          <w:bCs/>
          <w:lang w:eastAsia="en-NZ"/>
        </w:rPr>
        <w:t>developed countries in contributing to the global 1.5</w:t>
      </w:r>
      <w:r>
        <w:rPr>
          <w:rFonts w:ascii="Calibri" w:eastAsia="Times New Roman" w:hAnsi="Calibri" w:cs="Calibri"/>
          <w:b/>
          <w:bCs/>
          <w:lang w:eastAsia="en-NZ"/>
        </w:rPr>
        <w:t xml:space="preserve"> </w:t>
      </w:r>
      <w:r w:rsidRPr="00AA697B">
        <w:rPr>
          <w:rFonts w:ascii="Calibri" w:eastAsia="Times New Roman" w:hAnsi="Calibri" w:cs="Calibri"/>
          <w:b/>
          <w:bCs/>
          <w:lang w:eastAsia="en-NZ"/>
        </w:rPr>
        <w:t>°C goal.</w:t>
      </w:r>
    </w:p>
    <w:p w14:paraId="0CFA0622" w14:textId="77777777" w:rsidR="00F03A47" w:rsidRPr="00972EF1" w:rsidRDefault="00F03A47" w:rsidP="00F03A47">
      <w:pPr>
        <w:pStyle w:val="Heading2"/>
        <w:rPr>
          <w:lang w:val="mi-NZ"/>
        </w:rPr>
      </w:pPr>
      <w:bookmarkStart w:id="385" w:name="_Toc62052806"/>
      <w:bookmarkStart w:id="386" w:name="_Toc62650365"/>
      <w:r>
        <w:rPr>
          <w:lang w:val="mi-NZ"/>
        </w:rPr>
        <w:t xml:space="preserve">9.4 </w:t>
      </w:r>
      <w:r w:rsidRPr="00972EF1">
        <w:rPr>
          <w:lang w:val="mi-NZ"/>
        </w:rPr>
        <w:t>Consideration 3: What social, economic and demographic changes may occur?</w:t>
      </w:r>
      <w:bookmarkEnd w:id="385"/>
      <w:bookmarkEnd w:id="386"/>
    </w:p>
    <w:p w14:paraId="6EC9FE01" w14:textId="03830FCC" w:rsidR="00F03A47" w:rsidRPr="00972EF1" w:rsidRDefault="00F03A47" w:rsidP="00F03A47">
      <w:pPr>
        <w:rPr>
          <w:lang w:val="mi-NZ"/>
        </w:rPr>
      </w:pPr>
      <w:r w:rsidRPr="00713EF4">
        <w:rPr>
          <w:lang w:val="mi-NZ"/>
        </w:rPr>
        <w:t>Our third consideration is of the</w:t>
      </w:r>
      <w:r>
        <w:rPr>
          <w:b/>
          <w:bCs/>
          <w:lang w:val="mi-NZ"/>
        </w:rPr>
        <w:t xml:space="preserve"> </w:t>
      </w:r>
      <w:r w:rsidRPr="00972EF1">
        <w:rPr>
          <w:lang w:val="mi-NZ"/>
        </w:rPr>
        <w:t xml:space="preserve">the key social, economic and demographic factors and changes that may occur until 2100 – both within Aotearoa and globally – that could affect </w:t>
      </w:r>
      <w:r w:rsidR="00A83724">
        <w:rPr>
          <w:lang w:val="mi-NZ"/>
        </w:rPr>
        <w:t>the</w:t>
      </w:r>
      <w:r w:rsidRPr="00972EF1">
        <w:rPr>
          <w:lang w:val="mi-NZ"/>
        </w:rPr>
        <w:t xml:space="preserve"> contribution</w:t>
      </w:r>
      <w:r w:rsidR="00A83724">
        <w:rPr>
          <w:lang w:val="mi-NZ"/>
        </w:rPr>
        <w:t xml:space="preserve"> Aotearoa </w:t>
      </w:r>
      <w:r w:rsidR="00285161">
        <w:rPr>
          <w:lang w:val="mi-NZ"/>
        </w:rPr>
        <w:t>makes</w:t>
      </w:r>
      <w:r w:rsidRPr="00972EF1">
        <w:rPr>
          <w:lang w:val="mi-NZ"/>
        </w:rPr>
        <w:t xml:space="preserve"> to biogenic methane emissions reductions. This section steps through </w:t>
      </w:r>
      <w:r>
        <w:rPr>
          <w:lang w:val="mi-NZ"/>
        </w:rPr>
        <w:t xml:space="preserve">some of </w:t>
      </w:r>
      <w:r w:rsidRPr="00972EF1">
        <w:rPr>
          <w:lang w:val="mi-NZ"/>
        </w:rPr>
        <w:t xml:space="preserve">the key trends that </w:t>
      </w:r>
      <w:r>
        <w:rPr>
          <w:lang w:val="mi-NZ"/>
        </w:rPr>
        <w:t>we have incorporated into our analysis</w:t>
      </w:r>
      <w:r w:rsidRPr="00972EF1">
        <w:rPr>
          <w:lang w:val="mi-NZ"/>
        </w:rPr>
        <w:t>.</w:t>
      </w:r>
    </w:p>
    <w:p w14:paraId="56224C7A" w14:textId="77777777" w:rsidR="00F03A47" w:rsidRPr="00972EF1" w:rsidRDefault="00F03A47" w:rsidP="00F03A47">
      <w:pPr>
        <w:pStyle w:val="Heading3"/>
        <w:rPr>
          <w:lang w:val="mi-NZ"/>
        </w:rPr>
      </w:pPr>
      <w:bookmarkStart w:id="387" w:name="_Toc62052807"/>
      <w:bookmarkStart w:id="388" w:name="_Toc62649425"/>
      <w:bookmarkStart w:id="389" w:name="_Toc62650366"/>
      <w:r>
        <w:rPr>
          <w:lang w:val="mi-NZ"/>
        </w:rPr>
        <w:t xml:space="preserve">9.4.1 </w:t>
      </w:r>
      <w:r w:rsidRPr="00972EF1">
        <w:rPr>
          <w:lang w:val="mi-NZ"/>
        </w:rPr>
        <w:t>Population growth and food demand</w:t>
      </w:r>
      <w:bookmarkEnd w:id="387"/>
      <w:bookmarkEnd w:id="388"/>
      <w:bookmarkEnd w:id="389"/>
      <w:r w:rsidRPr="00972EF1">
        <w:rPr>
          <w:lang w:val="mi-NZ"/>
        </w:rPr>
        <w:t xml:space="preserve"> </w:t>
      </w:r>
    </w:p>
    <w:p w14:paraId="7CDCC7BF" w14:textId="77777777" w:rsidR="00F03A47" w:rsidRPr="00972EF1" w:rsidRDefault="00F03A47" w:rsidP="00F03A47">
      <w:pPr>
        <w:rPr>
          <w:lang w:val="mi-NZ"/>
        </w:rPr>
      </w:pPr>
      <w:r w:rsidRPr="00972EF1">
        <w:rPr>
          <w:lang w:val="mi-NZ"/>
        </w:rPr>
        <w:t xml:space="preserve">The world population is expected to continue to increase over the century, reaching more than 9 billion people by 2050. </w:t>
      </w:r>
      <w:r>
        <w:rPr>
          <w:lang w:val="mi-NZ"/>
        </w:rPr>
        <w:t>The growth in the g</w:t>
      </w:r>
      <w:r w:rsidRPr="00972EF1">
        <w:rPr>
          <w:lang w:val="mi-NZ"/>
        </w:rPr>
        <w:t xml:space="preserve">lobal population </w:t>
      </w:r>
      <w:r>
        <w:rPr>
          <w:lang w:val="mi-NZ"/>
        </w:rPr>
        <w:t xml:space="preserve">is </w:t>
      </w:r>
      <w:r w:rsidRPr="00972EF1">
        <w:rPr>
          <w:lang w:val="mi-NZ"/>
        </w:rPr>
        <w:t xml:space="preserve">expected to slow over the century, although by how much is uncertain. Estimates used in the IPCC </w:t>
      </w:r>
      <w:r w:rsidRPr="00ED04CF">
        <w:rPr>
          <w:rFonts w:ascii="Calibri" w:eastAsia="Times New Roman" w:hAnsi="Calibri" w:cs="Calibri"/>
          <w:lang w:eastAsia="en-NZ"/>
        </w:rPr>
        <w:t>1.5°C</w:t>
      </w:r>
      <w:r w:rsidRPr="00AA697B">
        <w:rPr>
          <w:rFonts w:ascii="Calibri" w:eastAsia="Times New Roman" w:hAnsi="Calibri" w:cs="Calibri"/>
          <w:b/>
          <w:bCs/>
          <w:lang w:eastAsia="en-NZ"/>
        </w:rPr>
        <w:t xml:space="preserve"> </w:t>
      </w:r>
      <w:r>
        <w:rPr>
          <w:lang w:val="mi-NZ"/>
        </w:rPr>
        <w:t>report</w:t>
      </w:r>
      <w:r w:rsidRPr="00972EF1">
        <w:rPr>
          <w:lang w:val="mi-NZ"/>
        </w:rPr>
        <w:t xml:space="preserve"> </w:t>
      </w:r>
      <w:r>
        <w:rPr>
          <w:lang w:val="mi-NZ"/>
        </w:rPr>
        <w:t xml:space="preserve">suggest the </w:t>
      </w:r>
      <w:r w:rsidRPr="00972EF1">
        <w:rPr>
          <w:lang w:val="mi-NZ"/>
        </w:rPr>
        <w:t xml:space="preserve">global human population </w:t>
      </w:r>
      <w:r>
        <w:rPr>
          <w:lang w:val="mi-NZ"/>
        </w:rPr>
        <w:t xml:space="preserve">is expected to increase to </w:t>
      </w:r>
      <w:r w:rsidRPr="00972EF1">
        <w:rPr>
          <w:lang w:val="mi-NZ"/>
        </w:rPr>
        <w:t>between 9-11 billion</w:t>
      </w:r>
      <w:r>
        <w:rPr>
          <w:lang w:val="mi-NZ"/>
        </w:rPr>
        <w:t xml:space="preserve"> by</w:t>
      </w:r>
      <w:r w:rsidRPr="00972EF1">
        <w:rPr>
          <w:lang w:val="mi-NZ"/>
        </w:rPr>
        <w:t xml:space="preserve"> the end of the century.</w:t>
      </w:r>
    </w:p>
    <w:p w14:paraId="3CE7EC03" w14:textId="4C9F9BC7" w:rsidR="00F03A47" w:rsidRPr="00972EF1" w:rsidRDefault="00F03A47" w:rsidP="00F03A47">
      <w:pPr>
        <w:rPr>
          <w:lang w:val="mi-NZ"/>
        </w:rPr>
      </w:pPr>
      <w:r w:rsidRPr="00972EF1">
        <w:rPr>
          <w:lang w:val="mi-NZ"/>
        </w:rPr>
        <w:t xml:space="preserve">This growing population will </w:t>
      </w:r>
      <w:r>
        <w:rPr>
          <w:lang w:val="mi-NZ"/>
        </w:rPr>
        <w:t>need to be fed</w:t>
      </w:r>
      <w:r w:rsidRPr="00972EF1">
        <w:rPr>
          <w:lang w:val="mi-NZ"/>
        </w:rPr>
        <w:t>. As the majority of meat and dairy produce</w:t>
      </w:r>
      <w:r>
        <w:rPr>
          <w:lang w:val="mi-NZ"/>
        </w:rPr>
        <w:t>d in Aotearoa</w:t>
      </w:r>
      <w:r w:rsidRPr="00972EF1">
        <w:rPr>
          <w:lang w:val="mi-NZ"/>
        </w:rPr>
        <w:t xml:space="preserve"> is exported, changes in global demand for these products could have important consequences for</w:t>
      </w:r>
      <w:r w:rsidR="00413A52">
        <w:rPr>
          <w:lang w:val="mi-NZ"/>
        </w:rPr>
        <w:t xml:space="preserve"> </w:t>
      </w:r>
      <w:r w:rsidRPr="00972EF1">
        <w:rPr>
          <w:lang w:val="mi-NZ"/>
        </w:rPr>
        <w:t>biogenic methane emissions</w:t>
      </w:r>
      <w:r>
        <w:rPr>
          <w:lang w:val="mi-NZ"/>
        </w:rPr>
        <w:t>.</w:t>
      </w:r>
    </w:p>
    <w:p w14:paraId="28561239" w14:textId="77777777" w:rsidR="00F03A47" w:rsidRPr="00972EF1" w:rsidRDefault="00F03A47" w:rsidP="00F03A47">
      <w:pPr>
        <w:rPr>
          <w:lang w:val="mi-NZ"/>
        </w:rPr>
      </w:pPr>
      <w:r w:rsidRPr="00972EF1">
        <w:rPr>
          <w:lang w:val="mi-NZ"/>
        </w:rPr>
        <w:t>A number of estimates exist for changes in food demand, which include both an increase in total amount and changes in the type food required</w:t>
      </w:r>
      <w:r>
        <w:rPr>
          <w:lang w:val="mi-NZ"/>
        </w:rPr>
        <w:t>.</w:t>
      </w:r>
      <w:r w:rsidRPr="00972EF1">
        <w:rPr>
          <w:lang w:val="mi-NZ"/>
        </w:rPr>
        <w:t xml:space="preserve"> </w:t>
      </w:r>
      <w:r>
        <w:rPr>
          <w:lang w:val="mi-NZ"/>
        </w:rPr>
        <w:t xml:space="preserve">The Food and Agriculture Organization of the United </w:t>
      </w:r>
      <w:r>
        <w:rPr>
          <w:lang w:val="mi-NZ"/>
        </w:rPr>
        <w:lastRenderedPageBreak/>
        <w:t xml:space="preserve">Nations (FAO), </w:t>
      </w:r>
      <w:r w:rsidRPr="00972EF1">
        <w:rPr>
          <w:lang w:val="mi-NZ"/>
        </w:rPr>
        <w:t>estimated the need to double global food production by 2050 to meet the expected demand of around 9.7 billion people, although this need is not evenly distributed around the world. The FAO also predicts increasing demand for animal products, fruit and vegetables and more processed foods, due to a combination of increasing wealth and greater urbanisation.</w:t>
      </w:r>
    </w:p>
    <w:p w14:paraId="0905D41A" w14:textId="0070D8C3" w:rsidR="00F03A47" w:rsidRPr="00972EF1" w:rsidRDefault="00F03A47" w:rsidP="00F03A47">
      <w:pPr>
        <w:rPr>
          <w:lang w:val="mi-NZ"/>
        </w:rPr>
      </w:pPr>
      <w:r w:rsidRPr="00972EF1">
        <w:rPr>
          <w:lang w:val="mi-NZ"/>
        </w:rPr>
        <w:t>The</w:t>
      </w:r>
      <w:r w:rsidRPr="00972EF1" w:rsidDel="004E2248">
        <w:rPr>
          <w:lang w:val="mi-NZ"/>
        </w:rPr>
        <w:t xml:space="preserve"> </w:t>
      </w:r>
      <w:r>
        <w:rPr>
          <w:lang w:val="mi-NZ"/>
        </w:rPr>
        <w:t>majority</w:t>
      </w:r>
      <w:r w:rsidRPr="00972EF1">
        <w:rPr>
          <w:lang w:val="mi-NZ"/>
        </w:rPr>
        <w:t xml:space="preserve"> of global population growth and increased food demand is expected to occur in regions that are not currently major export destinations for Aotearoa, such as sub-Saharan Africa and South Asia. Most of </w:t>
      </w:r>
      <w:r w:rsidR="00413A52">
        <w:rPr>
          <w:lang w:val="mi-NZ"/>
        </w:rPr>
        <w:t>the</w:t>
      </w:r>
      <w:r w:rsidRPr="00972EF1">
        <w:rPr>
          <w:lang w:val="mi-NZ"/>
        </w:rPr>
        <w:t xml:space="preserve"> dairy and meat exports are </w:t>
      </w:r>
      <w:r>
        <w:rPr>
          <w:lang w:val="mi-NZ"/>
        </w:rPr>
        <w:t xml:space="preserve">currently </w:t>
      </w:r>
      <w:r w:rsidRPr="00972EF1">
        <w:rPr>
          <w:lang w:val="mi-NZ"/>
        </w:rPr>
        <w:t xml:space="preserve">targeted at middle-class and premium consumers in China, Europe, and North America. </w:t>
      </w:r>
      <w:r>
        <w:rPr>
          <w:lang w:val="mi-NZ"/>
        </w:rPr>
        <w:t>I</w:t>
      </w:r>
      <w:r w:rsidRPr="00972EF1">
        <w:rPr>
          <w:lang w:val="mi-NZ"/>
        </w:rPr>
        <w:t xml:space="preserve">n addition to global population growth, incomes in many developing countries are expected to rise and bring with it an expanded global middle-class. </w:t>
      </w:r>
      <w:r>
        <w:rPr>
          <w:lang w:val="mi-NZ"/>
        </w:rPr>
        <w:t>There is</w:t>
      </w:r>
      <w:r w:rsidRPr="00972EF1">
        <w:rPr>
          <w:lang w:val="mi-NZ"/>
        </w:rPr>
        <w:t xml:space="preserve"> a clear relationship between increasing incomes and consumption of meat and dairy products.</w:t>
      </w:r>
    </w:p>
    <w:p w14:paraId="3FA6902F" w14:textId="70C930D1" w:rsidR="00F03A47" w:rsidRPr="00972EF1" w:rsidRDefault="00F03A47" w:rsidP="00F03A47">
      <w:pPr>
        <w:rPr>
          <w:lang w:val="mi-NZ"/>
        </w:rPr>
      </w:pPr>
      <w:r w:rsidRPr="00972EF1">
        <w:rPr>
          <w:lang w:val="mi-NZ"/>
        </w:rPr>
        <w:t xml:space="preserve">In a future where meat and dairy products remain in high demand, there is </w:t>
      </w:r>
      <w:r>
        <w:rPr>
          <w:lang w:val="mi-NZ"/>
        </w:rPr>
        <w:t xml:space="preserve">good reason to expect </w:t>
      </w:r>
      <w:r w:rsidRPr="00972EF1">
        <w:rPr>
          <w:lang w:val="mi-NZ"/>
        </w:rPr>
        <w:t xml:space="preserve">Aotearoa </w:t>
      </w:r>
      <w:r>
        <w:rPr>
          <w:lang w:val="mi-NZ"/>
        </w:rPr>
        <w:t>can</w:t>
      </w:r>
      <w:r w:rsidRPr="00972EF1">
        <w:rPr>
          <w:lang w:val="mi-NZ"/>
        </w:rPr>
        <w:t xml:space="preserve"> continue providing these to the world if </w:t>
      </w:r>
      <w:r>
        <w:rPr>
          <w:lang w:val="mi-NZ"/>
        </w:rPr>
        <w:t xml:space="preserve">Aotearoa </w:t>
      </w:r>
      <w:r w:rsidRPr="00972EF1">
        <w:rPr>
          <w:lang w:val="mi-NZ"/>
        </w:rPr>
        <w:t xml:space="preserve">can maintain and strengthen </w:t>
      </w:r>
      <w:r>
        <w:rPr>
          <w:lang w:val="mi-NZ"/>
        </w:rPr>
        <w:t xml:space="preserve">its </w:t>
      </w:r>
      <w:r w:rsidRPr="00972EF1">
        <w:rPr>
          <w:lang w:val="mi-NZ"/>
        </w:rPr>
        <w:t>position as one of the lowes</w:t>
      </w:r>
      <w:r>
        <w:rPr>
          <w:lang w:val="mi-NZ"/>
        </w:rPr>
        <w:t xml:space="preserve">t </w:t>
      </w:r>
      <w:r w:rsidRPr="00972EF1">
        <w:rPr>
          <w:lang w:val="mi-NZ"/>
        </w:rPr>
        <w:t xml:space="preserve">emissions producers. </w:t>
      </w:r>
    </w:p>
    <w:p w14:paraId="73F63164" w14:textId="77777777" w:rsidR="00F03A47" w:rsidRPr="00972EF1" w:rsidRDefault="00F03A47" w:rsidP="00F03A47">
      <w:pPr>
        <w:pStyle w:val="Heading3"/>
        <w:rPr>
          <w:lang w:val="mi-NZ"/>
        </w:rPr>
      </w:pPr>
      <w:bookmarkStart w:id="390" w:name="_Toc62052808"/>
      <w:bookmarkStart w:id="391" w:name="_Toc62649426"/>
      <w:bookmarkStart w:id="392" w:name="_Toc62650367"/>
      <w:r>
        <w:rPr>
          <w:lang w:val="mi-NZ"/>
        </w:rPr>
        <w:t xml:space="preserve">9.4.2 </w:t>
      </w:r>
      <w:r w:rsidRPr="00972EF1">
        <w:rPr>
          <w:lang w:val="mi-NZ"/>
        </w:rPr>
        <w:t>Demand for low emissions agricultural production</w:t>
      </w:r>
      <w:bookmarkEnd w:id="390"/>
      <w:bookmarkEnd w:id="391"/>
      <w:bookmarkEnd w:id="392"/>
    </w:p>
    <w:p w14:paraId="46D1ACC2" w14:textId="77777777" w:rsidR="00F03A47" w:rsidRDefault="00F03A47" w:rsidP="00F03A47">
      <w:pPr>
        <w:rPr>
          <w:lang w:val="mi-NZ"/>
        </w:rPr>
      </w:pPr>
      <w:r w:rsidRPr="00972EF1">
        <w:rPr>
          <w:lang w:val="mi-NZ"/>
        </w:rPr>
        <w:t xml:space="preserve">Both globally and domestically, there are growing concerns about the environmental </w:t>
      </w:r>
      <w:r>
        <w:rPr>
          <w:lang w:val="mi-NZ"/>
        </w:rPr>
        <w:t>impact</w:t>
      </w:r>
      <w:r w:rsidRPr="00972EF1">
        <w:rPr>
          <w:lang w:val="mi-NZ"/>
        </w:rPr>
        <w:t xml:space="preserve"> of food – including for greenhouse gases. In response, a number of agricultural accreditation and sustainability schemes have been established, such</w:t>
      </w:r>
      <w:r>
        <w:rPr>
          <w:lang w:val="mi-NZ"/>
        </w:rPr>
        <w:t xml:space="preserve"> as</w:t>
      </w:r>
      <w:r w:rsidRPr="00972EF1">
        <w:rPr>
          <w:lang w:val="mi-NZ"/>
        </w:rPr>
        <w:t xml:space="preserve"> Toitū Envirocare’s farm carbon certification programme. </w:t>
      </w:r>
      <w:r>
        <w:rPr>
          <w:lang w:val="mi-NZ"/>
        </w:rPr>
        <w:t>A number of producers</w:t>
      </w:r>
      <w:r w:rsidRPr="00972EF1">
        <w:rPr>
          <w:lang w:val="mi-NZ"/>
        </w:rPr>
        <w:t xml:space="preserve"> in Aotearoa </w:t>
      </w:r>
      <w:r>
        <w:rPr>
          <w:lang w:val="mi-NZ"/>
        </w:rPr>
        <w:t xml:space="preserve">have </w:t>
      </w:r>
      <w:r w:rsidRPr="00972EF1">
        <w:rPr>
          <w:lang w:val="mi-NZ"/>
        </w:rPr>
        <w:t>already signed up to such schemes.</w:t>
      </w:r>
    </w:p>
    <w:p w14:paraId="74DD69D0" w14:textId="73540E07" w:rsidR="00F03A47" w:rsidRPr="00972EF1" w:rsidRDefault="00F03A47" w:rsidP="00F03A47">
      <w:pPr>
        <w:rPr>
          <w:lang w:val="mi-NZ"/>
        </w:rPr>
      </w:pPr>
      <w:r w:rsidRPr="00972EF1">
        <w:rPr>
          <w:lang w:val="mi-NZ"/>
        </w:rPr>
        <w:t>The rapid development of alternative protein</w:t>
      </w:r>
      <w:r>
        <w:rPr>
          <w:lang w:val="mi-NZ"/>
        </w:rPr>
        <w:t xml:space="preserve"> </w:t>
      </w:r>
      <w:r w:rsidRPr="00972EF1">
        <w:rPr>
          <w:lang w:val="mi-NZ"/>
        </w:rPr>
        <w:t xml:space="preserve">industries has built on consumer preferences for environmentally sustainable products. These include plant-based protein products and synthetic meats grown in laboratories, many of which have lower emissions, water and land use footprints than conventional animal agriculture products. </w:t>
      </w:r>
      <w:r>
        <w:rPr>
          <w:lang w:val="mi-NZ"/>
        </w:rPr>
        <w:t>T</w:t>
      </w:r>
      <w:r w:rsidRPr="00972EF1">
        <w:rPr>
          <w:lang w:val="mi-NZ"/>
        </w:rPr>
        <w:t xml:space="preserve">he rapid expansion of these industries, which often promote themselves as </w:t>
      </w:r>
      <w:r>
        <w:rPr>
          <w:lang w:val="mi-NZ"/>
        </w:rPr>
        <w:t xml:space="preserve">more sustainable </w:t>
      </w:r>
      <w:r w:rsidRPr="00972EF1">
        <w:rPr>
          <w:lang w:val="mi-NZ"/>
        </w:rPr>
        <w:t xml:space="preserve">alternatives to animal agriculture, could </w:t>
      </w:r>
      <w:r>
        <w:rPr>
          <w:lang w:val="mi-NZ"/>
        </w:rPr>
        <w:t>compete with</w:t>
      </w:r>
      <w:r w:rsidRPr="00972EF1">
        <w:rPr>
          <w:lang w:val="mi-NZ"/>
        </w:rPr>
        <w:t xml:space="preserve"> agricultural exports.</w:t>
      </w:r>
    </w:p>
    <w:p w14:paraId="6D313A82" w14:textId="77777777" w:rsidR="00F03A47" w:rsidRPr="00972EF1" w:rsidRDefault="00F03A47" w:rsidP="00F03A47">
      <w:pPr>
        <w:rPr>
          <w:lang w:val="mi-NZ"/>
        </w:rPr>
      </w:pPr>
      <w:r w:rsidRPr="00972EF1">
        <w:rPr>
          <w:lang w:val="mi-NZ"/>
        </w:rPr>
        <w:t>Overall, the impact of growing alternative protein markets remains uncertain but appears to push in the direction of reducing methane emissions from agricultur</w:t>
      </w:r>
      <w:r>
        <w:rPr>
          <w:lang w:val="mi-NZ"/>
        </w:rPr>
        <w:t xml:space="preserve">e, </w:t>
      </w:r>
      <w:r w:rsidRPr="00972EF1">
        <w:rPr>
          <w:lang w:val="mi-NZ"/>
        </w:rPr>
        <w:t xml:space="preserve">either </w:t>
      </w:r>
      <w:r>
        <w:rPr>
          <w:lang w:val="mi-NZ"/>
        </w:rPr>
        <w:t xml:space="preserve">through </w:t>
      </w:r>
      <w:r w:rsidRPr="00972EF1">
        <w:rPr>
          <w:lang w:val="mi-NZ"/>
        </w:rPr>
        <w:t xml:space="preserve">reduced demand and production or </w:t>
      </w:r>
      <w:r>
        <w:rPr>
          <w:lang w:val="mi-NZ"/>
        </w:rPr>
        <w:t xml:space="preserve">through </w:t>
      </w:r>
      <w:r w:rsidRPr="00972EF1">
        <w:rPr>
          <w:lang w:val="mi-NZ"/>
        </w:rPr>
        <w:t>the need reduce emissions per unit of product to help maintain a niche</w:t>
      </w:r>
      <w:r>
        <w:rPr>
          <w:lang w:val="mi-NZ"/>
        </w:rPr>
        <w:t xml:space="preserve"> market</w:t>
      </w:r>
      <w:r w:rsidRPr="00972EF1">
        <w:rPr>
          <w:lang w:val="mi-NZ"/>
        </w:rPr>
        <w:t>.</w:t>
      </w:r>
    </w:p>
    <w:p w14:paraId="149E8770" w14:textId="10B19E89" w:rsidR="00F03A47" w:rsidRPr="00972EF1" w:rsidRDefault="00F03A47" w:rsidP="00F03A47">
      <w:pPr>
        <w:rPr>
          <w:lang w:val="mi-NZ"/>
        </w:rPr>
      </w:pPr>
      <w:r w:rsidRPr="00972EF1">
        <w:rPr>
          <w:lang w:val="mi-NZ"/>
        </w:rPr>
        <w:t>Rising consumer expectations could favour producers</w:t>
      </w:r>
      <w:r>
        <w:rPr>
          <w:lang w:val="mi-NZ"/>
        </w:rPr>
        <w:t xml:space="preserve"> in Aotearoa</w:t>
      </w:r>
      <w:r w:rsidRPr="00972EF1">
        <w:rPr>
          <w:lang w:val="mi-NZ"/>
        </w:rPr>
        <w:t xml:space="preserve"> if consumers place a premium on lower emissions varieties of the products they already consume. </w:t>
      </w:r>
      <w:r w:rsidR="00413A52">
        <w:rPr>
          <w:lang w:val="mi-NZ"/>
        </w:rPr>
        <w:t>R</w:t>
      </w:r>
      <w:r>
        <w:rPr>
          <w:lang w:val="mi-NZ"/>
        </w:rPr>
        <w:t xml:space="preserve">ed </w:t>
      </w:r>
      <w:r w:rsidRPr="00972EF1">
        <w:rPr>
          <w:lang w:val="mi-NZ"/>
        </w:rPr>
        <w:t>meat and dairy products</w:t>
      </w:r>
      <w:r w:rsidR="00A15A6E">
        <w:rPr>
          <w:lang w:val="mi-NZ"/>
        </w:rPr>
        <w:t xml:space="preserve"> from Aotearoa</w:t>
      </w:r>
      <w:r w:rsidRPr="00972EF1">
        <w:rPr>
          <w:lang w:val="mi-NZ"/>
        </w:rPr>
        <w:t xml:space="preserve"> are already some of the least emissions intensive in the world. </w:t>
      </w:r>
      <w:r>
        <w:rPr>
          <w:lang w:val="mi-NZ"/>
        </w:rPr>
        <w:t xml:space="preserve">But, </w:t>
      </w:r>
      <w:r w:rsidRPr="00972EF1">
        <w:rPr>
          <w:lang w:val="mi-NZ"/>
        </w:rPr>
        <w:t>shifts in preferences for low emissions products could negatively impact exports if preferences move away from these products entirely. A Gallup poll showed almost 1 in 4 Americans reduced their meat consumption in 2019, with environmental concerns being the second ranked reason after health. These trends are likely to be stronger in Europe and North America than in emerging markets in Asia and Africa.</w:t>
      </w:r>
    </w:p>
    <w:p w14:paraId="20BE910E" w14:textId="05A96CAE" w:rsidR="00F03A47" w:rsidRPr="00972EF1" w:rsidRDefault="00F03A47" w:rsidP="00F03A47">
      <w:pPr>
        <w:pStyle w:val="Heading3"/>
        <w:rPr>
          <w:lang w:val="mi-NZ"/>
        </w:rPr>
      </w:pPr>
      <w:bookmarkStart w:id="393" w:name="_Toc62052809"/>
      <w:bookmarkStart w:id="394" w:name="_Toc62649427"/>
      <w:bookmarkStart w:id="395" w:name="_Toc62650368"/>
      <w:r>
        <w:rPr>
          <w:lang w:val="mi-NZ"/>
        </w:rPr>
        <w:t xml:space="preserve">9.4.3 </w:t>
      </w:r>
      <w:r w:rsidRPr="00972EF1">
        <w:rPr>
          <w:lang w:val="mi-NZ"/>
        </w:rPr>
        <w:t>Other environmental challenges:</w:t>
      </w:r>
      <w:bookmarkEnd w:id="393"/>
      <w:bookmarkEnd w:id="394"/>
      <w:bookmarkEnd w:id="395"/>
    </w:p>
    <w:p w14:paraId="49CF96DC" w14:textId="77777777" w:rsidR="00F03A47" w:rsidRPr="00972EF1" w:rsidRDefault="00F03A47" w:rsidP="00F03A47">
      <w:pPr>
        <w:rPr>
          <w:lang w:val="mi-NZ"/>
        </w:rPr>
      </w:pPr>
      <w:r>
        <w:rPr>
          <w:lang w:val="mi-NZ"/>
        </w:rPr>
        <w:t>O</w:t>
      </w:r>
      <w:r w:rsidRPr="00972EF1">
        <w:rPr>
          <w:lang w:val="mi-NZ"/>
        </w:rPr>
        <w:t xml:space="preserve">ther environmental challenges </w:t>
      </w:r>
      <w:r>
        <w:rPr>
          <w:lang w:val="mi-NZ"/>
        </w:rPr>
        <w:t xml:space="preserve">are </w:t>
      </w:r>
      <w:r w:rsidRPr="00972EF1">
        <w:rPr>
          <w:lang w:val="mi-NZ"/>
        </w:rPr>
        <w:t xml:space="preserve">related to waste and agriculture in Aotearoa. These include freshwater quality, </w:t>
      </w:r>
      <w:r>
        <w:rPr>
          <w:lang w:val="mi-NZ"/>
        </w:rPr>
        <w:t xml:space="preserve">soil health, </w:t>
      </w:r>
      <w:r w:rsidRPr="00972EF1">
        <w:rPr>
          <w:lang w:val="mi-NZ"/>
        </w:rPr>
        <w:t>biodiversity loss and soil erosion. The growing pressure of these challenges combined with efforts to address them may have important consequences for efforts to reduce methane emissions.</w:t>
      </w:r>
    </w:p>
    <w:p w14:paraId="3BDB486B" w14:textId="77777777" w:rsidR="00F03A47" w:rsidRPr="00972EF1" w:rsidRDefault="00F03A47" w:rsidP="00F03A47">
      <w:pPr>
        <w:rPr>
          <w:lang w:val="mi-NZ"/>
        </w:rPr>
      </w:pPr>
      <w:r w:rsidRPr="00972EF1">
        <w:rPr>
          <w:lang w:val="mi-NZ"/>
        </w:rPr>
        <w:lastRenderedPageBreak/>
        <w:t xml:space="preserve">Freshwater quality has been a particular focus of attention over the last few decades as large areas of sheep/beef and plantation forestry were converted to dairy. Although rates of nitrogen and phosphorus and pathogen loss into waterways varies with land management, rates of nutrient loss into waterways are generally higher from dairy operations than from sheep and beef farming and forestry. </w:t>
      </w:r>
      <w:r>
        <w:rPr>
          <w:lang w:val="mi-NZ"/>
        </w:rPr>
        <w:t>I</w:t>
      </w:r>
      <w:r w:rsidRPr="00972EF1">
        <w:rPr>
          <w:lang w:val="mi-NZ"/>
        </w:rPr>
        <w:t>n some parts of the country where there have been large scale land conversions, such as Canterbury, Southland and the central North Island, indicators of water quality and ecological health have significantly declined.</w:t>
      </w:r>
    </w:p>
    <w:p w14:paraId="66760A2F" w14:textId="77777777" w:rsidR="00F03A47" w:rsidRPr="00972EF1" w:rsidRDefault="00F03A47" w:rsidP="00F03A47">
      <w:pPr>
        <w:rPr>
          <w:lang w:val="mi-NZ"/>
        </w:rPr>
      </w:pPr>
      <w:r w:rsidRPr="00972EF1">
        <w:rPr>
          <w:lang w:val="mi-NZ"/>
        </w:rPr>
        <w:t xml:space="preserve">Declining freshwater quality is a threat to many native species, </w:t>
      </w:r>
      <w:r>
        <w:rPr>
          <w:lang w:val="mi-NZ"/>
        </w:rPr>
        <w:t xml:space="preserve">this </w:t>
      </w:r>
      <w:r w:rsidRPr="00972EF1">
        <w:rPr>
          <w:lang w:val="mi-NZ"/>
        </w:rPr>
        <w:t xml:space="preserve">is also exacerbated by the clearance and conversion of native habitats – such as forests, wetlands and natural grasslands – often into pasture. </w:t>
      </w:r>
    </w:p>
    <w:p w14:paraId="59719AB1" w14:textId="77777777" w:rsidR="00F03A47" w:rsidRPr="00D62304" w:rsidRDefault="00F03A47" w:rsidP="00F03A47">
      <w:pPr>
        <w:rPr>
          <w:lang w:val="mi-NZ"/>
        </w:rPr>
      </w:pPr>
      <w:r w:rsidRPr="00D62304">
        <w:rPr>
          <w:lang w:val="mi-NZ"/>
        </w:rPr>
        <w:t>Waste management is also associated with other environmental challenges. While modern, engineered landfills mitigate some of the environmental impacts associated with their construction and management, they have wider ecological effects which may lead to landscape changes, loss of habitats and displacement of fauna. Waste leaching, particularly from older landfills, can also contaminate nearby soils and aquifers.</w:t>
      </w:r>
    </w:p>
    <w:p w14:paraId="76486E89" w14:textId="77777777" w:rsidR="00F03A47" w:rsidRPr="00972EF1" w:rsidRDefault="00F03A47" w:rsidP="00F03A47">
      <w:pPr>
        <w:rPr>
          <w:lang w:val="mi-NZ"/>
        </w:rPr>
      </w:pPr>
      <w:r>
        <w:rPr>
          <w:lang w:val="mi-NZ"/>
        </w:rPr>
        <w:t>C</w:t>
      </w:r>
      <w:r w:rsidRPr="00972EF1">
        <w:rPr>
          <w:lang w:val="mi-NZ"/>
        </w:rPr>
        <w:t xml:space="preserve">hanges in the way land and waste are managed could also have impacts on </w:t>
      </w:r>
      <w:r>
        <w:rPr>
          <w:lang w:val="mi-NZ"/>
        </w:rPr>
        <w:t xml:space="preserve">biogenic </w:t>
      </w:r>
      <w:r w:rsidRPr="00972EF1">
        <w:rPr>
          <w:lang w:val="mi-NZ"/>
        </w:rPr>
        <w:t xml:space="preserve">methane emissions. For example, limitations on land use change to dairy to protect water quality are likely to limit additional methane emissions, while initiatives that promote diversion of waste from landfills or the retirement of erosion prone land from pastural farming may result in reduced methane emissions. </w:t>
      </w:r>
    </w:p>
    <w:p w14:paraId="53C56FBC" w14:textId="77777777" w:rsidR="00F03A47" w:rsidRDefault="00F03A47" w:rsidP="00F03A47">
      <w:pPr>
        <w:pStyle w:val="Heading3"/>
        <w:rPr>
          <w:lang w:val="mi-NZ"/>
        </w:rPr>
      </w:pPr>
      <w:bookmarkStart w:id="396" w:name="_Toc62052810"/>
      <w:bookmarkStart w:id="397" w:name="_Toc62649428"/>
      <w:bookmarkStart w:id="398" w:name="_Toc62650369"/>
      <w:r>
        <w:rPr>
          <w:lang w:val="mi-NZ"/>
        </w:rPr>
        <w:t>9.4.4 Overall</w:t>
      </w:r>
      <w:bookmarkEnd w:id="396"/>
      <w:bookmarkEnd w:id="397"/>
      <w:bookmarkEnd w:id="398"/>
    </w:p>
    <w:p w14:paraId="6B6C9305" w14:textId="2814F4F7" w:rsidR="00F03A47" w:rsidRDefault="00F03A47" w:rsidP="00F03A47">
      <w:pPr>
        <w:rPr>
          <w:lang w:val="mi-NZ"/>
        </w:rPr>
      </w:pPr>
      <w:r w:rsidRPr="00875037">
        <w:rPr>
          <w:b/>
          <w:lang w:val="mi-NZ"/>
        </w:rPr>
        <w:t xml:space="preserve">Overall we assess that there are good reasons for Aotearoa to expect to </w:t>
      </w:r>
      <w:r w:rsidRPr="00713EF4">
        <w:rPr>
          <w:b/>
          <w:lang w:val="mi-NZ"/>
        </w:rPr>
        <w:t xml:space="preserve">reduce biogenic methane emissions by at least the global average as part of </w:t>
      </w:r>
      <w:r w:rsidRPr="00713EF4">
        <w:rPr>
          <w:rFonts w:ascii="Calibri" w:eastAsia="Times New Roman" w:hAnsi="Calibri" w:cs="Calibri"/>
          <w:b/>
          <w:lang w:eastAsia="en-NZ"/>
        </w:rPr>
        <w:t>contributing to the global 1.5°C goal</w:t>
      </w:r>
      <w:r w:rsidRPr="00875037">
        <w:rPr>
          <w:b/>
          <w:lang w:val="mi-NZ"/>
        </w:rPr>
        <w:t xml:space="preserve">. </w:t>
      </w:r>
      <w:r>
        <w:rPr>
          <w:b/>
          <w:lang w:val="mi-NZ"/>
        </w:rPr>
        <w:t>The country’s</w:t>
      </w:r>
      <w:r w:rsidRPr="00713EF4">
        <w:rPr>
          <w:b/>
          <w:lang w:val="mi-NZ"/>
        </w:rPr>
        <w:t xml:space="preserve"> relatively efficient food production</w:t>
      </w:r>
      <w:r>
        <w:rPr>
          <w:b/>
          <w:lang w:val="mi-NZ"/>
        </w:rPr>
        <w:t xml:space="preserve"> and</w:t>
      </w:r>
      <w:r w:rsidRPr="00713EF4">
        <w:rPr>
          <w:b/>
          <w:lang w:val="mi-NZ"/>
        </w:rPr>
        <w:t xml:space="preserve"> a growing global population suggests </w:t>
      </w:r>
      <w:r>
        <w:rPr>
          <w:b/>
          <w:lang w:val="mi-NZ"/>
        </w:rPr>
        <w:t>that</w:t>
      </w:r>
      <w:r w:rsidRPr="00713EF4">
        <w:rPr>
          <w:b/>
          <w:lang w:val="mi-NZ"/>
        </w:rPr>
        <w:t xml:space="preserve"> Aotearoa might be exp</w:t>
      </w:r>
      <w:r>
        <w:rPr>
          <w:b/>
          <w:lang w:val="mi-NZ"/>
        </w:rPr>
        <w:t>e</w:t>
      </w:r>
      <w:r w:rsidRPr="00713EF4">
        <w:rPr>
          <w:b/>
          <w:lang w:val="mi-NZ"/>
        </w:rPr>
        <w:t>cted</w:t>
      </w:r>
      <w:r w:rsidRPr="00875037">
        <w:rPr>
          <w:b/>
          <w:lang w:val="mi-NZ"/>
        </w:rPr>
        <w:t xml:space="preserve"> to take </w:t>
      </w:r>
      <w:r w:rsidRPr="00713EF4">
        <w:rPr>
          <w:b/>
          <w:lang w:val="mi-NZ"/>
        </w:rPr>
        <w:t xml:space="preserve">a smaller than average reduction in biogenic methane. </w:t>
      </w:r>
      <w:r>
        <w:rPr>
          <w:b/>
          <w:lang w:val="mi-NZ"/>
        </w:rPr>
        <w:t>However o</w:t>
      </w:r>
      <w:r w:rsidRPr="00713EF4">
        <w:rPr>
          <w:b/>
          <w:lang w:val="mi-NZ"/>
        </w:rPr>
        <w:t>ther factors, such as increasing awareness of the environmental impact of animal based products, and local environmental challenges, would suggest that Aotearoa could make a greater than average reduction in biogenic methane.</w:t>
      </w:r>
      <w:r w:rsidRPr="00875037">
        <w:rPr>
          <w:b/>
          <w:lang w:val="mi-NZ"/>
        </w:rPr>
        <w:t xml:space="preserve"> </w:t>
      </w:r>
    </w:p>
    <w:p w14:paraId="3F511CD4" w14:textId="77777777" w:rsidR="00F03A47" w:rsidRPr="00406374" w:rsidRDefault="00F03A47" w:rsidP="00F03A47">
      <w:pPr>
        <w:pStyle w:val="Heading2"/>
      </w:pPr>
      <w:bookmarkStart w:id="399" w:name="_Toc62052811"/>
      <w:bookmarkStart w:id="400" w:name="_Toc62650370"/>
      <w:r>
        <w:t xml:space="preserve">9.5 </w:t>
      </w:r>
      <w:r w:rsidRPr="00406374">
        <w:t>Findings</w:t>
      </w:r>
      <w:bookmarkEnd w:id="399"/>
      <w:bookmarkEnd w:id="400"/>
    </w:p>
    <w:p w14:paraId="25CBCE27" w14:textId="77777777" w:rsidR="00F03A47" w:rsidRPr="00972EF1" w:rsidRDefault="00F03A47" w:rsidP="00F03A47">
      <w:pPr>
        <w:rPr>
          <w:lang w:val="mi-NZ"/>
        </w:rPr>
      </w:pPr>
      <w:r>
        <w:rPr>
          <w:lang w:val="mi-NZ"/>
        </w:rPr>
        <w:t xml:space="preserve">In summary, </w:t>
      </w:r>
      <w:r w:rsidRPr="00972EF1">
        <w:rPr>
          <w:lang w:val="mi-NZ"/>
        </w:rPr>
        <w:t xml:space="preserve">we make the following </w:t>
      </w:r>
      <w:r>
        <w:rPr>
          <w:lang w:val="mi-NZ"/>
        </w:rPr>
        <w:t>findings in relation to each of the considerations requested by the Minister</w:t>
      </w:r>
      <w:r w:rsidRPr="00972EF1">
        <w:rPr>
          <w:lang w:val="mi-NZ"/>
        </w:rPr>
        <w:t>.</w:t>
      </w:r>
    </w:p>
    <w:p w14:paraId="7E77B040" w14:textId="1E0447A5" w:rsidR="002C0A8A" w:rsidRPr="002C0A8A" w:rsidRDefault="00F03A47" w:rsidP="002C0A8A">
      <w:pPr>
        <w:pStyle w:val="Heading4"/>
        <w:spacing w:before="100" w:beforeAutospacing="1" w:after="100" w:afterAutospacing="1"/>
        <w:rPr>
          <w:lang w:val="mi-NZ"/>
        </w:rPr>
      </w:pPr>
      <w:r w:rsidRPr="00972EF1">
        <w:rPr>
          <w:lang w:val="mi-NZ"/>
        </w:rPr>
        <w:t>Consider the available scientific evidence on the global biogenic methane emissions reductions likely to be required to limit global average temperature increase to 1.5</w:t>
      </w:r>
      <w:r>
        <w:rPr>
          <w:lang w:val="mi-NZ"/>
        </w:rPr>
        <w:t xml:space="preserve"> </w:t>
      </w:r>
      <w:r w:rsidRPr="00972EF1">
        <w:rPr>
          <w:vertAlign w:val="superscript"/>
          <w:lang w:val="mi-NZ"/>
        </w:rPr>
        <w:t>o</w:t>
      </w:r>
      <w:r w:rsidRPr="00972EF1">
        <w:rPr>
          <w:lang w:val="mi-NZ"/>
        </w:rPr>
        <w:t>C above pre-industrial levels</w:t>
      </w:r>
    </w:p>
    <w:p w14:paraId="514212CC" w14:textId="324B87E7" w:rsidR="00F03A47" w:rsidRPr="00CB58E3" w:rsidRDefault="00F03A47" w:rsidP="00F03A47">
      <w:pPr>
        <w:pStyle w:val="paragraph"/>
        <w:spacing w:before="0" w:beforeAutospacing="0" w:after="0" w:afterAutospacing="0"/>
        <w:textAlignment w:val="baseline"/>
        <w:rPr>
          <w:rFonts w:eastAsiaTheme="minorHAnsi"/>
          <w:lang w:val="mi-NZ"/>
        </w:rPr>
      </w:pPr>
      <w:r w:rsidRPr="00875037">
        <w:rPr>
          <w:rFonts w:asciiTheme="minorHAnsi" w:eastAsiaTheme="minorHAnsi" w:hAnsiTheme="minorHAnsi" w:cstheme="minorBidi"/>
          <w:sz w:val="22"/>
          <w:szCs w:val="22"/>
          <w:lang w:val="mi-NZ" w:eastAsia="en-US"/>
        </w:rPr>
        <w:t>The global reductions in biogenic methane required to stay below 1.5</w:t>
      </w:r>
      <w:r w:rsidRPr="00875037">
        <w:rPr>
          <w:rFonts w:asciiTheme="minorHAnsi" w:eastAsiaTheme="minorHAnsi" w:hAnsiTheme="minorHAnsi" w:cstheme="minorBidi"/>
          <w:sz w:val="22"/>
          <w:szCs w:val="22"/>
          <w:vertAlign w:val="superscript"/>
          <w:lang w:val="mi-NZ" w:eastAsia="en-US"/>
        </w:rPr>
        <w:t xml:space="preserve"> </w:t>
      </w:r>
      <w:r w:rsidRPr="00713EF4">
        <w:rPr>
          <w:rFonts w:asciiTheme="minorHAnsi" w:eastAsiaTheme="minorHAnsi" w:hAnsiTheme="minorHAnsi" w:cstheme="minorBidi"/>
          <w:iCs/>
          <w:sz w:val="22"/>
          <w:szCs w:val="22"/>
          <w:vertAlign w:val="superscript"/>
          <w:lang w:val="mi-NZ" w:eastAsia="en-US"/>
        </w:rPr>
        <w:t>o</w:t>
      </w:r>
      <w:r w:rsidRPr="00713EF4">
        <w:rPr>
          <w:rFonts w:asciiTheme="minorHAnsi" w:eastAsiaTheme="minorHAnsi" w:hAnsiTheme="minorHAnsi" w:cstheme="minorBidi"/>
          <w:sz w:val="22"/>
          <w:szCs w:val="22"/>
          <w:lang w:val="mi-NZ" w:eastAsia="en-US"/>
        </w:rPr>
        <w:t>C</w:t>
      </w:r>
      <w:r w:rsidRPr="00875037">
        <w:rPr>
          <w:rFonts w:asciiTheme="minorHAnsi" w:eastAsiaTheme="minorHAnsi" w:hAnsiTheme="minorHAnsi" w:cstheme="minorBidi"/>
          <w:sz w:val="22"/>
          <w:szCs w:val="22"/>
          <w:lang w:val="mi-NZ" w:eastAsia="en-US"/>
        </w:rPr>
        <w:t xml:space="preserve"> w</w:t>
      </w:r>
      <w:r>
        <w:rPr>
          <w:rFonts w:asciiTheme="minorHAnsi" w:eastAsiaTheme="minorHAnsi" w:hAnsiTheme="minorHAnsi" w:cstheme="minorBidi"/>
          <w:sz w:val="22"/>
          <w:szCs w:val="22"/>
          <w:lang w:val="mi-NZ" w:eastAsia="en-US"/>
        </w:rPr>
        <w:t>ould</w:t>
      </w:r>
      <w:r w:rsidRPr="00875037">
        <w:rPr>
          <w:rFonts w:asciiTheme="minorHAnsi" w:eastAsiaTheme="minorHAnsi" w:hAnsiTheme="minorHAnsi" w:cstheme="minorBidi"/>
          <w:sz w:val="22"/>
          <w:szCs w:val="22"/>
          <w:lang w:val="mi-NZ" w:eastAsia="en-US"/>
        </w:rPr>
        <w:t xml:space="preserve"> depend on the level of carbon dioxide and nitrous oxide emissions over the next </w:t>
      </w:r>
      <w:r w:rsidRPr="00713EF4">
        <w:rPr>
          <w:rFonts w:asciiTheme="minorHAnsi" w:eastAsiaTheme="minorHAnsi" w:hAnsiTheme="minorHAnsi" w:cstheme="minorBidi"/>
          <w:sz w:val="22"/>
          <w:szCs w:val="22"/>
          <w:lang w:val="mi-NZ" w:eastAsia="en-US"/>
        </w:rPr>
        <w:t>century</w:t>
      </w:r>
      <w:r w:rsidRPr="00875037">
        <w:rPr>
          <w:rFonts w:asciiTheme="minorHAnsi" w:eastAsiaTheme="minorHAnsi" w:hAnsiTheme="minorHAnsi" w:cstheme="minorBidi"/>
          <w:sz w:val="22"/>
          <w:szCs w:val="22"/>
          <w:lang w:val="mi-NZ" w:eastAsia="en-US"/>
        </w:rPr>
        <w:t>. Therefore, it is not currently possible to know for certain what reductions in biogenic methane will be required. However, it is possible to identify the ranges of reductions of the different gases that mean it is likely warming w</w:t>
      </w:r>
      <w:r>
        <w:rPr>
          <w:rFonts w:asciiTheme="minorHAnsi" w:eastAsiaTheme="minorHAnsi" w:hAnsiTheme="minorHAnsi" w:cstheme="minorBidi"/>
          <w:sz w:val="22"/>
          <w:szCs w:val="22"/>
          <w:lang w:val="mi-NZ" w:eastAsia="en-US"/>
        </w:rPr>
        <w:t>ould</w:t>
      </w:r>
      <w:r w:rsidRPr="00875037">
        <w:rPr>
          <w:rFonts w:asciiTheme="minorHAnsi" w:eastAsiaTheme="minorHAnsi" w:hAnsiTheme="minorHAnsi" w:cstheme="minorBidi"/>
          <w:sz w:val="22"/>
          <w:szCs w:val="22"/>
          <w:lang w:val="mi-NZ" w:eastAsia="en-US"/>
        </w:rPr>
        <w:t xml:space="preserve"> be limited to 1.5</w:t>
      </w:r>
      <w:r w:rsidRPr="00875037">
        <w:rPr>
          <w:rFonts w:asciiTheme="minorHAnsi" w:eastAsiaTheme="minorHAnsi" w:hAnsiTheme="minorHAnsi" w:cstheme="minorBidi"/>
          <w:sz w:val="22"/>
          <w:szCs w:val="22"/>
          <w:vertAlign w:val="superscript"/>
          <w:lang w:val="mi-NZ" w:eastAsia="en-US"/>
        </w:rPr>
        <w:t xml:space="preserve"> </w:t>
      </w:r>
      <w:r w:rsidRPr="00713EF4">
        <w:rPr>
          <w:rFonts w:asciiTheme="minorHAnsi" w:eastAsiaTheme="minorHAnsi" w:hAnsiTheme="minorHAnsi" w:cstheme="minorBidi"/>
          <w:iCs/>
          <w:sz w:val="22"/>
          <w:szCs w:val="22"/>
          <w:vertAlign w:val="superscript"/>
          <w:lang w:val="mi-NZ" w:eastAsia="en-US"/>
        </w:rPr>
        <w:t>o</w:t>
      </w:r>
      <w:r w:rsidRPr="00713EF4">
        <w:rPr>
          <w:rFonts w:asciiTheme="minorHAnsi" w:eastAsiaTheme="minorHAnsi" w:hAnsiTheme="minorHAnsi" w:cstheme="minorBidi"/>
          <w:sz w:val="22"/>
          <w:szCs w:val="22"/>
          <w:lang w:val="mi-NZ" w:eastAsia="en-US"/>
        </w:rPr>
        <w:t xml:space="preserve">C above pre-industrial levels. </w:t>
      </w:r>
    </w:p>
    <w:p w14:paraId="6ED80CB9" w14:textId="77777777" w:rsidR="00F03A47" w:rsidRPr="00713EF4" w:rsidRDefault="00F03A47" w:rsidP="00F03A47">
      <w:pPr>
        <w:spacing w:line="252" w:lineRule="auto"/>
        <w:rPr>
          <w:lang w:val="mi-NZ"/>
        </w:rPr>
      </w:pPr>
      <w:r w:rsidRPr="00713EF4">
        <w:rPr>
          <w:lang w:val="mi-NZ"/>
        </w:rPr>
        <w:t>Overall, the IPCC pathways show that the at least a 37% reduction in agricultural methane is required to limit warming to 1.5</w:t>
      </w:r>
      <w:r w:rsidRPr="00713EF4">
        <w:rPr>
          <w:iCs/>
          <w:vertAlign w:val="superscript"/>
          <w:lang w:val="mi-NZ"/>
        </w:rPr>
        <w:t>o</w:t>
      </w:r>
      <w:r w:rsidRPr="00713EF4">
        <w:rPr>
          <w:lang w:val="mi-NZ"/>
        </w:rPr>
        <w:t xml:space="preserve">C </w:t>
      </w:r>
      <w:r>
        <w:rPr>
          <w:lang w:val="mi-NZ"/>
        </w:rPr>
        <w:t>by 2100</w:t>
      </w:r>
      <w:r w:rsidRPr="00713EF4">
        <w:rPr>
          <w:lang w:val="mi-NZ"/>
        </w:rPr>
        <w:t xml:space="preserve">. Simply maintainig the current level of warming from methane is not </w:t>
      </w:r>
      <w:r w:rsidRPr="00713EF4">
        <w:rPr>
          <w:lang w:val="mi-NZ"/>
        </w:rPr>
        <w:lastRenderedPageBreak/>
        <w:t xml:space="preserve">enough, as it would require </w:t>
      </w:r>
      <w:r>
        <w:rPr>
          <w:lang w:val="mi-NZ"/>
        </w:rPr>
        <w:t xml:space="preserve">the world to </w:t>
      </w:r>
      <w:r w:rsidRPr="00713EF4">
        <w:rPr>
          <w:lang w:val="mi-NZ"/>
        </w:rPr>
        <w:t>reach net</w:t>
      </w:r>
      <w:r>
        <w:rPr>
          <w:lang w:val="mi-NZ"/>
        </w:rPr>
        <w:t xml:space="preserve"> </w:t>
      </w:r>
      <w:r w:rsidRPr="00713EF4">
        <w:rPr>
          <w:lang w:val="mi-NZ"/>
        </w:rPr>
        <w:t xml:space="preserve">zero </w:t>
      </w:r>
      <w:r>
        <w:rPr>
          <w:lang w:val="mi-NZ"/>
        </w:rPr>
        <w:t xml:space="preserve">carbon dioxide </w:t>
      </w:r>
      <w:r w:rsidRPr="00713EF4">
        <w:rPr>
          <w:lang w:val="mi-NZ"/>
        </w:rPr>
        <w:t>by 2030 to keep warming below 1.5</w:t>
      </w:r>
      <w:r w:rsidRPr="00713EF4">
        <w:rPr>
          <w:iCs/>
          <w:vertAlign w:val="superscript"/>
          <w:lang w:val="mi-NZ"/>
        </w:rPr>
        <w:t>o</w:t>
      </w:r>
      <w:r w:rsidRPr="00713EF4">
        <w:rPr>
          <w:lang w:val="mi-NZ"/>
        </w:rPr>
        <w:t>C. We consider this to be infeasible and consequentally that the global warming contribution from methane must be reduced if the 1.5</w:t>
      </w:r>
      <w:r w:rsidRPr="00713EF4">
        <w:rPr>
          <w:iCs/>
          <w:vertAlign w:val="superscript"/>
          <w:lang w:val="mi-NZ"/>
        </w:rPr>
        <w:t>o</w:t>
      </w:r>
      <w:r w:rsidRPr="00713EF4">
        <w:rPr>
          <w:lang w:val="mi-NZ"/>
        </w:rPr>
        <w:t>C temperture goal is to be achieved.</w:t>
      </w:r>
    </w:p>
    <w:p w14:paraId="716D15A2" w14:textId="77777777" w:rsidR="00F03A47" w:rsidRPr="009E23D3" w:rsidRDefault="00F03A47" w:rsidP="00F03A47">
      <w:pPr>
        <w:pStyle w:val="Heading4"/>
        <w:rPr>
          <w:lang w:val="mi-NZ"/>
        </w:rPr>
      </w:pPr>
      <w:r>
        <w:rPr>
          <w:lang w:val="mi-NZ"/>
        </w:rPr>
        <w:t>C</w:t>
      </w:r>
      <w:r w:rsidRPr="00972EF1">
        <w:rPr>
          <w:lang w:val="mi-NZ"/>
        </w:rPr>
        <w:t>onsider New Zealand’s potential contribution to global efforts to limit biogenic methane emissions, reflecting its national circumstances</w:t>
      </w:r>
    </w:p>
    <w:p w14:paraId="00E3CE95" w14:textId="77777777" w:rsidR="00F03A47" w:rsidRPr="00713EF4" w:rsidRDefault="00F03A47" w:rsidP="00F03A47">
      <w:pPr>
        <w:spacing w:line="252" w:lineRule="auto"/>
        <w:rPr>
          <w:bCs/>
          <w:lang w:val="mi-NZ"/>
        </w:rPr>
      </w:pPr>
      <w:r w:rsidRPr="00713EF4">
        <w:rPr>
          <w:bCs/>
          <w:lang w:val="mi-NZ"/>
        </w:rPr>
        <w:t xml:space="preserve">Our scenario analysis indicates that it is possible to reduce total biogenic methane emissions by between 12-26% below 2017 levels by 2030 and 25-59% below 2017 levels by 2050 through reducing biogenic methane emissions from both agricultural and waste. </w:t>
      </w:r>
    </w:p>
    <w:p w14:paraId="3E78DECE" w14:textId="77777777" w:rsidR="00F03A47" w:rsidRDefault="00F03A47" w:rsidP="00F03A47">
      <w:pPr>
        <w:spacing w:line="252" w:lineRule="auto"/>
        <w:rPr>
          <w:bCs/>
          <w:lang w:val="mi-NZ"/>
        </w:rPr>
      </w:pPr>
      <w:r w:rsidRPr="00713EF4">
        <w:rPr>
          <w:bCs/>
          <w:lang w:val="mi-NZ"/>
        </w:rPr>
        <w:t xml:space="preserve">The lower ends of these reductions (12% by 2030 and 25% by 2050) can be achieved using currently available practices and technologies. The development of new technologies such as a methane inhibitor would provide greater flexibility and unlock the upper of range reductions. </w:t>
      </w:r>
    </w:p>
    <w:p w14:paraId="3E0852EA" w14:textId="77777777" w:rsidR="00F03A47" w:rsidRPr="00713EF4" w:rsidRDefault="00F03A47" w:rsidP="00F03A47">
      <w:pPr>
        <w:spacing w:line="252" w:lineRule="auto"/>
        <w:rPr>
          <w:bCs/>
          <w:i/>
          <w:lang w:val="mi-NZ"/>
        </w:rPr>
      </w:pPr>
      <w:r w:rsidRPr="00713EF4">
        <w:rPr>
          <w:bCs/>
          <w:lang w:val="mi-NZ"/>
        </w:rPr>
        <w:t xml:space="preserve">Reaching the higher range of biogenic methane reductions (26% by 2030 and 59% by 2050) without new technology would likely require reduced agricultural production from livestock and land use change. For more details on our scenarios and projected emissions reduction pathways see </w:t>
      </w:r>
      <w:r>
        <w:rPr>
          <w:bCs/>
          <w:i/>
          <w:iCs/>
          <w:lang w:val="mi-NZ"/>
        </w:rPr>
        <w:t>C</w:t>
      </w:r>
      <w:r w:rsidRPr="00136043">
        <w:rPr>
          <w:i/>
          <w:iCs/>
          <w:lang w:val="mi-NZ"/>
        </w:rPr>
        <w:t>hapter</w:t>
      </w:r>
      <w:r w:rsidRPr="00136043">
        <w:rPr>
          <w:i/>
          <w:lang w:val="mi-NZ"/>
        </w:rPr>
        <w:t xml:space="preserve"> 3</w:t>
      </w:r>
      <w:r>
        <w:rPr>
          <w:i/>
          <w:iCs/>
          <w:lang w:val="mi-NZ"/>
        </w:rPr>
        <w:t>: The path to 2035</w:t>
      </w:r>
      <w:r w:rsidRPr="00713EF4">
        <w:rPr>
          <w:bCs/>
          <w:i/>
          <w:iCs/>
          <w:lang w:val="mi-NZ"/>
        </w:rPr>
        <w:t>.</w:t>
      </w:r>
    </w:p>
    <w:p w14:paraId="1CE87716" w14:textId="66ED50BD" w:rsidR="00F03A47" w:rsidRPr="002C0A8A" w:rsidRDefault="00F03A47" w:rsidP="00F03A47">
      <w:pPr>
        <w:spacing w:after="0" w:line="240" w:lineRule="auto"/>
        <w:rPr>
          <w:rFonts w:ascii="Calibri" w:eastAsia="Times New Roman" w:hAnsi="Calibri" w:cs="Calibri"/>
          <w:bCs/>
          <w:lang w:eastAsia="en-NZ"/>
        </w:rPr>
      </w:pPr>
      <w:r w:rsidRPr="00713EF4">
        <w:rPr>
          <w:bCs/>
          <w:lang w:val="mi-NZ"/>
        </w:rPr>
        <w:t xml:space="preserve">On balance, we </w:t>
      </w:r>
      <w:r w:rsidRPr="00713EF4">
        <w:rPr>
          <w:rFonts w:ascii="Calibri" w:eastAsia="Times New Roman" w:hAnsi="Calibri" w:cs="Calibri"/>
          <w:bCs/>
          <w:lang w:eastAsia="en-NZ"/>
        </w:rPr>
        <w:t>consider that national circumstances do not provide sufficient reason for Aotearoa to reduce its biogenic methane emissions by less than other developed countries in contributing to the global 1.5°C goal.</w:t>
      </w:r>
    </w:p>
    <w:p w14:paraId="1D2D566B" w14:textId="77777777" w:rsidR="00F03A47" w:rsidRDefault="00F03A47" w:rsidP="00F03A47">
      <w:pPr>
        <w:pStyle w:val="Heading4"/>
        <w:rPr>
          <w:lang w:val="mi-NZ"/>
        </w:rPr>
      </w:pPr>
      <w:r w:rsidRPr="00972EF1">
        <w:rPr>
          <w:lang w:val="mi-NZ"/>
        </w:rPr>
        <w:t>Consider New Zealand’s potential contribution to global efforts to limit biogenic methane emissions, reflecting its national circumstances and local and global economic, social, and demographic trends</w:t>
      </w:r>
    </w:p>
    <w:p w14:paraId="6F590F06" w14:textId="5DA8C69A" w:rsidR="00F03A47" w:rsidRPr="00713EF4" w:rsidRDefault="00F03A47" w:rsidP="00F03A47">
      <w:pPr>
        <w:rPr>
          <w:bCs/>
          <w:lang w:val="mi-NZ"/>
        </w:rPr>
      </w:pPr>
      <w:r>
        <w:rPr>
          <w:lang w:val="mi-NZ"/>
        </w:rPr>
        <w:t>The country’s</w:t>
      </w:r>
      <w:r w:rsidRPr="00784303">
        <w:rPr>
          <w:lang w:val="mi-NZ"/>
        </w:rPr>
        <w:t xml:space="preserve"> relatively efficient food production</w:t>
      </w:r>
      <w:r>
        <w:rPr>
          <w:lang w:val="mi-NZ"/>
        </w:rPr>
        <w:t xml:space="preserve"> and</w:t>
      </w:r>
      <w:r w:rsidRPr="00784303">
        <w:rPr>
          <w:lang w:val="mi-NZ"/>
        </w:rPr>
        <w:t xml:space="preserve"> a growing global population suggests Aotearoa might be expected to take a smaller than average reduction in biogenic methane. </w:t>
      </w:r>
      <w:r>
        <w:rPr>
          <w:lang w:val="mi-NZ"/>
        </w:rPr>
        <w:t>However o</w:t>
      </w:r>
      <w:r w:rsidRPr="00784303">
        <w:rPr>
          <w:lang w:val="mi-NZ"/>
        </w:rPr>
        <w:t xml:space="preserve">ther factors, such as increasing awareness of the environmental impact of animal based products and local environmental challenges, would suggest that Aotearoa could make a greater than average reduction in biogenic methane. </w:t>
      </w:r>
      <w:r w:rsidRPr="00784303" w:rsidDel="00B07622">
        <w:rPr>
          <w:lang w:val="mi-NZ"/>
        </w:rPr>
        <w:t xml:space="preserve">Overall we assess that there are good reasons for Aotearoa to expect to reduce biogenic methane emissions by at least the global average as part of </w:t>
      </w:r>
      <w:r w:rsidRPr="00784303" w:rsidDel="00B07622">
        <w:rPr>
          <w:rFonts w:ascii="Calibri" w:eastAsia="Times New Roman" w:hAnsi="Calibri" w:cs="Calibri"/>
          <w:lang w:eastAsia="en-NZ"/>
        </w:rPr>
        <w:t>contributing to the global 1.5°C goal</w:t>
      </w:r>
      <w:r w:rsidRPr="00784303" w:rsidDel="00B07622">
        <w:rPr>
          <w:lang w:val="mi-NZ"/>
        </w:rPr>
        <w:t>.</w:t>
      </w:r>
      <w:r w:rsidRPr="00713EF4" w:rsidDel="00B07622">
        <w:rPr>
          <w:bCs/>
          <w:lang w:val="mi-NZ"/>
        </w:rPr>
        <w:t xml:space="preserve"> </w:t>
      </w:r>
    </w:p>
    <w:p w14:paraId="46A2564F" w14:textId="77777777" w:rsidR="00F03A47" w:rsidRPr="002506A2" w:rsidRDefault="00F03A47" w:rsidP="00F03A47">
      <w:pPr>
        <w:pStyle w:val="Heading3"/>
      </w:pPr>
      <w:bookmarkStart w:id="401" w:name="_Toc62052812"/>
      <w:bookmarkStart w:id="402" w:name="_Toc62649430"/>
      <w:bookmarkStart w:id="403" w:name="_Toc62650371"/>
      <w:r>
        <w:t xml:space="preserve">9.5.1 </w:t>
      </w:r>
      <w:r w:rsidRPr="002506A2">
        <w:t>Where does this get us?</w:t>
      </w:r>
      <w:bookmarkEnd w:id="401"/>
      <w:bookmarkEnd w:id="402"/>
      <w:bookmarkEnd w:id="403"/>
    </w:p>
    <w:p w14:paraId="5CD5FBB9" w14:textId="77777777" w:rsidR="00F03A47" w:rsidRDefault="00F03A47" w:rsidP="00F03A47">
      <w:pPr>
        <w:rPr>
          <w:rStyle w:val="normaltextrun"/>
          <w:rFonts w:ascii="Calibri" w:hAnsi="Calibri" w:cs="Calibri"/>
          <w:color w:val="000000"/>
          <w:shd w:val="clear" w:color="auto" w:fill="FFFFFF"/>
        </w:rPr>
      </w:pPr>
      <w:r>
        <w:rPr>
          <w:lang w:val="mi-NZ"/>
        </w:rPr>
        <w:t xml:space="preserve">Our assessment of the IPCC scenarios has identified the range of global reductions in biogenic methane that are compatible with limiting warming to </w:t>
      </w:r>
      <w:r w:rsidRPr="00D867C1" w:rsidDel="00B07622">
        <w:rPr>
          <w:rFonts w:ascii="Calibri" w:eastAsia="Times New Roman" w:hAnsi="Calibri" w:cs="Calibri"/>
          <w:bCs/>
          <w:lang w:eastAsia="en-NZ"/>
        </w:rPr>
        <w:t>1.5°C</w:t>
      </w:r>
      <w:r>
        <w:rPr>
          <w:rFonts w:ascii="Calibri" w:eastAsia="Times New Roman" w:hAnsi="Calibri" w:cs="Calibri"/>
          <w:bCs/>
          <w:lang w:eastAsia="en-NZ"/>
        </w:rPr>
        <w:t>. These are represented by the interquartile range of modelled pathways. The</w:t>
      </w:r>
      <w:r>
        <w:rPr>
          <w:rStyle w:val="normaltextrun"/>
          <w:rFonts w:ascii="Calibri" w:hAnsi="Calibri" w:cs="Calibri"/>
          <w:color w:val="000000"/>
          <w:shd w:val="clear" w:color="auto" w:fill="FFFFFF"/>
        </w:rPr>
        <w:t xml:space="preserve"> pathways in the top half of this range are the ones with greater reductions in methane and less reliance on unproven carbon removal methods. They have also been estimated to be the most likely to deliver the best overall social, economic and environmental outcomes. </w:t>
      </w:r>
    </w:p>
    <w:p w14:paraId="765428E6" w14:textId="7CC13910" w:rsidR="00744221" w:rsidRPr="00744221" w:rsidRDefault="00F03A47" w:rsidP="00744221">
      <w:pPr>
        <w:rPr>
          <w:lang w:val="mi-NZ"/>
        </w:rPr>
      </w:pPr>
      <w:r w:rsidRPr="00972EF1">
        <w:rPr>
          <w:lang w:val="mi-NZ"/>
        </w:rPr>
        <w:t>Fundamentally</w:t>
      </w:r>
      <w:r>
        <w:rPr>
          <w:lang w:val="mi-NZ"/>
        </w:rPr>
        <w:t>,</w:t>
      </w:r>
      <w:r w:rsidRPr="00972EF1">
        <w:rPr>
          <w:lang w:val="mi-NZ"/>
        </w:rPr>
        <w:t xml:space="preserve"> it is our judgement that there is no </w:t>
      </w:r>
      <w:r>
        <w:rPr>
          <w:lang w:val="mi-NZ"/>
        </w:rPr>
        <w:t>reason</w:t>
      </w:r>
      <w:r w:rsidRPr="00972EF1">
        <w:rPr>
          <w:lang w:val="mi-NZ"/>
        </w:rPr>
        <w:t xml:space="preserve"> </w:t>
      </w:r>
      <w:r>
        <w:rPr>
          <w:lang w:val="mi-NZ"/>
        </w:rPr>
        <w:t xml:space="preserve">to </w:t>
      </w:r>
      <w:r w:rsidRPr="00875037">
        <w:t>anticipate</w:t>
      </w:r>
      <w:r>
        <w:rPr>
          <w:lang w:val="mi-NZ"/>
        </w:rPr>
        <w:t xml:space="preserve"> that Aotearoa would be expected to contribute less that then middle of the IPCC range for reductions of biogenic methane.</w:t>
      </w:r>
    </w:p>
    <w:p w14:paraId="5F4C3BE7" w14:textId="77777777" w:rsidR="00D47AEC" w:rsidRDefault="00D47AEC" w:rsidP="00F03A47">
      <w:pPr>
        <w:rPr>
          <w:lang w:val="mi-NZ"/>
        </w:rPr>
      </w:pPr>
    </w:p>
    <w:p w14:paraId="284D1D33" w14:textId="77777777" w:rsidR="00D47AEC" w:rsidRDefault="00D47AEC" w:rsidP="00F03A47">
      <w:pPr>
        <w:rPr>
          <w:lang w:val="mi-NZ"/>
        </w:rPr>
      </w:pPr>
    </w:p>
    <w:tbl>
      <w:tblPr>
        <w:tblStyle w:val="GridTable4-Accent2"/>
        <w:tblW w:w="0" w:type="auto"/>
        <w:tblCellMar>
          <w:top w:w="57" w:type="dxa"/>
          <w:bottom w:w="57" w:type="dxa"/>
        </w:tblCellMar>
        <w:tblLook w:val="04A0" w:firstRow="1" w:lastRow="0" w:firstColumn="1" w:lastColumn="0" w:noHBand="0" w:noVBand="1"/>
      </w:tblPr>
      <w:tblGrid>
        <w:gridCol w:w="9016"/>
      </w:tblGrid>
      <w:tr w:rsidR="00F03A47" w:rsidRPr="00EA4071" w14:paraId="12C9A44F" w14:textId="77777777" w:rsidTr="00760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64785FC" w14:textId="77777777" w:rsidR="00F03A47" w:rsidRPr="00C3509B" w:rsidRDefault="00F03A47" w:rsidP="007602C9">
            <w:pPr>
              <w:pStyle w:val="Content"/>
              <w:spacing w:before="0" w:after="0"/>
              <w:jc w:val="center"/>
              <w:rPr>
                <w:sz w:val="24"/>
                <w:szCs w:val="24"/>
              </w:rPr>
            </w:pPr>
            <w:r w:rsidRPr="00FF600C">
              <w:rPr>
                <w:bCs w:val="0"/>
                <w:sz w:val="28"/>
                <w:szCs w:val="28"/>
              </w:rPr>
              <w:lastRenderedPageBreak/>
              <w:t>Biogenic methane</w:t>
            </w:r>
            <w:r w:rsidRPr="009A759D">
              <w:rPr>
                <w:bCs w:val="0"/>
                <w:sz w:val="28"/>
                <w:szCs w:val="28"/>
              </w:rPr>
              <w:t xml:space="preserve"> </w:t>
            </w:r>
            <w:r w:rsidRPr="00053ADD">
              <w:rPr>
                <w:bCs w:val="0"/>
                <w:sz w:val="28"/>
                <w:szCs w:val="28"/>
              </w:rPr>
              <w:t>recommendation</w:t>
            </w:r>
            <w:r>
              <w:rPr>
                <w:bCs w:val="0"/>
                <w:sz w:val="28"/>
                <w:szCs w:val="28"/>
              </w:rPr>
              <w:t xml:space="preserve"> 1</w:t>
            </w:r>
          </w:p>
          <w:p w14:paraId="20EBD7FC" w14:textId="77777777" w:rsidR="00F03A47" w:rsidRPr="00EA4071" w:rsidRDefault="00F03A47" w:rsidP="007602C9">
            <w:pPr>
              <w:pStyle w:val="Content"/>
              <w:spacing w:before="0" w:after="0"/>
              <w:jc w:val="center"/>
              <w:rPr>
                <w:b w:val="0"/>
                <w:sz w:val="28"/>
                <w:szCs w:val="28"/>
              </w:rPr>
            </w:pPr>
            <w:r w:rsidRPr="00FF600C">
              <w:rPr>
                <w:b w:val="0"/>
                <w:sz w:val="28"/>
                <w:szCs w:val="28"/>
              </w:rPr>
              <w:t xml:space="preserve">Reductions in </w:t>
            </w:r>
            <w:r w:rsidRPr="009A759D">
              <w:rPr>
                <w:b w:val="0"/>
                <w:sz w:val="28"/>
                <w:szCs w:val="28"/>
              </w:rPr>
              <w:t xml:space="preserve">biogenic </w:t>
            </w:r>
            <w:r w:rsidRPr="00053ADD">
              <w:rPr>
                <w:b w:val="0"/>
                <w:sz w:val="28"/>
                <w:szCs w:val="28"/>
              </w:rPr>
              <w:t>methane</w:t>
            </w:r>
            <w:r w:rsidRPr="00FF600C">
              <w:rPr>
                <w:sz w:val="28"/>
                <w:szCs w:val="28"/>
              </w:rPr>
              <w:t xml:space="preserve"> </w:t>
            </w:r>
            <w:r w:rsidRPr="00FB75B6">
              <w:rPr>
                <w:b w:val="0"/>
                <w:sz w:val="28"/>
                <w:szCs w:val="28"/>
              </w:rPr>
              <w:t>that might be required of Aotearoa in the future as part of a global effort to limit warming to 1.5</w:t>
            </w:r>
            <w:r w:rsidRPr="00FB75B6">
              <w:rPr>
                <w:rFonts w:cstheme="minorHAnsi"/>
                <w:b w:val="0"/>
                <w:sz w:val="28"/>
                <w:szCs w:val="28"/>
              </w:rPr>
              <w:t>ᵒ</w:t>
            </w:r>
            <w:r w:rsidRPr="00FB75B6">
              <w:rPr>
                <w:b w:val="0"/>
                <w:sz w:val="28"/>
                <w:szCs w:val="28"/>
              </w:rPr>
              <w:t>C</w:t>
            </w:r>
            <w:r w:rsidRPr="00FF600C">
              <w:rPr>
                <w:sz w:val="28"/>
                <w:szCs w:val="28"/>
              </w:rPr>
              <w:t xml:space="preserve"> </w:t>
            </w:r>
          </w:p>
        </w:tc>
      </w:tr>
      <w:tr w:rsidR="00F03A47" w:rsidRPr="00A666C6" w14:paraId="35B235A2" w14:textId="77777777" w:rsidTr="00760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5E03730" w14:textId="63533FFD" w:rsidR="00F03A47" w:rsidRPr="00BE6035" w:rsidRDefault="00F03A47" w:rsidP="007602C9">
            <w:r w:rsidRPr="002C0A8A">
              <w:t>We advise that the reductions in emissions of biogenic methane that Aotearoa may eventually need to make as part of a global effort to limit temperature increase to 1.5</w:t>
            </w:r>
            <w:r w:rsidRPr="002C0A8A">
              <w:rPr>
                <w:rFonts w:cstheme="minorHAnsi"/>
              </w:rPr>
              <w:t>ᵒ</w:t>
            </w:r>
            <w:r w:rsidRPr="002C0A8A">
              <w:t xml:space="preserve">C could be between 49% and 60% below 2017 levels by 2100. </w:t>
            </w:r>
          </w:p>
        </w:tc>
      </w:tr>
    </w:tbl>
    <w:p w14:paraId="3D0F3064" w14:textId="77777777" w:rsidR="00F03A47" w:rsidRDefault="00F03A47" w:rsidP="00F03A47">
      <w:pPr>
        <w:rPr>
          <w:lang w:val="mi-NZ"/>
        </w:rPr>
      </w:pPr>
      <w:r w:rsidRPr="00972EF1">
        <w:rPr>
          <w:lang w:val="mi-NZ"/>
        </w:rPr>
        <w:t>Our analysis suggests that the successful development of a</w:t>
      </w:r>
      <w:r>
        <w:rPr>
          <w:lang w:val="mi-NZ"/>
        </w:rPr>
        <w:t xml:space="preserve"> </w:t>
      </w:r>
      <w:r w:rsidRPr="00972EF1">
        <w:rPr>
          <w:lang w:val="mi-NZ"/>
        </w:rPr>
        <w:t xml:space="preserve">methane vaccine </w:t>
      </w:r>
      <w:r>
        <w:rPr>
          <w:lang w:val="mi-NZ"/>
        </w:rPr>
        <w:t>or inhibitor suitable for pastoral systems w</w:t>
      </w:r>
      <w:r w:rsidRPr="00972EF1">
        <w:rPr>
          <w:lang w:val="mi-NZ"/>
        </w:rPr>
        <w:t xml:space="preserve">ould help reduce </w:t>
      </w:r>
      <w:r>
        <w:rPr>
          <w:lang w:val="mi-NZ"/>
        </w:rPr>
        <w:t>the country’s</w:t>
      </w:r>
      <w:r w:rsidRPr="00972EF1">
        <w:rPr>
          <w:lang w:val="mi-NZ"/>
        </w:rPr>
        <w:t xml:space="preserve"> methane emissions by </w:t>
      </w:r>
      <w:r>
        <w:rPr>
          <w:lang w:val="mi-NZ"/>
        </w:rPr>
        <w:t>more than</w:t>
      </w:r>
      <w:r w:rsidRPr="00972EF1">
        <w:rPr>
          <w:lang w:val="mi-NZ"/>
        </w:rPr>
        <w:t xml:space="preserve"> 50%.</w:t>
      </w:r>
    </w:p>
    <w:p w14:paraId="0AC03D08" w14:textId="6736C30A" w:rsidR="00F03A47" w:rsidRDefault="00F03A47" w:rsidP="00F03A47">
      <w:pPr>
        <w:rPr>
          <w:lang w:val="mi-NZ"/>
        </w:rPr>
      </w:pPr>
      <w:r w:rsidRPr="00972EF1">
        <w:rPr>
          <w:lang w:val="mi-NZ"/>
        </w:rPr>
        <w:t>There is a role for agricultural products</w:t>
      </w:r>
      <w:r w:rsidR="003431AF">
        <w:rPr>
          <w:lang w:val="mi-NZ"/>
        </w:rPr>
        <w:t xml:space="preserve"> from Aotearoa</w:t>
      </w:r>
      <w:r w:rsidRPr="00972EF1">
        <w:rPr>
          <w:lang w:val="mi-NZ"/>
        </w:rPr>
        <w:t xml:space="preserve"> in a low emissions future, both for the nutrition </w:t>
      </w:r>
      <w:r>
        <w:rPr>
          <w:lang w:val="mi-NZ"/>
        </w:rPr>
        <w:t>it</w:t>
      </w:r>
      <w:r w:rsidRPr="00972EF1">
        <w:rPr>
          <w:lang w:val="mi-NZ"/>
        </w:rPr>
        <w:t xml:space="preserve"> can provide and </w:t>
      </w:r>
      <w:r>
        <w:rPr>
          <w:lang w:val="mi-NZ"/>
        </w:rPr>
        <w:t xml:space="preserve">the </w:t>
      </w:r>
      <w:r w:rsidRPr="00972EF1">
        <w:rPr>
          <w:lang w:val="mi-NZ"/>
        </w:rPr>
        <w:t xml:space="preserve">valuable natural products such as wool. However, to create and maintain the market for those products, </w:t>
      </w:r>
      <w:r>
        <w:rPr>
          <w:lang w:val="mi-NZ"/>
        </w:rPr>
        <w:t>Aotearoa</w:t>
      </w:r>
      <w:r w:rsidRPr="00972EF1">
        <w:rPr>
          <w:lang w:val="mi-NZ"/>
        </w:rPr>
        <w:t xml:space="preserve"> need</w:t>
      </w:r>
      <w:r>
        <w:rPr>
          <w:lang w:val="mi-NZ"/>
        </w:rPr>
        <w:t>s</w:t>
      </w:r>
      <w:r w:rsidRPr="00972EF1">
        <w:rPr>
          <w:lang w:val="mi-NZ"/>
        </w:rPr>
        <w:t xml:space="preserve"> to be able to demonstrate </w:t>
      </w:r>
      <w:r>
        <w:rPr>
          <w:lang w:val="mi-NZ"/>
        </w:rPr>
        <w:t>their</w:t>
      </w:r>
      <w:r w:rsidRPr="00972EF1">
        <w:rPr>
          <w:lang w:val="mi-NZ"/>
        </w:rPr>
        <w:t xml:space="preserve"> genuine climate, environmental, social and cultural credentials. </w:t>
      </w:r>
    </w:p>
    <w:tbl>
      <w:tblPr>
        <w:tblW w:w="0" w:type="auto"/>
        <w:shd w:val="clear" w:color="auto" w:fill="C6B1D1"/>
        <w:tblCellMar>
          <w:left w:w="0" w:type="dxa"/>
          <w:right w:w="0" w:type="dxa"/>
        </w:tblCellMar>
        <w:tblLook w:val="04A0" w:firstRow="1" w:lastRow="0" w:firstColumn="1" w:lastColumn="0" w:noHBand="0" w:noVBand="1"/>
      </w:tblPr>
      <w:tblGrid>
        <w:gridCol w:w="9016"/>
      </w:tblGrid>
      <w:tr w:rsidR="00F03A47" w14:paraId="09D2F9B5" w14:textId="77777777" w:rsidTr="007602C9">
        <w:tc>
          <w:tcPr>
            <w:tcW w:w="9016" w:type="dxa"/>
            <w:tcBorders>
              <w:top w:val="single" w:sz="8" w:space="0" w:color="9E76B3"/>
              <w:left w:val="single" w:sz="8" w:space="0" w:color="9E76B3"/>
              <w:bottom w:val="single" w:sz="8" w:space="0" w:color="9E76B3"/>
              <w:right w:val="single" w:sz="8" w:space="0" w:color="9E76B3"/>
            </w:tcBorders>
            <w:shd w:val="clear" w:color="auto" w:fill="9E76B3"/>
            <w:tcMar>
              <w:top w:w="57" w:type="dxa"/>
              <w:left w:w="108" w:type="dxa"/>
              <w:bottom w:w="57" w:type="dxa"/>
              <w:right w:w="108" w:type="dxa"/>
            </w:tcMar>
            <w:hideMark/>
          </w:tcPr>
          <w:p w14:paraId="0BF20113" w14:textId="77777777" w:rsidR="00F03A47" w:rsidRDefault="00F03A47" w:rsidP="007602C9">
            <w:pPr>
              <w:pStyle w:val="Content"/>
              <w:spacing w:before="0" w:after="0" w:line="240" w:lineRule="auto"/>
              <w:jc w:val="center"/>
              <w:rPr>
                <w:b/>
                <w:bCs/>
                <w:color w:val="000000"/>
                <w:sz w:val="24"/>
                <w:szCs w:val="24"/>
                <w:lang w:val="en-US"/>
              </w:rPr>
            </w:pPr>
            <w:r>
              <w:rPr>
                <w:b/>
                <w:bCs/>
                <w:color w:val="FFFFFF"/>
                <w:sz w:val="28"/>
                <w:szCs w:val="28"/>
              </w:rPr>
              <w:t>Consultation question 24</w:t>
            </w:r>
          </w:p>
          <w:p w14:paraId="5E1FECF9" w14:textId="77777777" w:rsidR="00F03A47" w:rsidRDefault="00F03A47" w:rsidP="007602C9">
            <w:pPr>
              <w:pStyle w:val="Content"/>
              <w:spacing w:before="0" w:after="0" w:line="240" w:lineRule="auto"/>
              <w:jc w:val="center"/>
              <w:rPr>
                <w:color w:val="FFFFFF"/>
                <w:sz w:val="28"/>
                <w:szCs w:val="28"/>
              </w:rPr>
            </w:pPr>
            <w:r>
              <w:rPr>
                <w:color w:val="FFFFFF"/>
                <w:sz w:val="28"/>
                <w:szCs w:val="28"/>
              </w:rPr>
              <w:t>Biogenic methane</w:t>
            </w:r>
          </w:p>
        </w:tc>
      </w:tr>
      <w:tr w:rsidR="00F03A47" w14:paraId="20629C3B" w14:textId="77777777" w:rsidTr="007602C9">
        <w:tc>
          <w:tcPr>
            <w:tcW w:w="9016" w:type="dxa"/>
            <w:tcBorders>
              <w:top w:val="nil"/>
              <w:left w:val="single" w:sz="8" w:space="0" w:color="9E76B3"/>
              <w:bottom w:val="single" w:sz="8" w:space="0" w:color="9E76B3"/>
              <w:right w:val="single" w:sz="8" w:space="0" w:color="9E76B3"/>
            </w:tcBorders>
            <w:shd w:val="clear" w:color="auto" w:fill="C6B1D1"/>
            <w:tcMar>
              <w:top w:w="57" w:type="dxa"/>
              <w:left w:w="108" w:type="dxa"/>
              <w:bottom w:w="57" w:type="dxa"/>
              <w:right w:w="108" w:type="dxa"/>
            </w:tcMar>
          </w:tcPr>
          <w:p w14:paraId="7DC241C8" w14:textId="3ECC7D58" w:rsidR="00F03A47" w:rsidRPr="00C3509B" w:rsidRDefault="00F03A47" w:rsidP="007602C9">
            <w:r>
              <w:rPr>
                <w:b/>
                <w:bCs/>
                <w:color w:val="000000"/>
              </w:rPr>
              <w:t>Do you support our assessment of the possible required reductions in biogenic methane emissions?</w:t>
            </w:r>
          </w:p>
        </w:tc>
      </w:tr>
    </w:tbl>
    <w:p w14:paraId="02103F9B" w14:textId="77777777" w:rsidR="00F03A47" w:rsidRPr="00972EF1" w:rsidRDefault="00F03A47" w:rsidP="00F03A47">
      <w:pPr>
        <w:rPr>
          <w:lang w:val="mi-NZ"/>
        </w:rPr>
      </w:pPr>
      <w:r w:rsidRPr="00972EF1">
        <w:rPr>
          <w:lang w:val="mi-NZ"/>
        </w:rPr>
        <w:br w:type="page"/>
      </w:r>
    </w:p>
    <w:p w14:paraId="49792404" w14:textId="1561003C" w:rsidR="00F03A47" w:rsidRPr="00F03A47" w:rsidRDefault="00F03A47" w:rsidP="00F03A47">
      <w:pPr>
        <w:sectPr w:rsidR="00F03A47" w:rsidRPr="00F03A47" w:rsidSect="00622805">
          <w:pgSz w:w="11906" w:h="16838"/>
          <w:pgMar w:top="1361" w:right="1361" w:bottom="1361" w:left="1361" w:header="709" w:footer="709" w:gutter="0"/>
          <w:cols w:space="708"/>
          <w:docGrid w:linePitch="360"/>
        </w:sectPr>
      </w:pPr>
    </w:p>
    <w:p w14:paraId="10720B6F" w14:textId="6C324672" w:rsidR="00B730BC" w:rsidRPr="00B730BC" w:rsidRDefault="006678BD" w:rsidP="008F69BA">
      <w:pPr>
        <w:pStyle w:val="Heading1"/>
        <w:spacing w:after="240"/>
      </w:pPr>
      <w:bookmarkStart w:id="404" w:name="_Toc62650372"/>
      <w:r w:rsidRPr="006678BD">
        <w:lastRenderedPageBreak/>
        <w:t xml:space="preserve">Glossary of </w:t>
      </w:r>
      <w:proofErr w:type="spellStart"/>
      <w:r w:rsidRPr="006678BD">
        <w:t>Te</w:t>
      </w:r>
      <w:proofErr w:type="spellEnd"/>
      <w:r w:rsidRPr="006678BD">
        <w:t xml:space="preserve"> </w:t>
      </w:r>
      <w:proofErr w:type="spellStart"/>
      <w:r w:rsidRPr="006678BD">
        <w:t>Reo</w:t>
      </w:r>
      <w:proofErr w:type="spellEnd"/>
      <w:r w:rsidRPr="006678BD">
        <w:t xml:space="preserve"> Māori Terms</w:t>
      </w:r>
      <w:bookmarkEnd w:id="404"/>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7"/>
        <w:gridCol w:w="6743"/>
      </w:tblGrid>
      <w:tr w:rsidR="002649C4" w:rsidRPr="000B6CA0" w14:paraId="709AEF78" w14:textId="77777777" w:rsidTr="00093A20">
        <w:trPr>
          <w:trHeight w:val="300"/>
          <w:tblHeader/>
        </w:trPr>
        <w:tc>
          <w:tcPr>
            <w:tcW w:w="2267" w:type="dxa"/>
            <w:shd w:val="clear" w:color="auto" w:fill="auto"/>
            <w:vAlign w:val="center"/>
            <w:hideMark/>
          </w:tcPr>
          <w:p w14:paraId="6AB3BAD8" w14:textId="77777777" w:rsidR="002649C4" w:rsidRPr="003626D6" w:rsidRDefault="002649C4" w:rsidP="00093A20">
            <w:pPr>
              <w:spacing w:before="120" w:after="120"/>
              <w:rPr>
                <w:rFonts w:ascii="Times New Roman" w:hAnsi="Times New Roman" w:cs="Times New Roman"/>
                <w:b/>
                <w:bCs/>
                <w:sz w:val="24"/>
                <w:szCs w:val="24"/>
                <w:lang w:eastAsia="en-NZ"/>
              </w:rPr>
            </w:pPr>
            <w:proofErr w:type="spellStart"/>
            <w:r w:rsidRPr="003626D6">
              <w:rPr>
                <w:b/>
                <w:bCs/>
                <w:lang w:val="en-US" w:eastAsia="en-NZ"/>
              </w:rPr>
              <w:t>Te</w:t>
            </w:r>
            <w:proofErr w:type="spellEnd"/>
            <w:r w:rsidRPr="003626D6">
              <w:rPr>
                <w:b/>
                <w:bCs/>
                <w:lang w:val="en-US" w:eastAsia="en-NZ"/>
              </w:rPr>
              <w:t xml:space="preserve"> </w:t>
            </w:r>
            <w:proofErr w:type="spellStart"/>
            <w:r w:rsidRPr="003626D6">
              <w:rPr>
                <w:b/>
                <w:bCs/>
                <w:lang w:val="en-US" w:eastAsia="en-NZ"/>
              </w:rPr>
              <w:t>reo</w:t>
            </w:r>
            <w:proofErr w:type="spellEnd"/>
            <w:r w:rsidRPr="003626D6">
              <w:rPr>
                <w:b/>
                <w:bCs/>
                <w:lang w:val="en-US" w:eastAsia="en-NZ"/>
              </w:rPr>
              <w:t xml:space="preserve"> Māori</w:t>
            </w:r>
            <w:r w:rsidRPr="003626D6">
              <w:rPr>
                <w:b/>
                <w:bCs/>
                <w:lang w:eastAsia="en-NZ"/>
              </w:rPr>
              <w:t>  </w:t>
            </w:r>
          </w:p>
        </w:tc>
        <w:tc>
          <w:tcPr>
            <w:tcW w:w="6743" w:type="dxa"/>
            <w:shd w:val="clear" w:color="auto" w:fill="auto"/>
            <w:vAlign w:val="center"/>
            <w:hideMark/>
          </w:tcPr>
          <w:p w14:paraId="0C13D9E5" w14:textId="77777777" w:rsidR="002649C4" w:rsidRPr="008F69BA" w:rsidRDefault="002649C4" w:rsidP="00093A20">
            <w:pPr>
              <w:spacing w:before="120" w:after="120"/>
              <w:rPr>
                <w:rFonts w:ascii="Times New Roman" w:hAnsi="Times New Roman" w:cs="Times New Roman"/>
                <w:b/>
                <w:sz w:val="24"/>
                <w:szCs w:val="24"/>
                <w:lang w:eastAsia="en-NZ"/>
              </w:rPr>
            </w:pPr>
            <w:r w:rsidRPr="008F69BA">
              <w:rPr>
                <w:b/>
                <w:lang w:val="en-US" w:eastAsia="en-NZ"/>
              </w:rPr>
              <w:t>English translation</w:t>
            </w:r>
            <w:r w:rsidRPr="008F69BA">
              <w:rPr>
                <w:b/>
                <w:lang w:eastAsia="en-NZ"/>
              </w:rPr>
              <w:t>  </w:t>
            </w:r>
          </w:p>
        </w:tc>
      </w:tr>
      <w:tr w:rsidR="002649C4" w:rsidRPr="000B6CA0" w14:paraId="2EF41ED2" w14:textId="77777777" w:rsidTr="00093A20">
        <w:trPr>
          <w:trHeight w:val="300"/>
        </w:trPr>
        <w:tc>
          <w:tcPr>
            <w:tcW w:w="2267" w:type="dxa"/>
            <w:shd w:val="clear" w:color="auto" w:fill="auto"/>
            <w:vAlign w:val="center"/>
            <w:hideMark/>
          </w:tcPr>
          <w:p w14:paraId="02E1C12A" w14:textId="77777777" w:rsidR="002649C4" w:rsidRPr="003626D6" w:rsidRDefault="002649C4" w:rsidP="00093A20">
            <w:pPr>
              <w:spacing w:before="120" w:after="120"/>
              <w:rPr>
                <w:rFonts w:ascii="Times New Roman" w:hAnsi="Times New Roman" w:cs="Times New Roman"/>
                <w:b/>
                <w:bCs/>
                <w:sz w:val="24"/>
                <w:szCs w:val="24"/>
                <w:lang w:eastAsia="en-NZ"/>
              </w:rPr>
            </w:pPr>
            <w:proofErr w:type="spellStart"/>
            <w:r w:rsidRPr="003626D6">
              <w:rPr>
                <w:b/>
                <w:bCs/>
                <w:lang w:eastAsia="en-NZ"/>
              </w:rPr>
              <w:t>Hapū</w:t>
            </w:r>
            <w:proofErr w:type="spellEnd"/>
            <w:r w:rsidRPr="003626D6">
              <w:rPr>
                <w:b/>
                <w:bCs/>
                <w:lang w:eastAsia="en-NZ"/>
              </w:rPr>
              <w:t> </w:t>
            </w:r>
          </w:p>
        </w:tc>
        <w:tc>
          <w:tcPr>
            <w:tcW w:w="6743" w:type="dxa"/>
            <w:shd w:val="clear" w:color="auto" w:fill="auto"/>
            <w:vAlign w:val="center"/>
            <w:hideMark/>
          </w:tcPr>
          <w:p w14:paraId="29BC1165"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val="en-US" w:eastAsia="en-NZ"/>
              </w:rPr>
              <w:t xml:space="preserve">Kinship group, comprised of </w:t>
            </w:r>
            <w:proofErr w:type="spellStart"/>
            <w:r w:rsidRPr="000B6CA0">
              <w:rPr>
                <w:lang w:val="en-US" w:eastAsia="en-NZ"/>
              </w:rPr>
              <w:t>whānau</w:t>
            </w:r>
            <w:proofErr w:type="spellEnd"/>
            <w:r w:rsidRPr="000B6CA0">
              <w:rPr>
                <w:lang w:val="en-US" w:eastAsia="en-NZ"/>
              </w:rPr>
              <w:t xml:space="preserve"> who share a common ancestry</w:t>
            </w:r>
            <w:r>
              <w:rPr>
                <w:lang w:val="en-US" w:eastAsia="en-NZ"/>
              </w:rPr>
              <w:t>.</w:t>
            </w:r>
            <w:r w:rsidRPr="000B6CA0">
              <w:rPr>
                <w:lang w:eastAsia="en-NZ"/>
              </w:rPr>
              <w:t> </w:t>
            </w:r>
          </w:p>
        </w:tc>
      </w:tr>
      <w:tr w:rsidR="002649C4" w:rsidRPr="000B6CA0" w14:paraId="034C7AB3" w14:textId="77777777" w:rsidTr="00093A20">
        <w:trPr>
          <w:trHeight w:val="300"/>
        </w:trPr>
        <w:tc>
          <w:tcPr>
            <w:tcW w:w="2267" w:type="dxa"/>
            <w:shd w:val="clear" w:color="auto" w:fill="auto"/>
            <w:vAlign w:val="center"/>
            <w:hideMark/>
          </w:tcPr>
          <w:p w14:paraId="664F2193" w14:textId="77777777" w:rsidR="002649C4" w:rsidRPr="003626D6" w:rsidRDefault="002649C4" w:rsidP="00093A20">
            <w:pPr>
              <w:spacing w:before="120" w:after="120"/>
              <w:rPr>
                <w:rFonts w:ascii="Times New Roman" w:hAnsi="Times New Roman" w:cs="Times New Roman"/>
                <w:b/>
                <w:bCs/>
                <w:sz w:val="24"/>
                <w:szCs w:val="24"/>
                <w:lang w:eastAsia="en-NZ"/>
              </w:rPr>
            </w:pPr>
            <w:proofErr w:type="spellStart"/>
            <w:r w:rsidRPr="003626D6">
              <w:rPr>
                <w:b/>
                <w:bCs/>
                <w:lang w:eastAsia="en-NZ"/>
              </w:rPr>
              <w:t>Haukāinga</w:t>
            </w:r>
            <w:proofErr w:type="spellEnd"/>
            <w:r w:rsidRPr="003626D6">
              <w:rPr>
                <w:b/>
                <w:bCs/>
                <w:lang w:eastAsia="en-NZ"/>
              </w:rPr>
              <w:t> </w:t>
            </w:r>
          </w:p>
        </w:tc>
        <w:tc>
          <w:tcPr>
            <w:tcW w:w="6743" w:type="dxa"/>
            <w:shd w:val="clear" w:color="auto" w:fill="auto"/>
            <w:vAlign w:val="center"/>
            <w:hideMark/>
          </w:tcPr>
          <w:p w14:paraId="04C7E297"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val="en-US" w:eastAsia="en-NZ"/>
              </w:rPr>
              <w:t>Home</w:t>
            </w:r>
            <w:r w:rsidRPr="000B6CA0">
              <w:rPr>
                <w:lang w:eastAsia="en-NZ"/>
              </w:rPr>
              <w:t> people, people from the </w:t>
            </w:r>
            <w:proofErr w:type="spellStart"/>
            <w:r w:rsidRPr="000B6CA0">
              <w:rPr>
                <w:lang w:eastAsia="en-NZ"/>
              </w:rPr>
              <w:t>pā</w:t>
            </w:r>
            <w:proofErr w:type="spellEnd"/>
            <w:r>
              <w:rPr>
                <w:lang w:eastAsia="en-NZ"/>
              </w:rPr>
              <w:t>.</w:t>
            </w:r>
            <w:r w:rsidRPr="000B6CA0">
              <w:rPr>
                <w:lang w:eastAsia="en-NZ"/>
              </w:rPr>
              <w:t> </w:t>
            </w:r>
          </w:p>
        </w:tc>
      </w:tr>
      <w:tr w:rsidR="002649C4" w:rsidRPr="000B6CA0" w14:paraId="291C93B9" w14:textId="77777777" w:rsidTr="00093A20">
        <w:trPr>
          <w:trHeight w:val="300"/>
        </w:trPr>
        <w:tc>
          <w:tcPr>
            <w:tcW w:w="2267" w:type="dxa"/>
            <w:shd w:val="clear" w:color="auto" w:fill="auto"/>
            <w:vAlign w:val="center"/>
          </w:tcPr>
          <w:p w14:paraId="280BCF37" w14:textId="77777777" w:rsidR="002649C4" w:rsidRPr="003626D6" w:rsidRDefault="002649C4" w:rsidP="00093A20">
            <w:pPr>
              <w:spacing w:before="120" w:after="120"/>
              <w:rPr>
                <w:b/>
                <w:bCs/>
                <w:lang w:eastAsia="en-NZ"/>
              </w:rPr>
            </w:pPr>
            <w:r w:rsidRPr="003626D6">
              <w:rPr>
                <w:b/>
                <w:bCs/>
                <w:lang w:eastAsia="en-NZ"/>
              </w:rPr>
              <w:t>iwi</w:t>
            </w:r>
          </w:p>
        </w:tc>
        <w:tc>
          <w:tcPr>
            <w:tcW w:w="6743" w:type="dxa"/>
            <w:shd w:val="clear" w:color="auto" w:fill="auto"/>
            <w:vAlign w:val="center"/>
          </w:tcPr>
          <w:p w14:paraId="68192E92" w14:textId="77777777" w:rsidR="002649C4" w:rsidRPr="000B6CA0" w:rsidRDefault="002649C4" w:rsidP="00093A20">
            <w:pPr>
              <w:spacing w:before="120" w:after="120"/>
              <w:rPr>
                <w:lang w:val="en-US" w:eastAsia="en-NZ"/>
              </w:rPr>
            </w:pPr>
            <w:r>
              <w:rPr>
                <w:shd w:val="clear" w:color="auto" w:fill="FFFFFF"/>
              </w:rPr>
              <w:t>Extended kinship group, often referring to a large group of people descended from a common ancestor and associated with a distinct territory. Also means bone.</w:t>
            </w:r>
          </w:p>
        </w:tc>
      </w:tr>
      <w:tr w:rsidR="002649C4" w:rsidRPr="000B6CA0" w14:paraId="6EFBE647" w14:textId="77777777" w:rsidTr="00093A20">
        <w:trPr>
          <w:trHeight w:val="300"/>
        </w:trPr>
        <w:tc>
          <w:tcPr>
            <w:tcW w:w="2267" w:type="dxa"/>
            <w:shd w:val="clear" w:color="auto" w:fill="auto"/>
            <w:vAlign w:val="center"/>
            <w:hideMark/>
          </w:tcPr>
          <w:p w14:paraId="485BDD46" w14:textId="77777777" w:rsidR="002649C4" w:rsidRPr="003626D6" w:rsidRDefault="002649C4" w:rsidP="00093A20">
            <w:pPr>
              <w:spacing w:before="120" w:after="120"/>
              <w:rPr>
                <w:rFonts w:ascii="Times New Roman" w:hAnsi="Times New Roman" w:cs="Times New Roman"/>
                <w:b/>
                <w:bCs/>
                <w:sz w:val="24"/>
                <w:szCs w:val="24"/>
                <w:lang w:eastAsia="en-NZ"/>
              </w:rPr>
            </w:pPr>
            <w:r w:rsidRPr="003626D6">
              <w:rPr>
                <w:b/>
                <w:bCs/>
                <w:lang w:eastAsia="en-NZ"/>
              </w:rPr>
              <w:t>Kaitiaki (verb) </w:t>
            </w:r>
          </w:p>
        </w:tc>
        <w:tc>
          <w:tcPr>
            <w:tcW w:w="6743" w:type="dxa"/>
            <w:shd w:val="clear" w:color="auto" w:fill="auto"/>
            <w:vAlign w:val="center"/>
            <w:hideMark/>
          </w:tcPr>
          <w:p w14:paraId="0744A1B2"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val="en-US" w:eastAsia="en-NZ"/>
              </w:rPr>
              <w:t>Guardian/steward. </w:t>
            </w:r>
            <w:proofErr w:type="spellStart"/>
            <w:r w:rsidRPr="000B6CA0">
              <w:rPr>
                <w:lang w:val="en-US" w:eastAsia="en-NZ"/>
              </w:rPr>
              <w:t>Tangata</w:t>
            </w:r>
            <w:proofErr w:type="spellEnd"/>
            <w:r w:rsidRPr="000B6CA0">
              <w:rPr>
                <w:lang w:val="en-US" w:eastAsia="en-NZ"/>
              </w:rPr>
              <w:t> whenua, </w:t>
            </w:r>
            <w:proofErr w:type="spellStart"/>
            <w:r w:rsidRPr="000B6CA0">
              <w:rPr>
                <w:lang w:val="en-US" w:eastAsia="en-NZ"/>
              </w:rPr>
              <w:t>whānau</w:t>
            </w:r>
            <w:proofErr w:type="spellEnd"/>
            <w:r w:rsidRPr="000B6CA0">
              <w:rPr>
                <w:lang w:val="en-US" w:eastAsia="en-NZ"/>
              </w:rPr>
              <w:t xml:space="preserve">, </w:t>
            </w:r>
            <w:proofErr w:type="spellStart"/>
            <w:r w:rsidRPr="000B6CA0">
              <w:rPr>
                <w:lang w:val="en-US" w:eastAsia="en-NZ"/>
              </w:rPr>
              <w:t>hapū</w:t>
            </w:r>
            <w:proofErr w:type="spellEnd"/>
            <w:r w:rsidRPr="000B6CA0">
              <w:rPr>
                <w:lang w:val="en-US" w:eastAsia="en-NZ"/>
              </w:rPr>
              <w:t>, iwi exercising responsibilities of </w:t>
            </w:r>
            <w:proofErr w:type="spellStart"/>
            <w:r w:rsidRPr="000B6CA0">
              <w:rPr>
                <w:lang w:val="en-US" w:eastAsia="en-NZ"/>
              </w:rPr>
              <w:t>kaitiakitanga</w:t>
            </w:r>
            <w:proofErr w:type="spellEnd"/>
            <w:r w:rsidRPr="000B6CA0">
              <w:rPr>
                <w:lang w:val="en-US" w:eastAsia="en-NZ"/>
              </w:rPr>
              <w:t> </w:t>
            </w:r>
            <w:r>
              <w:rPr>
                <w:lang w:val="en-US" w:eastAsia="en-NZ"/>
              </w:rPr>
              <w:t>inherited through</w:t>
            </w:r>
            <w:r w:rsidRPr="000B6CA0">
              <w:rPr>
                <w:lang w:val="en-US" w:eastAsia="en-NZ"/>
              </w:rPr>
              <w:t xml:space="preserve"> </w:t>
            </w:r>
            <w:r>
              <w:rPr>
                <w:lang w:val="en-US" w:eastAsia="en-NZ"/>
              </w:rPr>
              <w:t>whakapapa Māori.</w:t>
            </w:r>
            <w:r w:rsidRPr="000B6CA0">
              <w:rPr>
                <w:lang w:eastAsia="en-NZ"/>
              </w:rPr>
              <w:t> </w:t>
            </w:r>
          </w:p>
        </w:tc>
      </w:tr>
      <w:tr w:rsidR="002649C4" w:rsidRPr="000B6CA0" w14:paraId="4CE6E60A" w14:textId="77777777" w:rsidTr="00093A20">
        <w:trPr>
          <w:trHeight w:val="300"/>
        </w:trPr>
        <w:tc>
          <w:tcPr>
            <w:tcW w:w="2267" w:type="dxa"/>
            <w:shd w:val="clear" w:color="auto" w:fill="auto"/>
            <w:vAlign w:val="center"/>
            <w:hideMark/>
          </w:tcPr>
          <w:p w14:paraId="50BE2FF9" w14:textId="77777777" w:rsidR="002649C4" w:rsidRPr="003626D6" w:rsidRDefault="002649C4" w:rsidP="00093A20">
            <w:pPr>
              <w:spacing w:before="120" w:after="120"/>
              <w:rPr>
                <w:rFonts w:ascii="Times New Roman" w:hAnsi="Times New Roman" w:cs="Times New Roman"/>
                <w:b/>
                <w:bCs/>
                <w:sz w:val="24"/>
                <w:szCs w:val="24"/>
                <w:lang w:eastAsia="en-NZ"/>
              </w:rPr>
            </w:pPr>
            <w:proofErr w:type="spellStart"/>
            <w:r w:rsidRPr="003626D6">
              <w:rPr>
                <w:b/>
                <w:bCs/>
                <w:lang w:eastAsia="en-NZ"/>
              </w:rPr>
              <w:t>Kaitiakitanga</w:t>
            </w:r>
            <w:proofErr w:type="spellEnd"/>
            <w:r w:rsidRPr="003626D6">
              <w:rPr>
                <w:b/>
                <w:bCs/>
                <w:lang w:eastAsia="en-NZ"/>
              </w:rPr>
              <w:t> (noun) </w:t>
            </w:r>
          </w:p>
        </w:tc>
        <w:tc>
          <w:tcPr>
            <w:tcW w:w="6743" w:type="dxa"/>
            <w:shd w:val="clear" w:color="auto" w:fill="auto"/>
            <w:vAlign w:val="center"/>
            <w:hideMark/>
          </w:tcPr>
          <w:p w14:paraId="2B4338CD"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val="en-US" w:eastAsia="en-NZ"/>
              </w:rPr>
              <w:t>Guardianship/stewardship, </w:t>
            </w:r>
            <w:proofErr w:type="spellStart"/>
            <w:r w:rsidRPr="000B6CA0">
              <w:rPr>
                <w:lang w:val="en-US" w:eastAsia="en-NZ"/>
              </w:rPr>
              <w:t>tangata</w:t>
            </w:r>
            <w:proofErr w:type="spellEnd"/>
            <w:r w:rsidRPr="000B6CA0">
              <w:rPr>
                <w:lang w:val="en-US" w:eastAsia="en-NZ"/>
              </w:rPr>
              <w:t xml:space="preserve"> whenua, </w:t>
            </w:r>
            <w:proofErr w:type="spellStart"/>
            <w:r w:rsidRPr="000B6CA0">
              <w:rPr>
                <w:lang w:val="en-US" w:eastAsia="en-NZ"/>
              </w:rPr>
              <w:t>whānau</w:t>
            </w:r>
            <w:proofErr w:type="spellEnd"/>
            <w:r w:rsidRPr="000B6CA0">
              <w:rPr>
                <w:lang w:val="en-US" w:eastAsia="en-NZ"/>
              </w:rPr>
              <w:t xml:space="preserve">, </w:t>
            </w:r>
            <w:proofErr w:type="spellStart"/>
            <w:r w:rsidRPr="000B6CA0">
              <w:rPr>
                <w:lang w:val="en-US" w:eastAsia="en-NZ"/>
              </w:rPr>
              <w:t>hapū</w:t>
            </w:r>
            <w:proofErr w:type="spellEnd"/>
            <w:r w:rsidRPr="000B6CA0">
              <w:rPr>
                <w:lang w:val="en-US" w:eastAsia="en-NZ"/>
              </w:rPr>
              <w:t>, iwi holding this responsibility</w:t>
            </w:r>
            <w:r>
              <w:rPr>
                <w:lang w:val="en-US" w:eastAsia="en-NZ"/>
              </w:rPr>
              <w:t>.</w:t>
            </w:r>
            <w:r w:rsidRPr="000B6CA0">
              <w:rPr>
                <w:lang w:eastAsia="en-NZ"/>
              </w:rPr>
              <w:t> </w:t>
            </w:r>
          </w:p>
        </w:tc>
      </w:tr>
      <w:tr w:rsidR="002649C4" w:rsidRPr="000B6CA0" w14:paraId="61B0739A" w14:textId="77777777" w:rsidTr="00093A20">
        <w:trPr>
          <w:trHeight w:val="300"/>
        </w:trPr>
        <w:tc>
          <w:tcPr>
            <w:tcW w:w="2267" w:type="dxa"/>
            <w:shd w:val="clear" w:color="auto" w:fill="auto"/>
            <w:vAlign w:val="center"/>
            <w:hideMark/>
          </w:tcPr>
          <w:p w14:paraId="5113F81B" w14:textId="77777777" w:rsidR="002649C4" w:rsidRPr="003626D6" w:rsidRDefault="002649C4" w:rsidP="00093A20">
            <w:pPr>
              <w:spacing w:before="120" w:after="120"/>
              <w:rPr>
                <w:rFonts w:ascii="Times New Roman" w:hAnsi="Times New Roman" w:cs="Times New Roman"/>
                <w:b/>
                <w:bCs/>
                <w:sz w:val="24"/>
                <w:szCs w:val="24"/>
                <w:lang w:eastAsia="en-NZ"/>
              </w:rPr>
            </w:pPr>
            <w:r w:rsidRPr="003626D6">
              <w:rPr>
                <w:b/>
                <w:bCs/>
                <w:lang w:eastAsia="en-NZ"/>
              </w:rPr>
              <w:t>Kawa </w:t>
            </w:r>
          </w:p>
        </w:tc>
        <w:tc>
          <w:tcPr>
            <w:tcW w:w="6743" w:type="dxa"/>
            <w:shd w:val="clear" w:color="auto" w:fill="auto"/>
            <w:vAlign w:val="center"/>
            <w:hideMark/>
          </w:tcPr>
          <w:p w14:paraId="062201EC" w14:textId="77777777" w:rsidR="002649C4" w:rsidRPr="000B6CA0" w:rsidRDefault="002649C4" w:rsidP="00093A20">
            <w:pPr>
              <w:spacing w:before="120" w:after="120"/>
              <w:rPr>
                <w:rFonts w:ascii="Times New Roman" w:hAnsi="Times New Roman" w:cs="Times New Roman"/>
                <w:sz w:val="24"/>
                <w:szCs w:val="24"/>
                <w:lang w:eastAsia="en-NZ"/>
              </w:rPr>
            </w:pPr>
            <w:r w:rsidRPr="4B1B8155">
              <w:rPr>
                <w:lang w:val="en-US" w:eastAsia="en-NZ"/>
              </w:rPr>
              <w:t>Custom/protocol the foundational principle underlying tikanga (values/principles), </w:t>
            </w:r>
            <w:proofErr w:type="spellStart"/>
            <w:r w:rsidRPr="4B1B8155">
              <w:rPr>
                <w:lang w:val="en-US" w:eastAsia="en-NZ"/>
              </w:rPr>
              <w:t>ritenga</w:t>
            </w:r>
            <w:proofErr w:type="spellEnd"/>
            <w:r w:rsidRPr="4B1B8155">
              <w:rPr>
                <w:lang w:val="en-US" w:eastAsia="en-NZ"/>
              </w:rPr>
              <w:t> (</w:t>
            </w:r>
            <w:proofErr w:type="spellStart"/>
            <w:r w:rsidRPr="4B1B8155">
              <w:rPr>
                <w:lang w:val="en-US" w:eastAsia="en-NZ"/>
              </w:rPr>
              <w:t>behaviours</w:t>
            </w:r>
            <w:proofErr w:type="spellEnd"/>
            <w:r w:rsidRPr="4B1B8155">
              <w:rPr>
                <w:lang w:val="en-US" w:eastAsia="en-NZ"/>
              </w:rPr>
              <w:t>/enactments) and </w:t>
            </w:r>
            <w:proofErr w:type="spellStart"/>
            <w:r w:rsidRPr="4B1B8155">
              <w:rPr>
                <w:lang w:val="en-US" w:eastAsia="en-NZ"/>
              </w:rPr>
              <w:t>āhuatanga</w:t>
            </w:r>
            <w:proofErr w:type="spellEnd"/>
            <w:r w:rsidRPr="4B1B8155">
              <w:rPr>
                <w:lang w:val="en-US" w:eastAsia="en-NZ"/>
              </w:rPr>
              <w:t> (attributes, traits, characteristics)</w:t>
            </w:r>
            <w:r>
              <w:rPr>
                <w:lang w:val="en-US" w:eastAsia="en-NZ"/>
              </w:rPr>
              <w:t>.</w:t>
            </w:r>
            <w:r w:rsidRPr="4B1B8155">
              <w:rPr>
                <w:lang w:eastAsia="en-NZ"/>
              </w:rPr>
              <w:t> </w:t>
            </w:r>
          </w:p>
        </w:tc>
      </w:tr>
      <w:tr w:rsidR="002649C4" w:rsidRPr="000B6CA0" w14:paraId="60B22141" w14:textId="77777777" w:rsidTr="00093A20">
        <w:trPr>
          <w:trHeight w:val="300"/>
        </w:trPr>
        <w:tc>
          <w:tcPr>
            <w:tcW w:w="2267" w:type="dxa"/>
            <w:shd w:val="clear" w:color="auto" w:fill="auto"/>
            <w:vAlign w:val="center"/>
            <w:hideMark/>
          </w:tcPr>
          <w:p w14:paraId="494FD5FA" w14:textId="77777777" w:rsidR="002649C4" w:rsidRPr="003626D6" w:rsidRDefault="002649C4" w:rsidP="00093A20">
            <w:pPr>
              <w:spacing w:before="120" w:after="120"/>
              <w:rPr>
                <w:rFonts w:ascii="Times New Roman" w:hAnsi="Times New Roman" w:cs="Times New Roman"/>
                <w:b/>
                <w:bCs/>
                <w:sz w:val="24"/>
                <w:szCs w:val="24"/>
                <w:lang w:eastAsia="en-NZ"/>
              </w:rPr>
            </w:pPr>
            <w:r w:rsidRPr="003626D6">
              <w:rPr>
                <w:b/>
                <w:bCs/>
                <w:lang w:eastAsia="en-NZ"/>
              </w:rPr>
              <w:t>Kotahitanga </w:t>
            </w:r>
          </w:p>
        </w:tc>
        <w:tc>
          <w:tcPr>
            <w:tcW w:w="6743" w:type="dxa"/>
            <w:shd w:val="clear" w:color="auto" w:fill="auto"/>
            <w:vAlign w:val="center"/>
            <w:hideMark/>
          </w:tcPr>
          <w:p w14:paraId="16D0BB67"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val="en-US" w:eastAsia="en-NZ"/>
              </w:rPr>
              <w:t>Unity, inclusive and collective action</w:t>
            </w:r>
            <w:r>
              <w:rPr>
                <w:lang w:val="en-US" w:eastAsia="en-NZ"/>
              </w:rPr>
              <w:t>.</w:t>
            </w:r>
            <w:r w:rsidRPr="000B6CA0">
              <w:rPr>
                <w:lang w:eastAsia="en-NZ"/>
              </w:rPr>
              <w:t> </w:t>
            </w:r>
          </w:p>
        </w:tc>
      </w:tr>
      <w:tr w:rsidR="002649C4" w:rsidRPr="000B6CA0" w14:paraId="777DB6A3" w14:textId="77777777" w:rsidTr="00093A20">
        <w:trPr>
          <w:trHeight w:val="300"/>
        </w:trPr>
        <w:tc>
          <w:tcPr>
            <w:tcW w:w="2267" w:type="dxa"/>
            <w:shd w:val="clear" w:color="auto" w:fill="auto"/>
            <w:vAlign w:val="center"/>
            <w:hideMark/>
          </w:tcPr>
          <w:p w14:paraId="2CB2955A" w14:textId="77777777" w:rsidR="002649C4" w:rsidRPr="003626D6" w:rsidRDefault="002649C4" w:rsidP="00093A20">
            <w:pPr>
              <w:spacing w:before="120" w:after="120"/>
              <w:rPr>
                <w:rFonts w:ascii="Times New Roman" w:hAnsi="Times New Roman" w:cs="Times New Roman"/>
                <w:b/>
                <w:bCs/>
                <w:sz w:val="24"/>
                <w:szCs w:val="24"/>
                <w:lang w:eastAsia="en-NZ"/>
              </w:rPr>
            </w:pPr>
            <w:proofErr w:type="spellStart"/>
            <w:r w:rsidRPr="003626D6">
              <w:rPr>
                <w:b/>
                <w:bCs/>
                <w:lang w:eastAsia="en-NZ"/>
              </w:rPr>
              <w:t>Manaakitanga</w:t>
            </w:r>
            <w:proofErr w:type="spellEnd"/>
            <w:r w:rsidRPr="003626D6">
              <w:rPr>
                <w:b/>
                <w:bCs/>
                <w:lang w:eastAsia="en-NZ"/>
              </w:rPr>
              <w:t> </w:t>
            </w:r>
          </w:p>
        </w:tc>
        <w:tc>
          <w:tcPr>
            <w:tcW w:w="6743" w:type="dxa"/>
            <w:shd w:val="clear" w:color="auto" w:fill="auto"/>
            <w:vAlign w:val="center"/>
            <w:hideMark/>
          </w:tcPr>
          <w:p w14:paraId="5A187642"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val="en-US" w:eastAsia="en-NZ"/>
              </w:rPr>
              <w:t>Care, respect, hospitality. Enhancing the mana of others</w:t>
            </w:r>
            <w:r>
              <w:rPr>
                <w:lang w:val="en-US" w:eastAsia="en-NZ"/>
              </w:rPr>
              <w:t>.</w:t>
            </w:r>
            <w:r w:rsidRPr="000B6CA0">
              <w:rPr>
                <w:lang w:eastAsia="en-NZ"/>
              </w:rPr>
              <w:t> </w:t>
            </w:r>
          </w:p>
        </w:tc>
      </w:tr>
      <w:tr w:rsidR="002649C4" w:rsidRPr="000B6CA0" w14:paraId="2357B746" w14:textId="77777777" w:rsidTr="00093A20">
        <w:trPr>
          <w:trHeight w:val="300"/>
        </w:trPr>
        <w:tc>
          <w:tcPr>
            <w:tcW w:w="2267" w:type="dxa"/>
            <w:shd w:val="clear" w:color="auto" w:fill="auto"/>
            <w:vAlign w:val="center"/>
            <w:hideMark/>
          </w:tcPr>
          <w:p w14:paraId="2CD4844D" w14:textId="77777777" w:rsidR="002649C4" w:rsidRPr="003626D6" w:rsidRDefault="002649C4" w:rsidP="00093A20">
            <w:pPr>
              <w:spacing w:before="120" w:after="120"/>
              <w:rPr>
                <w:rFonts w:ascii="Times New Roman" w:hAnsi="Times New Roman" w:cs="Times New Roman"/>
                <w:b/>
                <w:bCs/>
                <w:sz w:val="24"/>
                <w:szCs w:val="24"/>
                <w:lang w:eastAsia="en-NZ"/>
              </w:rPr>
            </w:pPr>
            <w:r w:rsidRPr="003626D6">
              <w:rPr>
                <w:b/>
                <w:bCs/>
                <w:lang w:eastAsia="en-NZ"/>
              </w:rPr>
              <w:t>Mana Motuhake </w:t>
            </w:r>
          </w:p>
        </w:tc>
        <w:tc>
          <w:tcPr>
            <w:tcW w:w="6743" w:type="dxa"/>
            <w:shd w:val="clear" w:color="auto" w:fill="auto"/>
            <w:vAlign w:val="center"/>
            <w:hideMark/>
          </w:tcPr>
          <w:p w14:paraId="6FE445D4"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val="en-US" w:eastAsia="en-NZ"/>
              </w:rPr>
              <w:t>Prestige, power, authority. Power, influence. The spiritual power and authority to enhance and restore </w:t>
            </w:r>
            <w:proofErr w:type="spellStart"/>
            <w:r w:rsidRPr="000B6CA0">
              <w:rPr>
                <w:lang w:val="en-US" w:eastAsia="en-NZ"/>
              </w:rPr>
              <w:t>tapu</w:t>
            </w:r>
            <w:proofErr w:type="spellEnd"/>
            <w:r>
              <w:rPr>
                <w:lang w:val="en-US" w:eastAsia="en-NZ"/>
              </w:rPr>
              <w:t>.</w:t>
            </w:r>
            <w:r w:rsidRPr="000B6CA0">
              <w:rPr>
                <w:lang w:eastAsia="en-NZ"/>
              </w:rPr>
              <w:t>  </w:t>
            </w:r>
          </w:p>
        </w:tc>
      </w:tr>
      <w:tr w:rsidR="002649C4" w:rsidRPr="000B6CA0" w14:paraId="60D79AE2" w14:textId="77777777" w:rsidTr="00093A20">
        <w:trPr>
          <w:trHeight w:val="300"/>
        </w:trPr>
        <w:tc>
          <w:tcPr>
            <w:tcW w:w="2267" w:type="dxa"/>
            <w:shd w:val="clear" w:color="auto" w:fill="auto"/>
            <w:vAlign w:val="center"/>
            <w:hideMark/>
          </w:tcPr>
          <w:p w14:paraId="771EC993" w14:textId="77777777" w:rsidR="002649C4" w:rsidRPr="003626D6" w:rsidRDefault="002649C4" w:rsidP="00093A20">
            <w:pPr>
              <w:spacing w:before="120" w:after="120"/>
              <w:rPr>
                <w:rFonts w:ascii="Times New Roman" w:hAnsi="Times New Roman" w:cs="Times New Roman"/>
                <w:b/>
                <w:bCs/>
                <w:sz w:val="24"/>
                <w:szCs w:val="24"/>
                <w:lang w:eastAsia="en-NZ"/>
              </w:rPr>
            </w:pPr>
            <w:r w:rsidRPr="003626D6">
              <w:rPr>
                <w:b/>
                <w:bCs/>
                <w:lang w:eastAsia="en-NZ"/>
              </w:rPr>
              <w:t>Mana whenua </w:t>
            </w:r>
          </w:p>
        </w:tc>
        <w:tc>
          <w:tcPr>
            <w:tcW w:w="6743" w:type="dxa"/>
            <w:shd w:val="clear" w:color="auto" w:fill="auto"/>
            <w:vAlign w:val="center"/>
            <w:hideMark/>
          </w:tcPr>
          <w:p w14:paraId="732801BD"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eastAsia="en-NZ"/>
              </w:rPr>
              <w:t>Territorial/occupation rights over land and associated resources</w:t>
            </w:r>
            <w:r>
              <w:rPr>
                <w:lang w:eastAsia="en-NZ"/>
              </w:rPr>
              <w:t>.</w:t>
            </w:r>
            <w:r w:rsidRPr="000B6CA0">
              <w:rPr>
                <w:lang w:eastAsia="en-NZ"/>
              </w:rPr>
              <w:t> </w:t>
            </w:r>
          </w:p>
        </w:tc>
      </w:tr>
      <w:tr w:rsidR="002649C4" w:rsidRPr="000B6CA0" w14:paraId="5DBE0408" w14:textId="77777777" w:rsidTr="00093A20">
        <w:trPr>
          <w:trHeight w:val="300"/>
        </w:trPr>
        <w:tc>
          <w:tcPr>
            <w:tcW w:w="2267" w:type="dxa"/>
            <w:shd w:val="clear" w:color="auto" w:fill="auto"/>
            <w:vAlign w:val="center"/>
            <w:hideMark/>
          </w:tcPr>
          <w:p w14:paraId="4A5DA73E" w14:textId="77777777" w:rsidR="002649C4" w:rsidRPr="003626D6" w:rsidRDefault="002649C4" w:rsidP="00093A20">
            <w:pPr>
              <w:spacing w:before="120" w:after="120"/>
              <w:rPr>
                <w:rFonts w:ascii="Times New Roman" w:hAnsi="Times New Roman" w:cs="Times New Roman"/>
                <w:b/>
                <w:bCs/>
                <w:sz w:val="24"/>
                <w:szCs w:val="24"/>
                <w:lang w:eastAsia="en-NZ"/>
              </w:rPr>
            </w:pPr>
            <w:proofErr w:type="spellStart"/>
            <w:r w:rsidRPr="003626D6">
              <w:rPr>
                <w:b/>
                <w:bCs/>
                <w:lang w:eastAsia="en-NZ"/>
              </w:rPr>
              <w:t>Mātauranga</w:t>
            </w:r>
            <w:proofErr w:type="spellEnd"/>
            <w:r w:rsidRPr="003626D6">
              <w:rPr>
                <w:b/>
                <w:bCs/>
                <w:lang w:eastAsia="en-NZ"/>
              </w:rPr>
              <w:t xml:space="preserve"> Māori </w:t>
            </w:r>
          </w:p>
        </w:tc>
        <w:tc>
          <w:tcPr>
            <w:tcW w:w="6743" w:type="dxa"/>
            <w:shd w:val="clear" w:color="auto" w:fill="auto"/>
            <w:vAlign w:val="center"/>
            <w:hideMark/>
          </w:tcPr>
          <w:p w14:paraId="05E5D8E2"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val="en-US" w:eastAsia="en-NZ"/>
              </w:rPr>
              <w:t>Māori knowledge</w:t>
            </w:r>
            <w:r w:rsidRPr="000B6CA0">
              <w:rPr>
                <w:lang w:eastAsia="en-NZ"/>
              </w:rPr>
              <w:t> systems</w:t>
            </w:r>
            <w:r>
              <w:rPr>
                <w:lang w:eastAsia="en-NZ"/>
              </w:rPr>
              <w:t>.</w:t>
            </w:r>
            <w:r w:rsidRPr="000B6CA0">
              <w:rPr>
                <w:lang w:eastAsia="en-NZ"/>
              </w:rPr>
              <w:t> </w:t>
            </w:r>
          </w:p>
        </w:tc>
      </w:tr>
      <w:tr w:rsidR="002649C4" w:rsidRPr="000B6CA0" w14:paraId="034BDC7D" w14:textId="77777777" w:rsidTr="00093A20">
        <w:trPr>
          <w:trHeight w:val="300"/>
        </w:trPr>
        <w:tc>
          <w:tcPr>
            <w:tcW w:w="2267" w:type="dxa"/>
            <w:shd w:val="clear" w:color="auto" w:fill="auto"/>
            <w:vAlign w:val="center"/>
            <w:hideMark/>
          </w:tcPr>
          <w:p w14:paraId="5DAD8E02" w14:textId="77777777" w:rsidR="002649C4" w:rsidRPr="003626D6" w:rsidRDefault="002649C4" w:rsidP="00093A20">
            <w:pPr>
              <w:spacing w:before="120" w:after="120"/>
              <w:rPr>
                <w:rFonts w:ascii="Times New Roman" w:hAnsi="Times New Roman" w:cs="Times New Roman"/>
                <w:b/>
                <w:bCs/>
                <w:sz w:val="24"/>
                <w:szCs w:val="24"/>
                <w:lang w:eastAsia="en-NZ"/>
              </w:rPr>
            </w:pPr>
            <w:proofErr w:type="spellStart"/>
            <w:r w:rsidRPr="003626D6">
              <w:rPr>
                <w:b/>
                <w:bCs/>
                <w:lang w:eastAsia="en-NZ"/>
              </w:rPr>
              <w:t>Papakāinga</w:t>
            </w:r>
            <w:proofErr w:type="spellEnd"/>
            <w:r w:rsidRPr="003626D6">
              <w:rPr>
                <w:b/>
                <w:bCs/>
                <w:lang w:eastAsia="en-NZ"/>
              </w:rPr>
              <w:t> </w:t>
            </w:r>
          </w:p>
        </w:tc>
        <w:tc>
          <w:tcPr>
            <w:tcW w:w="6743" w:type="dxa"/>
            <w:shd w:val="clear" w:color="auto" w:fill="auto"/>
            <w:vAlign w:val="center"/>
            <w:hideMark/>
          </w:tcPr>
          <w:p w14:paraId="662DBA2A"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eastAsia="en-NZ"/>
              </w:rPr>
              <w:t>Home, village, residence, in contemporary terms refers to housing, or housing development constructed on the concept of the </w:t>
            </w:r>
            <w:proofErr w:type="spellStart"/>
            <w:r w:rsidRPr="000B6CA0">
              <w:rPr>
                <w:lang w:eastAsia="en-NZ"/>
              </w:rPr>
              <w:t>kāinga</w:t>
            </w:r>
            <w:proofErr w:type="spellEnd"/>
            <w:r w:rsidRPr="000B6CA0">
              <w:rPr>
                <w:lang w:eastAsia="en-NZ"/>
              </w:rPr>
              <w:t>/</w:t>
            </w:r>
            <w:proofErr w:type="spellStart"/>
            <w:r w:rsidRPr="000B6CA0">
              <w:rPr>
                <w:lang w:eastAsia="en-NZ"/>
              </w:rPr>
              <w:t>pā</w:t>
            </w:r>
            <w:proofErr w:type="spellEnd"/>
            <w:r>
              <w:rPr>
                <w:lang w:eastAsia="en-NZ"/>
              </w:rPr>
              <w:t>.</w:t>
            </w:r>
            <w:r w:rsidRPr="000B6CA0">
              <w:rPr>
                <w:lang w:eastAsia="en-NZ"/>
              </w:rPr>
              <w:t> </w:t>
            </w:r>
          </w:p>
        </w:tc>
      </w:tr>
      <w:tr w:rsidR="002649C4" w:rsidRPr="000B6CA0" w14:paraId="110EC346" w14:textId="77777777" w:rsidTr="00093A20">
        <w:trPr>
          <w:trHeight w:val="300"/>
        </w:trPr>
        <w:tc>
          <w:tcPr>
            <w:tcW w:w="2267" w:type="dxa"/>
            <w:shd w:val="clear" w:color="auto" w:fill="auto"/>
            <w:vAlign w:val="center"/>
            <w:hideMark/>
          </w:tcPr>
          <w:p w14:paraId="10566B39" w14:textId="77777777" w:rsidR="002649C4" w:rsidRPr="003626D6" w:rsidRDefault="002649C4" w:rsidP="00093A20">
            <w:pPr>
              <w:spacing w:before="120" w:after="120"/>
              <w:rPr>
                <w:rFonts w:ascii="Times New Roman" w:hAnsi="Times New Roman" w:cs="Times New Roman"/>
                <w:b/>
                <w:bCs/>
                <w:sz w:val="24"/>
                <w:szCs w:val="24"/>
                <w:lang w:eastAsia="en-NZ"/>
              </w:rPr>
            </w:pPr>
            <w:r w:rsidRPr="003626D6">
              <w:rPr>
                <w:b/>
                <w:bCs/>
                <w:lang w:eastAsia="en-NZ"/>
              </w:rPr>
              <w:t>Rangatira </w:t>
            </w:r>
          </w:p>
        </w:tc>
        <w:tc>
          <w:tcPr>
            <w:tcW w:w="6743" w:type="dxa"/>
            <w:shd w:val="clear" w:color="auto" w:fill="auto"/>
            <w:vAlign w:val="center"/>
            <w:hideMark/>
          </w:tcPr>
          <w:p w14:paraId="5E5C2BF2"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val="en-US" w:eastAsia="en-NZ"/>
              </w:rPr>
              <w:t>Chief, leader, representative/s with authority</w:t>
            </w:r>
            <w:r>
              <w:rPr>
                <w:lang w:val="en-US" w:eastAsia="en-NZ"/>
              </w:rPr>
              <w:t>.</w:t>
            </w:r>
            <w:r w:rsidRPr="000B6CA0">
              <w:rPr>
                <w:lang w:eastAsia="en-NZ"/>
              </w:rPr>
              <w:t> </w:t>
            </w:r>
          </w:p>
        </w:tc>
      </w:tr>
      <w:tr w:rsidR="002649C4" w:rsidRPr="000B6CA0" w14:paraId="6CEFF502" w14:textId="77777777" w:rsidTr="00093A20">
        <w:trPr>
          <w:trHeight w:val="300"/>
        </w:trPr>
        <w:tc>
          <w:tcPr>
            <w:tcW w:w="2267" w:type="dxa"/>
            <w:shd w:val="clear" w:color="auto" w:fill="auto"/>
            <w:vAlign w:val="center"/>
            <w:hideMark/>
          </w:tcPr>
          <w:p w14:paraId="7E661E88" w14:textId="77777777" w:rsidR="002649C4" w:rsidRPr="003626D6" w:rsidRDefault="002649C4" w:rsidP="00093A20">
            <w:pPr>
              <w:spacing w:before="120" w:after="120"/>
              <w:rPr>
                <w:rFonts w:ascii="Times New Roman" w:hAnsi="Times New Roman" w:cs="Times New Roman"/>
                <w:b/>
                <w:bCs/>
                <w:sz w:val="24"/>
                <w:szCs w:val="24"/>
                <w:lang w:eastAsia="en-NZ"/>
              </w:rPr>
            </w:pPr>
            <w:r w:rsidRPr="003626D6">
              <w:rPr>
                <w:b/>
                <w:bCs/>
                <w:lang w:eastAsia="en-NZ"/>
              </w:rPr>
              <w:t>Rangatiratanga </w:t>
            </w:r>
          </w:p>
        </w:tc>
        <w:tc>
          <w:tcPr>
            <w:tcW w:w="6743" w:type="dxa"/>
            <w:shd w:val="clear" w:color="auto" w:fill="auto"/>
            <w:vAlign w:val="center"/>
            <w:hideMark/>
          </w:tcPr>
          <w:p w14:paraId="2EAE39E6"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val="en-US" w:eastAsia="en-NZ"/>
              </w:rPr>
              <w:t>Chieftainship, right to exercise authority</w:t>
            </w:r>
            <w:r>
              <w:rPr>
                <w:lang w:val="en-US" w:eastAsia="en-NZ"/>
              </w:rPr>
              <w:t>.</w:t>
            </w:r>
            <w:r w:rsidRPr="000B6CA0">
              <w:rPr>
                <w:lang w:eastAsia="en-NZ"/>
              </w:rPr>
              <w:t> </w:t>
            </w:r>
          </w:p>
        </w:tc>
      </w:tr>
      <w:tr w:rsidR="002649C4" w:rsidRPr="000B6CA0" w14:paraId="7FF85445" w14:textId="77777777" w:rsidTr="00093A20">
        <w:trPr>
          <w:trHeight w:val="300"/>
        </w:trPr>
        <w:tc>
          <w:tcPr>
            <w:tcW w:w="2267" w:type="dxa"/>
            <w:shd w:val="clear" w:color="auto" w:fill="auto"/>
            <w:vAlign w:val="center"/>
            <w:hideMark/>
          </w:tcPr>
          <w:p w14:paraId="4C97405E" w14:textId="77777777" w:rsidR="002649C4" w:rsidRPr="003626D6" w:rsidRDefault="002649C4" w:rsidP="00093A20">
            <w:pPr>
              <w:spacing w:before="120" w:after="120"/>
              <w:rPr>
                <w:rFonts w:ascii="Times New Roman" w:hAnsi="Times New Roman" w:cs="Times New Roman"/>
                <w:b/>
                <w:bCs/>
                <w:sz w:val="24"/>
                <w:szCs w:val="24"/>
                <w:lang w:eastAsia="en-NZ"/>
              </w:rPr>
            </w:pPr>
            <w:proofErr w:type="spellStart"/>
            <w:r w:rsidRPr="003626D6">
              <w:rPr>
                <w:b/>
                <w:bCs/>
                <w:lang w:eastAsia="en-NZ"/>
              </w:rPr>
              <w:t>Taiao</w:t>
            </w:r>
            <w:proofErr w:type="spellEnd"/>
            <w:r w:rsidRPr="003626D6">
              <w:rPr>
                <w:b/>
                <w:bCs/>
                <w:lang w:eastAsia="en-NZ"/>
              </w:rPr>
              <w:t>/</w:t>
            </w:r>
            <w:proofErr w:type="spellStart"/>
            <w:r w:rsidRPr="003626D6">
              <w:rPr>
                <w:b/>
                <w:bCs/>
                <w:lang w:eastAsia="en-NZ"/>
              </w:rPr>
              <w:t>Te</w:t>
            </w:r>
            <w:proofErr w:type="spellEnd"/>
            <w:r w:rsidRPr="003626D6">
              <w:rPr>
                <w:b/>
                <w:bCs/>
                <w:lang w:eastAsia="en-NZ"/>
              </w:rPr>
              <w:t xml:space="preserve"> </w:t>
            </w:r>
            <w:proofErr w:type="spellStart"/>
            <w:r w:rsidRPr="003626D6">
              <w:rPr>
                <w:b/>
                <w:bCs/>
                <w:lang w:eastAsia="en-NZ"/>
              </w:rPr>
              <w:t>Ao</w:t>
            </w:r>
            <w:proofErr w:type="spellEnd"/>
            <w:r w:rsidRPr="003626D6">
              <w:rPr>
                <w:b/>
                <w:bCs/>
                <w:lang w:eastAsia="en-NZ"/>
              </w:rPr>
              <w:t> </w:t>
            </w:r>
            <w:proofErr w:type="spellStart"/>
            <w:r w:rsidRPr="003626D6">
              <w:rPr>
                <w:b/>
                <w:bCs/>
                <w:lang w:eastAsia="en-NZ"/>
              </w:rPr>
              <w:t>Tūroa</w:t>
            </w:r>
            <w:proofErr w:type="spellEnd"/>
            <w:r w:rsidRPr="003626D6">
              <w:rPr>
                <w:b/>
                <w:bCs/>
                <w:lang w:eastAsia="en-NZ"/>
              </w:rPr>
              <w:t> </w:t>
            </w:r>
          </w:p>
        </w:tc>
        <w:tc>
          <w:tcPr>
            <w:tcW w:w="6743" w:type="dxa"/>
            <w:shd w:val="clear" w:color="auto" w:fill="auto"/>
            <w:vAlign w:val="center"/>
            <w:hideMark/>
          </w:tcPr>
          <w:p w14:paraId="618D2CB0"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val="en-US" w:eastAsia="en-NZ"/>
              </w:rPr>
              <w:t>Natural world</w:t>
            </w:r>
            <w:r>
              <w:rPr>
                <w:lang w:val="en-US" w:eastAsia="en-NZ"/>
              </w:rPr>
              <w:t>.</w:t>
            </w:r>
            <w:r w:rsidRPr="000B6CA0">
              <w:rPr>
                <w:lang w:eastAsia="en-NZ"/>
              </w:rPr>
              <w:t>  </w:t>
            </w:r>
          </w:p>
        </w:tc>
      </w:tr>
      <w:tr w:rsidR="002649C4" w:rsidRPr="000B6CA0" w14:paraId="256522F6" w14:textId="77777777" w:rsidTr="00093A20">
        <w:trPr>
          <w:trHeight w:val="300"/>
        </w:trPr>
        <w:tc>
          <w:tcPr>
            <w:tcW w:w="2267" w:type="dxa"/>
            <w:shd w:val="clear" w:color="auto" w:fill="auto"/>
            <w:vAlign w:val="center"/>
            <w:hideMark/>
          </w:tcPr>
          <w:p w14:paraId="74C5D054" w14:textId="77777777" w:rsidR="002649C4" w:rsidRPr="003626D6" w:rsidRDefault="002649C4" w:rsidP="00093A20">
            <w:pPr>
              <w:spacing w:before="120" w:after="120"/>
              <w:rPr>
                <w:rFonts w:ascii="Times New Roman" w:hAnsi="Times New Roman" w:cs="Times New Roman"/>
                <w:b/>
                <w:bCs/>
                <w:sz w:val="24"/>
                <w:szCs w:val="24"/>
                <w:lang w:eastAsia="en-NZ"/>
              </w:rPr>
            </w:pPr>
            <w:proofErr w:type="spellStart"/>
            <w:r w:rsidRPr="003626D6">
              <w:rPr>
                <w:b/>
                <w:bCs/>
                <w:lang w:eastAsia="en-NZ"/>
              </w:rPr>
              <w:t>Tangata</w:t>
            </w:r>
            <w:proofErr w:type="spellEnd"/>
            <w:r w:rsidRPr="003626D6">
              <w:rPr>
                <w:b/>
                <w:bCs/>
                <w:lang w:eastAsia="en-NZ"/>
              </w:rPr>
              <w:t> whenua </w:t>
            </w:r>
          </w:p>
        </w:tc>
        <w:tc>
          <w:tcPr>
            <w:tcW w:w="6743" w:type="dxa"/>
            <w:shd w:val="clear" w:color="auto" w:fill="auto"/>
            <w:vAlign w:val="center"/>
            <w:hideMark/>
          </w:tcPr>
          <w:p w14:paraId="63D60AB1"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val="en-US" w:eastAsia="en-NZ"/>
              </w:rPr>
              <w:t>People of the land</w:t>
            </w:r>
            <w:r>
              <w:rPr>
                <w:lang w:val="en-US" w:eastAsia="en-NZ"/>
              </w:rPr>
              <w:t>.</w:t>
            </w:r>
            <w:r w:rsidRPr="000B6CA0">
              <w:rPr>
                <w:lang w:eastAsia="en-NZ"/>
              </w:rPr>
              <w:t> </w:t>
            </w:r>
          </w:p>
        </w:tc>
      </w:tr>
      <w:tr w:rsidR="002649C4" w:rsidRPr="000B6CA0" w14:paraId="130F9F1E" w14:textId="77777777" w:rsidTr="00093A20">
        <w:trPr>
          <w:trHeight w:val="300"/>
        </w:trPr>
        <w:tc>
          <w:tcPr>
            <w:tcW w:w="2267" w:type="dxa"/>
            <w:shd w:val="clear" w:color="auto" w:fill="auto"/>
            <w:vAlign w:val="center"/>
            <w:hideMark/>
          </w:tcPr>
          <w:p w14:paraId="33FAF81B" w14:textId="77777777" w:rsidR="002649C4" w:rsidRPr="003626D6" w:rsidRDefault="002649C4" w:rsidP="00093A20">
            <w:pPr>
              <w:spacing w:before="120" w:after="120"/>
              <w:rPr>
                <w:rFonts w:ascii="Times New Roman" w:hAnsi="Times New Roman" w:cs="Times New Roman"/>
                <w:b/>
                <w:bCs/>
                <w:sz w:val="24"/>
                <w:szCs w:val="24"/>
                <w:lang w:eastAsia="en-NZ"/>
              </w:rPr>
            </w:pPr>
            <w:r w:rsidRPr="003626D6">
              <w:rPr>
                <w:b/>
                <w:bCs/>
                <w:lang w:eastAsia="en-NZ"/>
              </w:rPr>
              <w:t>Taonga </w:t>
            </w:r>
          </w:p>
        </w:tc>
        <w:tc>
          <w:tcPr>
            <w:tcW w:w="6743" w:type="dxa"/>
            <w:shd w:val="clear" w:color="auto" w:fill="auto"/>
            <w:vAlign w:val="center"/>
            <w:hideMark/>
          </w:tcPr>
          <w:p w14:paraId="3E0CFB40" w14:textId="77777777" w:rsidR="002649C4" w:rsidRPr="000B6CA0" w:rsidRDefault="002649C4" w:rsidP="00093A20">
            <w:pPr>
              <w:spacing w:before="120" w:after="120"/>
              <w:rPr>
                <w:rFonts w:ascii="Times New Roman" w:hAnsi="Times New Roman" w:cs="Times New Roman"/>
                <w:sz w:val="24"/>
                <w:szCs w:val="24"/>
                <w:lang w:eastAsia="en-NZ"/>
              </w:rPr>
            </w:pPr>
            <w:r w:rsidRPr="4B1B8155">
              <w:rPr>
                <w:lang w:val="en-US" w:eastAsia="en-NZ"/>
              </w:rPr>
              <w:t>Items of value</w:t>
            </w:r>
            <w:r w:rsidRPr="4B1B8155">
              <w:rPr>
                <w:u w:val="single"/>
                <w:lang w:val="en-US" w:eastAsia="en-NZ"/>
              </w:rPr>
              <w:t>;</w:t>
            </w:r>
            <w:r w:rsidRPr="4B1B8155">
              <w:rPr>
                <w:lang w:val="en-US" w:eastAsia="en-NZ"/>
              </w:rPr>
              <w:t xml:space="preserve"> includes resources/access to resources. In </w:t>
            </w:r>
            <w:proofErr w:type="spellStart"/>
            <w:r w:rsidRPr="4B1B8155">
              <w:rPr>
                <w:lang w:val="en-US" w:eastAsia="en-NZ"/>
              </w:rPr>
              <w:t>Te</w:t>
            </w:r>
            <w:proofErr w:type="spellEnd"/>
            <w:r w:rsidRPr="4B1B8155">
              <w:rPr>
                <w:lang w:val="en-US" w:eastAsia="en-NZ"/>
              </w:rPr>
              <w:t xml:space="preserve"> </w:t>
            </w:r>
            <w:proofErr w:type="spellStart"/>
            <w:r w:rsidRPr="4B1B8155">
              <w:rPr>
                <w:lang w:val="en-US" w:eastAsia="en-NZ"/>
              </w:rPr>
              <w:t>Ao</w:t>
            </w:r>
            <w:proofErr w:type="spellEnd"/>
            <w:r w:rsidRPr="4B1B8155">
              <w:rPr>
                <w:lang w:val="en-US" w:eastAsia="en-NZ"/>
              </w:rPr>
              <w:t xml:space="preserve"> M</w:t>
            </w:r>
            <w:r w:rsidRPr="4B1B8155">
              <w:rPr>
                <w:lang w:val="mi-NZ" w:eastAsia="en-NZ"/>
              </w:rPr>
              <w:t>ā</w:t>
            </w:r>
            <w:proofErr w:type="spellStart"/>
            <w:r w:rsidRPr="4B1B8155">
              <w:rPr>
                <w:lang w:val="en-US" w:eastAsia="en-NZ"/>
              </w:rPr>
              <w:t>ori</w:t>
            </w:r>
            <w:proofErr w:type="spellEnd"/>
            <w:r w:rsidRPr="4B1B8155">
              <w:rPr>
                <w:lang w:val="en-US" w:eastAsia="en-NZ"/>
              </w:rPr>
              <w:t> taonga incorporates a range of social, economic and cultural aspects such as </w:t>
            </w:r>
            <w:proofErr w:type="spellStart"/>
            <w:r w:rsidRPr="4B1B8155">
              <w:rPr>
                <w:lang w:val="en-US" w:eastAsia="en-NZ"/>
              </w:rPr>
              <w:t>te</w:t>
            </w:r>
            <w:proofErr w:type="spellEnd"/>
            <w:r w:rsidRPr="4B1B8155">
              <w:rPr>
                <w:lang w:val="en-US" w:eastAsia="en-NZ"/>
              </w:rPr>
              <w:t xml:space="preserve"> </w:t>
            </w:r>
            <w:proofErr w:type="spellStart"/>
            <w:r w:rsidRPr="4B1B8155">
              <w:rPr>
                <w:lang w:val="en-US" w:eastAsia="en-NZ"/>
              </w:rPr>
              <w:t>reo</w:t>
            </w:r>
            <w:proofErr w:type="spellEnd"/>
            <w:r w:rsidRPr="4B1B8155">
              <w:rPr>
                <w:lang w:val="en-US" w:eastAsia="en-NZ"/>
              </w:rPr>
              <w:t xml:space="preserve"> (Māori language), </w:t>
            </w:r>
            <w:proofErr w:type="spellStart"/>
            <w:r w:rsidRPr="4B1B8155">
              <w:rPr>
                <w:lang w:val="en-US" w:eastAsia="en-NZ"/>
              </w:rPr>
              <w:t>wāhi</w:t>
            </w:r>
            <w:proofErr w:type="spellEnd"/>
            <w:r w:rsidRPr="4B1B8155">
              <w:rPr>
                <w:lang w:val="en-US" w:eastAsia="en-NZ"/>
              </w:rPr>
              <w:t> </w:t>
            </w:r>
            <w:proofErr w:type="spellStart"/>
            <w:r w:rsidRPr="4B1B8155">
              <w:rPr>
                <w:lang w:val="en-US" w:eastAsia="en-NZ"/>
              </w:rPr>
              <w:t>tapu</w:t>
            </w:r>
            <w:proofErr w:type="spellEnd"/>
            <w:r w:rsidRPr="4B1B8155">
              <w:rPr>
                <w:lang w:val="en-US" w:eastAsia="en-NZ"/>
              </w:rPr>
              <w:t xml:space="preserve"> (sacred sites), waterways, </w:t>
            </w:r>
            <w:r w:rsidRPr="4B1B8155">
              <w:rPr>
                <w:lang w:val="en-US" w:eastAsia="en-NZ"/>
              </w:rPr>
              <w:lastRenderedPageBreak/>
              <w:t>fishing grounds, mountains and place names. Children and future generations may also be regarded as taonga</w:t>
            </w:r>
            <w:r>
              <w:rPr>
                <w:lang w:val="en-US" w:eastAsia="en-NZ"/>
              </w:rPr>
              <w:t>.</w:t>
            </w:r>
            <w:r w:rsidRPr="4B1B8155">
              <w:rPr>
                <w:lang w:eastAsia="en-NZ"/>
              </w:rPr>
              <w:t> </w:t>
            </w:r>
          </w:p>
        </w:tc>
      </w:tr>
      <w:tr w:rsidR="002649C4" w:rsidRPr="000B6CA0" w14:paraId="46A2416A" w14:textId="77777777" w:rsidTr="00093A20">
        <w:trPr>
          <w:trHeight w:val="300"/>
        </w:trPr>
        <w:tc>
          <w:tcPr>
            <w:tcW w:w="2267" w:type="dxa"/>
            <w:shd w:val="clear" w:color="auto" w:fill="auto"/>
            <w:vAlign w:val="center"/>
            <w:hideMark/>
          </w:tcPr>
          <w:p w14:paraId="595805B5" w14:textId="77777777" w:rsidR="002649C4" w:rsidRPr="003626D6" w:rsidRDefault="002649C4" w:rsidP="00093A20">
            <w:pPr>
              <w:spacing w:before="120" w:after="120"/>
              <w:rPr>
                <w:rFonts w:ascii="Times New Roman" w:hAnsi="Times New Roman" w:cs="Times New Roman"/>
                <w:b/>
                <w:bCs/>
                <w:sz w:val="24"/>
                <w:szCs w:val="24"/>
                <w:lang w:eastAsia="en-NZ"/>
              </w:rPr>
            </w:pPr>
            <w:r w:rsidRPr="003626D6">
              <w:rPr>
                <w:b/>
                <w:bCs/>
                <w:lang w:eastAsia="en-NZ"/>
              </w:rPr>
              <w:lastRenderedPageBreak/>
              <w:t>Taonga </w:t>
            </w:r>
            <w:proofErr w:type="spellStart"/>
            <w:r w:rsidRPr="003626D6">
              <w:rPr>
                <w:b/>
                <w:bCs/>
                <w:lang w:eastAsia="en-NZ"/>
              </w:rPr>
              <w:t>tuku</w:t>
            </w:r>
            <w:proofErr w:type="spellEnd"/>
            <w:r w:rsidRPr="003626D6">
              <w:rPr>
                <w:b/>
                <w:bCs/>
                <w:lang w:eastAsia="en-NZ"/>
              </w:rPr>
              <w:t> </w:t>
            </w:r>
            <w:proofErr w:type="spellStart"/>
            <w:r w:rsidRPr="003626D6">
              <w:rPr>
                <w:b/>
                <w:bCs/>
                <w:lang w:eastAsia="en-NZ"/>
              </w:rPr>
              <w:t>iho</w:t>
            </w:r>
            <w:proofErr w:type="spellEnd"/>
            <w:r w:rsidRPr="003626D6">
              <w:rPr>
                <w:b/>
                <w:bCs/>
                <w:lang w:eastAsia="en-NZ"/>
              </w:rPr>
              <w:t> </w:t>
            </w:r>
          </w:p>
        </w:tc>
        <w:tc>
          <w:tcPr>
            <w:tcW w:w="6743" w:type="dxa"/>
            <w:shd w:val="clear" w:color="auto" w:fill="auto"/>
            <w:vAlign w:val="center"/>
            <w:hideMark/>
          </w:tcPr>
          <w:p w14:paraId="20DFD95B"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val="en-US" w:eastAsia="en-NZ"/>
              </w:rPr>
              <w:t>Heirloom/cultural property handed down</w:t>
            </w:r>
            <w:r>
              <w:rPr>
                <w:lang w:val="en-US" w:eastAsia="en-NZ"/>
              </w:rPr>
              <w:t>.</w:t>
            </w:r>
            <w:r w:rsidRPr="000B6CA0">
              <w:rPr>
                <w:lang w:eastAsia="en-NZ"/>
              </w:rPr>
              <w:t>  </w:t>
            </w:r>
          </w:p>
        </w:tc>
      </w:tr>
      <w:tr w:rsidR="002649C4" w:rsidRPr="000B6CA0" w14:paraId="7A51987B" w14:textId="77777777" w:rsidTr="00093A20">
        <w:trPr>
          <w:trHeight w:val="300"/>
        </w:trPr>
        <w:tc>
          <w:tcPr>
            <w:tcW w:w="2267" w:type="dxa"/>
            <w:shd w:val="clear" w:color="auto" w:fill="auto"/>
            <w:vAlign w:val="center"/>
            <w:hideMark/>
          </w:tcPr>
          <w:p w14:paraId="59B452AD" w14:textId="77777777" w:rsidR="002649C4" w:rsidRPr="003626D6" w:rsidRDefault="002649C4" w:rsidP="00093A20">
            <w:pPr>
              <w:spacing w:before="120" w:after="120"/>
              <w:rPr>
                <w:rFonts w:ascii="Times New Roman" w:hAnsi="Times New Roman" w:cs="Times New Roman"/>
                <w:b/>
                <w:bCs/>
                <w:sz w:val="24"/>
                <w:szCs w:val="24"/>
                <w:lang w:eastAsia="en-NZ"/>
              </w:rPr>
            </w:pPr>
            <w:proofErr w:type="spellStart"/>
            <w:r w:rsidRPr="003626D6">
              <w:rPr>
                <w:b/>
                <w:bCs/>
                <w:lang w:eastAsia="en-NZ"/>
              </w:rPr>
              <w:t>Tiaki</w:t>
            </w:r>
            <w:proofErr w:type="spellEnd"/>
            <w:r w:rsidRPr="003626D6">
              <w:rPr>
                <w:b/>
                <w:bCs/>
                <w:lang w:eastAsia="en-NZ"/>
              </w:rPr>
              <w:t> (verb) </w:t>
            </w:r>
          </w:p>
        </w:tc>
        <w:tc>
          <w:tcPr>
            <w:tcW w:w="6743" w:type="dxa"/>
            <w:shd w:val="clear" w:color="auto" w:fill="auto"/>
            <w:vAlign w:val="center"/>
            <w:hideMark/>
          </w:tcPr>
          <w:p w14:paraId="75D4A883"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eastAsia="en-NZ"/>
              </w:rPr>
              <w:t>Guardian/steward. To safeguard/protect</w:t>
            </w:r>
            <w:r>
              <w:rPr>
                <w:lang w:eastAsia="en-NZ"/>
              </w:rPr>
              <w:t>.</w:t>
            </w:r>
            <w:r w:rsidRPr="000B6CA0">
              <w:rPr>
                <w:lang w:eastAsia="en-NZ"/>
              </w:rPr>
              <w:t> </w:t>
            </w:r>
          </w:p>
        </w:tc>
      </w:tr>
      <w:tr w:rsidR="002649C4" w:rsidRPr="000B6CA0" w14:paraId="02E3A59A" w14:textId="77777777" w:rsidTr="00093A20">
        <w:trPr>
          <w:trHeight w:val="300"/>
        </w:trPr>
        <w:tc>
          <w:tcPr>
            <w:tcW w:w="2267" w:type="dxa"/>
            <w:shd w:val="clear" w:color="auto" w:fill="auto"/>
            <w:vAlign w:val="center"/>
            <w:hideMark/>
          </w:tcPr>
          <w:p w14:paraId="2753A04B" w14:textId="77777777" w:rsidR="002649C4" w:rsidRPr="003626D6" w:rsidRDefault="002649C4" w:rsidP="00093A20">
            <w:pPr>
              <w:spacing w:before="120" w:after="120"/>
              <w:rPr>
                <w:rFonts w:ascii="Times New Roman" w:hAnsi="Times New Roman" w:cs="Times New Roman"/>
                <w:b/>
                <w:bCs/>
                <w:sz w:val="24"/>
                <w:szCs w:val="24"/>
                <w:lang w:eastAsia="en-NZ"/>
              </w:rPr>
            </w:pPr>
            <w:proofErr w:type="spellStart"/>
            <w:r w:rsidRPr="003626D6">
              <w:rPr>
                <w:b/>
                <w:bCs/>
                <w:lang w:eastAsia="en-NZ"/>
              </w:rPr>
              <w:t>Tiakitanga</w:t>
            </w:r>
            <w:proofErr w:type="spellEnd"/>
            <w:r w:rsidRPr="003626D6">
              <w:rPr>
                <w:b/>
                <w:bCs/>
                <w:lang w:eastAsia="en-NZ"/>
              </w:rPr>
              <w:t> (noun) </w:t>
            </w:r>
          </w:p>
        </w:tc>
        <w:tc>
          <w:tcPr>
            <w:tcW w:w="6743" w:type="dxa"/>
            <w:shd w:val="clear" w:color="auto" w:fill="auto"/>
            <w:vAlign w:val="center"/>
            <w:hideMark/>
          </w:tcPr>
          <w:p w14:paraId="4E392F97"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eastAsia="en-NZ"/>
              </w:rPr>
              <w:t>Guardianship, caring of, protection</w:t>
            </w:r>
            <w:r>
              <w:rPr>
                <w:lang w:eastAsia="en-NZ"/>
              </w:rPr>
              <w:t>.</w:t>
            </w:r>
            <w:r w:rsidRPr="000B6CA0">
              <w:rPr>
                <w:lang w:eastAsia="en-NZ"/>
              </w:rPr>
              <w:t> </w:t>
            </w:r>
          </w:p>
        </w:tc>
      </w:tr>
      <w:tr w:rsidR="002649C4" w:rsidRPr="000B6CA0" w14:paraId="692017D6" w14:textId="77777777" w:rsidTr="00093A20">
        <w:trPr>
          <w:trHeight w:val="300"/>
        </w:trPr>
        <w:tc>
          <w:tcPr>
            <w:tcW w:w="2267" w:type="dxa"/>
            <w:shd w:val="clear" w:color="auto" w:fill="auto"/>
            <w:vAlign w:val="center"/>
            <w:hideMark/>
          </w:tcPr>
          <w:p w14:paraId="7254AE14" w14:textId="77777777" w:rsidR="002649C4" w:rsidRPr="003626D6" w:rsidRDefault="002649C4" w:rsidP="00093A20">
            <w:pPr>
              <w:spacing w:before="120" w:after="120"/>
              <w:rPr>
                <w:rFonts w:ascii="Times New Roman" w:hAnsi="Times New Roman" w:cs="Times New Roman"/>
                <w:b/>
                <w:bCs/>
                <w:sz w:val="24"/>
                <w:szCs w:val="24"/>
                <w:lang w:eastAsia="en-NZ"/>
              </w:rPr>
            </w:pPr>
            <w:r w:rsidRPr="003626D6">
              <w:rPr>
                <w:b/>
                <w:bCs/>
                <w:lang w:eastAsia="en-NZ"/>
              </w:rPr>
              <w:t>Tikanga </w:t>
            </w:r>
          </w:p>
        </w:tc>
        <w:tc>
          <w:tcPr>
            <w:tcW w:w="6743" w:type="dxa"/>
            <w:shd w:val="clear" w:color="auto" w:fill="auto"/>
            <w:vAlign w:val="center"/>
            <w:hideMark/>
          </w:tcPr>
          <w:p w14:paraId="35A72AC2"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val="en-US" w:eastAsia="en-NZ"/>
              </w:rPr>
              <w:t>Customary system of values</w:t>
            </w:r>
            <w:r>
              <w:rPr>
                <w:lang w:val="en-US" w:eastAsia="en-NZ"/>
              </w:rPr>
              <w:t>.</w:t>
            </w:r>
            <w:r w:rsidRPr="000B6CA0">
              <w:rPr>
                <w:lang w:eastAsia="en-NZ"/>
              </w:rPr>
              <w:t> </w:t>
            </w:r>
          </w:p>
        </w:tc>
      </w:tr>
      <w:tr w:rsidR="002649C4" w:rsidRPr="000B6CA0" w14:paraId="23526E5B" w14:textId="77777777" w:rsidTr="00093A20">
        <w:trPr>
          <w:trHeight w:val="300"/>
        </w:trPr>
        <w:tc>
          <w:tcPr>
            <w:tcW w:w="2267" w:type="dxa"/>
            <w:shd w:val="clear" w:color="auto" w:fill="auto"/>
            <w:vAlign w:val="center"/>
            <w:hideMark/>
          </w:tcPr>
          <w:p w14:paraId="0F3F51E6" w14:textId="77777777" w:rsidR="002649C4" w:rsidRPr="003626D6" w:rsidRDefault="002649C4" w:rsidP="00093A20">
            <w:pPr>
              <w:spacing w:before="120" w:after="120"/>
              <w:rPr>
                <w:rFonts w:ascii="Times New Roman" w:hAnsi="Times New Roman" w:cs="Times New Roman"/>
                <w:b/>
                <w:bCs/>
                <w:sz w:val="24"/>
                <w:szCs w:val="24"/>
                <w:lang w:eastAsia="en-NZ"/>
              </w:rPr>
            </w:pPr>
            <w:r w:rsidRPr="003626D6">
              <w:rPr>
                <w:b/>
                <w:bCs/>
                <w:lang w:eastAsia="en-NZ"/>
              </w:rPr>
              <w:t>Tino rangatiratanga </w:t>
            </w:r>
          </w:p>
        </w:tc>
        <w:tc>
          <w:tcPr>
            <w:tcW w:w="6743" w:type="dxa"/>
            <w:shd w:val="clear" w:color="auto" w:fill="auto"/>
            <w:vAlign w:val="center"/>
            <w:hideMark/>
          </w:tcPr>
          <w:p w14:paraId="0B35A047"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val="en-US" w:eastAsia="en-NZ"/>
              </w:rPr>
              <w:t>Sovereignty</w:t>
            </w:r>
            <w:r>
              <w:rPr>
                <w:lang w:val="en-US" w:eastAsia="en-NZ"/>
              </w:rPr>
              <w:t>.</w:t>
            </w:r>
            <w:r w:rsidRPr="000B6CA0">
              <w:rPr>
                <w:lang w:eastAsia="en-NZ"/>
              </w:rPr>
              <w:t>  </w:t>
            </w:r>
          </w:p>
        </w:tc>
      </w:tr>
      <w:tr w:rsidR="002649C4" w:rsidRPr="000B6CA0" w14:paraId="755D2FD1" w14:textId="77777777" w:rsidTr="00093A20">
        <w:trPr>
          <w:trHeight w:val="300"/>
        </w:trPr>
        <w:tc>
          <w:tcPr>
            <w:tcW w:w="2267" w:type="dxa"/>
            <w:shd w:val="clear" w:color="auto" w:fill="auto"/>
            <w:vAlign w:val="center"/>
            <w:hideMark/>
          </w:tcPr>
          <w:p w14:paraId="2C605321" w14:textId="77777777" w:rsidR="002649C4" w:rsidRPr="003626D6" w:rsidRDefault="002649C4" w:rsidP="00093A20">
            <w:pPr>
              <w:spacing w:before="120" w:after="120"/>
              <w:rPr>
                <w:rFonts w:ascii="Times New Roman" w:hAnsi="Times New Roman" w:cs="Times New Roman"/>
                <w:b/>
                <w:bCs/>
                <w:sz w:val="24"/>
                <w:szCs w:val="24"/>
                <w:lang w:eastAsia="en-NZ"/>
              </w:rPr>
            </w:pPr>
            <w:proofErr w:type="spellStart"/>
            <w:r w:rsidRPr="003626D6">
              <w:rPr>
                <w:b/>
                <w:bCs/>
                <w:lang w:eastAsia="en-NZ"/>
              </w:rPr>
              <w:t>Tūrangawaewae</w:t>
            </w:r>
            <w:proofErr w:type="spellEnd"/>
            <w:r w:rsidRPr="003626D6">
              <w:rPr>
                <w:b/>
                <w:bCs/>
                <w:lang w:eastAsia="en-NZ"/>
              </w:rPr>
              <w:t> </w:t>
            </w:r>
          </w:p>
        </w:tc>
        <w:tc>
          <w:tcPr>
            <w:tcW w:w="6743" w:type="dxa"/>
            <w:shd w:val="clear" w:color="auto" w:fill="auto"/>
            <w:vAlign w:val="center"/>
            <w:hideMark/>
          </w:tcPr>
          <w:p w14:paraId="0661EA11"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eastAsia="en-NZ"/>
              </w:rPr>
              <w:t>Place of standing, place of belonging</w:t>
            </w:r>
            <w:r>
              <w:rPr>
                <w:lang w:eastAsia="en-NZ"/>
              </w:rPr>
              <w:t>.</w:t>
            </w:r>
            <w:r w:rsidRPr="000B6CA0">
              <w:rPr>
                <w:lang w:eastAsia="en-NZ"/>
              </w:rPr>
              <w:t> </w:t>
            </w:r>
          </w:p>
        </w:tc>
      </w:tr>
      <w:tr w:rsidR="002649C4" w:rsidRPr="000B6CA0" w14:paraId="5BFC6B9A" w14:textId="77777777" w:rsidTr="00093A20">
        <w:trPr>
          <w:trHeight w:val="300"/>
        </w:trPr>
        <w:tc>
          <w:tcPr>
            <w:tcW w:w="2267" w:type="dxa"/>
            <w:shd w:val="clear" w:color="auto" w:fill="auto"/>
            <w:vAlign w:val="center"/>
            <w:hideMark/>
          </w:tcPr>
          <w:p w14:paraId="1300541F" w14:textId="77777777" w:rsidR="002649C4" w:rsidRPr="003626D6" w:rsidRDefault="002649C4" w:rsidP="00093A20">
            <w:pPr>
              <w:spacing w:before="120" w:after="120"/>
              <w:rPr>
                <w:rFonts w:ascii="Times New Roman" w:hAnsi="Times New Roman" w:cs="Times New Roman"/>
                <w:b/>
                <w:bCs/>
                <w:sz w:val="24"/>
                <w:szCs w:val="24"/>
                <w:lang w:eastAsia="en-NZ"/>
              </w:rPr>
            </w:pPr>
            <w:r w:rsidRPr="003626D6">
              <w:rPr>
                <w:b/>
                <w:bCs/>
                <w:lang w:eastAsia="en-NZ"/>
              </w:rPr>
              <w:t>Utu </w:t>
            </w:r>
          </w:p>
        </w:tc>
        <w:tc>
          <w:tcPr>
            <w:tcW w:w="6743" w:type="dxa"/>
            <w:shd w:val="clear" w:color="auto" w:fill="auto"/>
            <w:vAlign w:val="center"/>
            <w:hideMark/>
          </w:tcPr>
          <w:p w14:paraId="0EA7F205"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val="en-US" w:eastAsia="en-NZ"/>
              </w:rPr>
              <w:t>Reciprocity</w:t>
            </w:r>
            <w:r>
              <w:rPr>
                <w:lang w:val="en-US" w:eastAsia="en-NZ"/>
              </w:rPr>
              <w:t>.</w:t>
            </w:r>
            <w:r w:rsidRPr="000B6CA0">
              <w:rPr>
                <w:lang w:eastAsia="en-NZ"/>
              </w:rPr>
              <w:t>  </w:t>
            </w:r>
          </w:p>
        </w:tc>
      </w:tr>
      <w:tr w:rsidR="002649C4" w:rsidRPr="000B6CA0" w14:paraId="29BE7CCC" w14:textId="77777777" w:rsidTr="00093A20">
        <w:trPr>
          <w:trHeight w:val="300"/>
        </w:trPr>
        <w:tc>
          <w:tcPr>
            <w:tcW w:w="2267" w:type="dxa"/>
            <w:shd w:val="clear" w:color="auto" w:fill="auto"/>
            <w:vAlign w:val="center"/>
            <w:hideMark/>
          </w:tcPr>
          <w:p w14:paraId="7DB8DF37" w14:textId="77777777" w:rsidR="002649C4" w:rsidRPr="003626D6" w:rsidRDefault="002649C4" w:rsidP="00093A20">
            <w:pPr>
              <w:spacing w:before="120" w:after="120"/>
              <w:rPr>
                <w:rFonts w:ascii="Times New Roman" w:hAnsi="Times New Roman" w:cs="Times New Roman"/>
                <w:b/>
                <w:bCs/>
                <w:sz w:val="24"/>
                <w:szCs w:val="24"/>
                <w:lang w:eastAsia="en-NZ"/>
              </w:rPr>
            </w:pPr>
            <w:proofErr w:type="spellStart"/>
            <w:r w:rsidRPr="003626D6">
              <w:rPr>
                <w:b/>
                <w:bCs/>
                <w:lang w:eastAsia="en-NZ"/>
              </w:rPr>
              <w:t>Waiora</w:t>
            </w:r>
            <w:proofErr w:type="spellEnd"/>
            <w:r w:rsidRPr="003626D6">
              <w:rPr>
                <w:b/>
                <w:bCs/>
                <w:lang w:eastAsia="en-NZ"/>
              </w:rPr>
              <w:t> </w:t>
            </w:r>
          </w:p>
        </w:tc>
        <w:tc>
          <w:tcPr>
            <w:tcW w:w="6743" w:type="dxa"/>
            <w:shd w:val="clear" w:color="auto" w:fill="auto"/>
            <w:vAlign w:val="center"/>
            <w:hideMark/>
          </w:tcPr>
          <w:p w14:paraId="38582CE1"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val="en-US" w:eastAsia="en-NZ"/>
              </w:rPr>
              <w:t>Wellbeing</w:t>
            </w:r>
            <w:r>
              <w:rPr>
                <w:lang w:val="en-US" w:eastAsia="en-NZ"/>
              </w:rPr>
              <w:t>.</w:t>
            </w:r>
            <w:r w:rsidRPr="000B6CA0">
              <w:rPr>
                <w:lang w:eastAsia="en-NZ"/>
              </w:rPr>
              <w:t>  </w:t>
            </w:r>
          </w:p>
        </w:tc>
      </w:tr>
      <w:tr w:rsidR="002649C4" w:rsidRPr="000B6CA0" w14:paraId="43B77212" w14:textId="77777777" w:rsidTr="00093A20">
        <w:trPr>
          <w:trHeight w:val="300"/>
        </w:trPr>
        <w:tc>
          <w:tcPr>
            <w:tcW w:w="2267" w:type="dxa"/>
            <w:shd w:val="clear" w:color="auto" w:fill="auto"/>
            <w:vAlign w:val="center"/>
            <w:hideMark/>
          </w:tcPr>
          <w:p w14:paraId="0BC65569" w14:textId="77777777" w:rsidR="002649C4" w:rsidRPr="003626D6" w:rsidRDefault="002649C4" w:rsidP="00093A20">
            <w:pPr>
              <w:spacing w:before="120" w:after="120"/>
              <w:rPr>
                <w:rFonts w:ascii="Times New Roman" w:hAnsi="Times New Roman" w:cs="Times New Roman"/>
                <w:b/>
                <w:bCs/>
                <w:sz w:val="24"/>
                <w:szCs w:val="24"/>
                <w:lang w:eastAsia="en-NZ"/>
              </w:rPr>
            </w:pPr>
            <w:r w:rsidRPr="003626D6">
              <w:rPr>
                <w:b/>
                <w:bCs/>
                <w:lang w:eastAsia="en-NZ"/>
              </w:rPr>
              <w:t>Wairua </w:t>
            </w:r>
          </w:p>
        </w:tc>
        <w:tc>
          <w:tcPr>
            <w:tcW w:w="6743" w:type="dxa"/>
            <w:shd w:val="clear" w:color="auto" w:fill="auto"/>
            <w:vAlign w:val="center"/>
            <w:hideMark/>
          </w:tcPr>
          <w:p w14:paraId="52C75291"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val="en-US" w:eastAsia="en-NZ"/>
              </w:rPr>
              <w:t>Eternal essence of being, source energy, spirit</w:t>
            </w:r>
            <w:r>
              <w:rPr>
                <w:lang w:val="en-US" w:eastAsia="en-NZ"/>
              </w:rPr>
              <w:t>.</w:t>
            </w:r>
            <w:r w:rsidRPr="000B6CA0">
              <w:rPr>
                <w:lang w:eastAsia="en-NZ"/>
              </w:rPr>
              <w:t>  </w:t>
            </w:r>
          </w:p>
        </w:tc>
      </w:tr>
      <w:tr w:rsidR="002649C4" w:rsidRPr="000B6CA0" w14:paraId="5E32F940" w14:textId="77777777" w:rsidTr="00093A20">
        <w:trPr>
          <w:trHeight w:val="300"/>
        </w:trPr>
        <w:tc>
          <w:tcPr>
            <w:tcW w:w="2267" w:type="dxa"/>
            <w:shd w:val="clear" w:color="auto" w:fill="auto"/>
            <w:vAlign w:val="center"/>
            <w:hideMark/>
          </w:tcPr>
          <w:p w14:paraId="6F9FFDDE" w14:textId="77777777" w:rsidR="002649C4" w:rsidRPr="003626D6" w:rsidRDefault="002649C4" w:rsidP="00093A20">
            <w:pPr>
              <w:spacing w:before="120" w:after="120"/>
              <w:rPr>
                <w:rFonts w:ascii="Times New Roman" w:hAnsi="Times New Roman" w:cs="Times New Roman"/>
                <w:b/>
                <w:bCs/>
                <w:sz w:val="24"/>
                <w:szCs w:val="24"/>
                <w:lang w:eastAsia="en-NZ"/>
              </w:rPr>
            </w:pPr>
            <w:proofErr w:type="spellStart"/>
            <w:r w:rsidRPr="003626D6">
              <w:rPr>
                <w:b/>
                <w:bCs/>
                <w:lang w:eastAsia="en-NZ"/>
              </w:rPr>
              <w:t>Wairuatanga</w:t>
            </w:r>
            <w:proofErr w:type="spellEnd"/>
            <w:r w:rsidRPr="003626D6">
              <w:rPr>
                <w:b/>
                <w:bCs/>
                <w:lang w:eastAsia="en-NZ"/>
              </w:rPr>
              <w:t> </w:t>
            </w:r>
          </w:p>
        </w:tc>
        <w:tc>
          <w:tcPr>
            <w:tcW w:w="6743" w:type="dxa"/>
            <w:shd w:val="clear" w:color="auto" w:fill="auto"/>
            <w:vAlign w:val="center"/>
            <w:hideMark/>
          </w:tcPr>
          <w:p w14:paraId="67DB2BFA"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val="en-US" w:eastAsia="en-NZ"/>
              </w:rPr>
              <w:t>Spirituality</w:t>
            </w:r>
            <w:r>
              <w:rPr>
                <w:lang w:val="en-US" w:eastAsia="en-NZ"/>
              </w:rPr>
              <w:t>.</w:t>
            </w:r>
            <w:r w:rsidRPr="000B6CA0">
              <w:rPr>
                <w:lang w:eastAsia="en-NZ"/>
              </w:rPr>
              <w:t>  </w:t>
            </w:r>
          </w:p>
        </w:tc>
      </w:tr>
      <w:tr w:rsidR="002649C4" w:rsidRPr="000B6CA0" w14:paraId="12DB0BDC" w14:textId="77777777" w:rsidTr="00093A20">
        <w:trPr>
          <w:trHeight w:val="300"/>
        </w:trPr>
        <w:tc>
          <w:tcPr>
            <w:tcW w:w="2267" w:type="dxa"/>
            <w:shd w:val="clear" w:color="auto" w:fill="auto"/>
            <w:vAlign w:val="center"/>
            <w:hideMark/>
          </w:tcPr>
          <w:p w14:paraId="6490E783" w14:textId="77777777" w:rsidR="002649C4" w:rsidRPr="003626D6" w:rsidRDefault="002649C4" w:rsidP="00093A20">
            <w:pPr>
              <w:spacing w:before="120" w:after="120"/>
              <w:rPr>
                <w:rFonts w:ascii="Times New Roman" w:hAnsi="Times New Roman" w:cs="Times New Roman"/>
                <w:b/>
                <w:bCs/>
                <w:sz w:val="24"/>
                <w:szCs w:val="24"/>
                <w:lang w:eastAsia="en-NZ"/>
              </w:rPr>
            </w:pPr>
            <w:r w:rsidRPr="003626D6">
              <w:rPr>
                <w:b/>
                <w:bCs/>
                <w:lang w:eastAsia="en-NZ"/>
              </w:rPr>
              <w:t>Wānanga </w:t>
            </w:r>
          </w:p>
        </w:tc>
        <w:tc>
          <w:tcPr>
            <w:tcW w:w="6743" w:type="dxa"/>
            <w:shd w:val="clear" w:color="auto" w:fill="auto"/>
            <w:vAlign w:val="center"/>
            <w:hideMark/>
          </w:tcPr>
          <w:p w14:paraId="260E6F92"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val="en-US" w:eastAsia="en-NZ"/>
              </w:rPr>
              <w:t>Centre for knowledge development/deep learning/Māori tertiary institution</w:t>
            </w:r>
            <w:r>
              <w:rPr>
                <w:lang w:val="en-US" w:eastAsia="en-NZ"/>
              </w:rPr>
              <w:t>.</w:t>
            </w:r>
            <w:r w:rsidRPr="000B6CA0">
              <w:rPr>
                <w:lang w:eastAsia="en-NZ"/>
              </w:rPr>
              <w:t>  </w:t>
            </w:r>
          </w:p>
        </w:tc>
      </w:tr>
      <w:tr w:rsidR="002649C4" w:rsidRPr="000B6CA0" w14:paraId="7AB2D3AB" w14:textId="77777777" w:rsidTr="00093A20">
        <w:trPr>
          <w:trHeight w:val="300"/>
        </w:trPr>
        <w:tc>
          <w:tcPr>
            <w:tcW w:w="2267" w:type="dxa"/>
            <w:shd w:val="clear" w:color="auto" w:fill="auto"/>
            <w:vAlign w:val="center"/>
            <w:hideMark/>
          </w:tcPr>
          <w:p w14:paraId="7862A5E6" w14:textId="77777777" w:rsidR="002649C4" w:rsidRPr="003626D6" w:rsidRDefault="002649C4" w:rsidP="00093A20">
            <w:pPr>
              <w:spacing w:before="120" w:after="120"/>
              <w:rPr>
                <w:rFonts w:ascii="Times New Roman" w:hAnsi="Times New Roman" w:cs="Times New Roman"/>
                <w:b/>
                <w:bCs/>
                <w:sz w:val="24"/>
                <w:szCs w:val="24"/>
                <w:lang w:eastAsia="en-NZ"/>
              </w:rPr>
            </w:pPr>
            <w:r w:rsidRPr="003626D6">
              <w:rPr>
                <w:b/>
                <w:bCs/>
                <w:lang w:eastAsia="en-NZ"/>
              </w:rPr>
              <w:t>Whakapapa </w:t>
            </w:r>
          </w:p>
        </w:tc>
        <w:tc>
          <w:tcPr>
            <w:tcW w:w="6743" w:type="dxa"/>
            <w:shd w:val="clear" w:color="auto" w:fill="auto"/>
            <w:vAlign w:val="center"/>
            <w:hideMark/>
          </w:tcPr>
          <w:p w14:paraId="7B83647C"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val="en-US" w:eastAsia="en-NZ"/>
              </w:rPr>
              <w:t>Genealogy, to layer</w:t>
            </w:r>
            <w:r>
              <w:rPr>
                <w:lang w:val="en-US" w:eastAsia="en-NZ"/>
              </w:rPr>
              <w:t>.</w:t>
            </w:r>
            <w:r w:rsidRPr="000B6CA0">
              <w:rPr>
                <w:lang w:eastAsia="en-NZ"/>
              </w:rPr>
              <w:t> </w:t>
            </w:r>
          </w:p>
        </w:tc>
      </w:tr>
      <w:tr w:rsidR="002649C4" w:rsidRPr="000B6CA0" w14:paraId="7A14D936" w14:textId="77777777" w:rsidTr="00093A20">
        <w:trPr>
          <w:trHeight w:val="300"/>
        </w:trPr>
        <w:tc>
          <w:tcPr>
            <w:tcW w:w="2267" w:type="dxa"/>
            <w:shd w:val="clear" w:color="auto" w:fill="auto"/>
            <w:vAlign w:val="center"/>
            <w:hideMark/>
          </w:tcPr>
          <w:p w14:paraId="396F333E" w14:textId="77777777" w:rsidR="002649C4" w:rsidRPr="003626D6" w:rsidRDefault="002649C4" w:rsidP="00093A20">
            <w:pPr>
              <w:spacing w:before="120" w:after="120"/>
              <w:rPr>
                <w:rFonts w:ascii="Times New Roman" w:hAnsi="Times New Roman" w:cs="Times New Roman"/>
                <w:b/>
                <w:bCs/>
                <w:sz w:val="24"/>
                <w:szCs w:val="24"/>
                <w:lang w:eastAsia="en-NZ"/>
              </w:rPr>
            </w:pPr>
            <w:proofErr w:type="spellStart"/>
            <w:r w:rsidRPr="003626D6">
              <w:rPr>
                <w:b/>
                <w:bCs/>
                <w:lang w:eastAsia="en-NZ"/>
              </w:rPr>
              <w:t>Whānau</w:t>
            </w:r>
            <w:proofErr w:type="spellEnd"/>
            <w:r w:rsidRPr="003626D6">
              <w:rPr>
                <w:b/>
                <w:bCs/>
                <w:lang w:eastAsia="en-NZ"/>
              </w:rPr>
              <w:t> </w:t>
            </w:r>
          </w:p>
        </w:tc>
        <w:tc>
          <w:tcPr>
            <w:tcW w:w="6743" w:type="dxa"/>
            <w:shd w:val="clear" w:color="auto" w:fill="auto"/>
            <w:vAlign w:val="center"/>
            <w:hideMark/>
          </w:tcPr>
          <w:p w14:paraId="7A0DAF8E"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eastAsia="en-NZ"/>
              </w:rPr>
              <w:t>Family/extended family unit</w:t>
            </w:r>
            <w:r>
              <w:rPr>
                <w:lang w:eastAsia="en-NZ"/>
              </w:rPr>
              <w:t>.</w:t>
            </w:r>
            <w:r w:rsidRPr="000B6CA0">
              <w:rPr>
                <w:lang w:eastAsia="en-NZ"/>
              </w:rPr>
              <w:t>  </w:t>
            </w:r>
          </w:p>
        </w:tc>
      </w:tr>
      <w:tr w:rsidR="002649C4" w:rsidRPr="000B6CA0" w14:paraId="674E70F0" w14:textId="77777777" w:rsidTr="00093A20">
        <w:trPr>
          <w:trHeight w:val="300"/>
        </w:trPr>
        <w:tc>
          <w:tcPr>
            <w:tcW w:w="2267" w:type="dxa"/>
            <w:shd w:val="clear" w:color="auto" w:fill="auto"/>
            <w:vAlign w:val="center"/>
            <w:hideMark/>
          </w:tcPr>
          <w:p w14:paraId="0CDDEBEC" w14:textId="77777777" w:rsidR="002649C4" w:rsidRPr="003626D6" w:rsidRDefault="002649C4" w:rsidP="00093A20">
            <w:pPr>
              <w:spacing w:before="120" w:after="120"/>
              <w:rPr>
                <w:rFonts w:ascii="Times New Roman" w:hAnsi="Times New Roman" w:cs="Times New Roman"/>
                <w:b/>
                <w:bCs/>
                <w:sz w:val="24"/>
                <w:szCs w:val="24"/>
                <w:lang w:eastAsia="en-NZ"/>
              </w:rPr>
            </w:pPr>
            <w:proofErr w:type="spellStart"/>
            <w:r w:rsidRPr="003626D6">
              <w:rPr>
                <w:b/>
                <w:bCs/>
                <w:lang w:eastAsia="en-NZ"/>
              </w:rPr>
              <w:t>Whānaungatanga</w:t>
            </w:r>
            <w:proofErr w:type="spellEnd"/>
            <w:r w:rsidRPr="003626D6">
              <w:rPr>
                <w:b/>
                <w:bCs/>
                <w:lang w:eastAsia="en-NZ"/>
              </w:rPr>
              <w:t> </w:t>
            </w:r>
          </w:p>
        </w:tc>
        <w:tc>
          <w:tcPr>
            <w:tcW w:w="6743" w:type="dxa"/>
            <w:shd w:val="clear" w:color="auto" w:fill="auto"/>
            <w:vAlign w:val="center"/>
            <w:hideMark/>
          </w:tcPr>
          <w:p w14:paraId="38B08797" w14:textId="77777777" w:rsidR="002649C4" w:rsidRPr="000B6CA0" w:rsidRDefault="002649C4" w:rsidP="00093A20">
            <w:pPr>
              <w:spacing w:before="120" w:after="120"/>
              <w:rPr>
                <w:rFonts w:ascii="Times New Roman" w:hAnsi="Times New Roman" w:cs="Times New Roman"/>
                <w:sz w:val="24"/>
                <w:szCs w:val="24"/>
                <w:lang w:eastAsia="en-NZ"/>
              </w:rPr>
            </w:pPr>
            <w:r w:rsidRPr="000B6CA0">
              <w:rPr>
                <w:lang w:val="en-US" w:eastAsia="en-NZ"/>
              </w:rPr>
              <w:t>Kinship, sense of family connection- a relationship through shared experiences and working together which provides people with a sense of belonging. It develops as a result of kinship rights and obligations, which also serve to strengthen each member of the kin group.</w:t>
            </w:r>
            <w:r w:rsidRPr="000B6CA0">
              <w:rPr>
                <w:lang w:eastAsia="en-NZ"/>
              </w:rPr>
              <w:t>  </w:t>
            </w:r>
          </w:p>
        </w:tc>
      </w:tr>
      <w:tr w:rsidR="002649C4" w:rsidRPr="000B6CA0" w14:paraId="2B4C1FE9" w14:textId="77777777" w:rsidTr="00093A20">
        <w:trPr>
          <w:trHeight w:val="300"/>
        </w:trPr>
        <w:tc>
          <w:tcPr>
            <w:tcW w:w="2267" w:type="dxa"/>
            <w:shd w:val="clear" w:color="auto" w:fill="auto"/>
            <w:vAlign w:val="center"/>
            <w:hideMark/>
          </w:tcPr>
          <w:p w14:paraId="474F9329" w14:textId="77777777" w:rsidR="002649C4" w:rsidRPr="003626D6" w:rsidRDefault="002649C4" w:rsidP="00093A20">
            <w:pPr>
              <w:spacing w:before="120" w:after="120"/>
              <w:rPr>
                <w:rFonts w:ascii="Times New Roman" w:hAnsi="Times New Roman" w:cs="Times New Roman"/>
                <w:b/>
                <w:bCs/>
                <w:sz w:val="24"/>
                <w:szCs w:val="24"/>
                <w:lang w:eastAsia="en-NZ"/>
              </w:rPr>
            </w:pPr>
            <w:r w:rsidRPr="003626D6">
              <w:rPr>
                <w:b/>
                <w:bCs/>
                <w:lang w:eastAsia="en-NZ"/>
              </w:rPr>
              <w:t>Whenua </w:t>
            </w:r>
          </w:p>
        </w:tc>
        <w:tc>
          <w:tcPr>
            <w:tcW w:w="6743" w:type="dxa"/>
            <w:shd w:val="clear" w:color="auto" w:fill="auto"/>
            <w:vAlign w:val="center"/>
            <w:hideMark/>
          </w:tcPr>
          <w:p w14:paraId="52CD5BEB" w14:textId="2A1A5F90" w:rsidR="002649C4" w:rsidRPr="000B6CA0" w:rsidRDefault="002649C4" w:rsidP="00093A20">
            <w:pPr>
              <w:spacing w:before="120" w:after="120"/>
              <w:rPr>
                <w:rFonts w:ascii="Times New Roman" w:hAnsi="Times New Roman" w:cs="Times New Roman"/>
                <w:sz w:val="24"/>
                <w:szCs w:val="24"/>
                <w:lang w:eastAsia="en-NZ"/>
              </w:rPr>
            </w:pPr>
            <w:r w:rsidRPr="4B1B8155">
              <w:rPr>
                <w:lang w:val="en-US" w:eastAsia="en-NZ"/>
              </w:rPr>
              <w:t>Land. Also means placenta.</w:t>
            </w:r>
            <w:r w:rsidR="00073EAF">
              <w:rPr>
                <w:lang w:val="en-US" w:eastAsia="en-NZ"/>
              </w:rPr>
              <w:t xml:space="preserve"> </w:t>
            </w:r>
            <w:r w:rsidRPr="4B1B8155">
              <w:rPr>
                <w:lang w:eastAsia="en-NZ"/>
              </w:rPr>
              <w:t> </w:t>
            </w:r>
          </w:p>
        </w:tc>
      </w:tr>
    </w:tbl>
    <w:p w14:paraId="0AE65081" w14:textId="2436F0E0" w:rsidR="002649C4" w:rsidRDefault="002649C4" w:rsidP="00A62098">
      <w:pPr>
        <w:sectPr w:rsidR="002649C4" w:rsidSect="00622805">
          <w:pgSz w:w="11906" w:h="16838"/>
          <w:pgMar w:top="1361" w:right="1361" w:bottom="1361" w:left="1361" w:header="709" w:footer="709" w:gutter="0"/>
          <w:cols w:space="708"/>
          <w:docGrid w:linePitch="360"/>
        </w:sectPr>
      </w:pPr>
    </w:p>
    <w:p w14:paraId="4DF08F8D" w14:textId="3CF13503" w:rsidR="00A62098" w:rsidRPr="00707B38" w:rsidRDefault="00A62098" w:rsidP="008F69BA">
      <w:pPr>
        <w:pStyle w:val="Heading1"/>
        <w:spacing w:after="240"/>
      </w:pPr>
      <w:bookmarkStart w:id="405" w:name="_Toc62650373"/>
      <w:bookmarkStart w:id="406" w:name="_Hlk61860521"/>
      <w:r>
        <w:lastRenderedPageBreak/>
        <w:t>Technical Glossary</w:t>
      </w:r>
      <w:bookmarkEnd w:id="405"/>
      <w:r>
        <w:t xml:space="preserve"> </w:t>
      </w:r>
    </w:p>
    <w:tbl>
      <w:tblPr>
        <w:tblStyle w:val="TableGrid"/>
        <w:tblW w:w="9776" w:type="dxa"/>
        <w:tblLook w:val="04A0" w:firstRow="1" w:lastRow="0" w:firstColumn="1" w:lastColumn="0" w:noHBand="0" w:noVBand="1"/>
      </w:tblPr>
      <w:tblGrid>
        <w:gridCol w:w="3114"/>
        <w:gridCol w:w="6662"/>
      </w:tblGrid>
      <w:tr w:rsidR="007F6C7C" w14:paraId="374DBB7C"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6B5F0645" w14:textId="77777777" w:rsidR="007F6C7C" w:rsidRDefault="007F6C7C" w:rsidP="003C3F55">
            <w:pPr>
              <w:spacing w:after="120"/>
              <w:rPr>
                <w:lang w:val="en-US"/>
              </w:rPr>
            </w:pPr>
            <w:r>
              <w:rPr>
                <w:lang w:val="en-US"/>
              </w:rPr>
              <w:t>2050 target</w:t>
            </w:r>
          </w:p>
        </w:tc>
        <w:tc>
          <w:tcPr>
            <w:tcW w:w="6662" w:type="dxa"/>
            <w:tcBorders>
              <w:top w:val="single" w:sz="4" w:space="0" w:color="auto"/>
              <w:left w:val="single" w:sz="4" w:space="0" w:color="auto"/>
              <w:bottom w:val="single" w:sz="4" w:space="0" w:color="auto"/>
              <w:right w:val="single" w:sz="4" w:space="0" w:color="auto"/>
            </w:tcBorders>
            <w:hideMark/>
          </w:tcPr>
          <w:p w14:paraId="378081D3" w14:textId="77777777" w:rsidR="007F6C7C" w:rsidRDefault="007F6C7C" w:rsidP="003C3F55">
            <w:pPr>
              <w:spacing w:after="120"/>
              <w:rPr>
                <w:lang w:val="en-US"/>
              </w:rPr>
            </w:pPr>
            <w:r>
              <w:rPr>
                <w:lang w:val="en-US"/>
              </w:rPr>
              <w:t>The target set out in the Climate Change Response Act for Aotearoa to:</w:t>
            </w:r>
          </w:p>
          <w:p w14:paraId="58014B4D" w14:textId="77777777" w:rsidR="007F6C7C" w:rsidRDefault="007F6C7C" w:rsidP="001D1116">
            <w:pPr>
              <w:pStyle w:val="ListParagraph"/>
              <w:numPr>
                <w:ilvl w:val="0"/>
                <w:numId w:val="94"/>
              </w:numPr>
              <w:spacing w:after="120"/>
              <w:ind w:left="357" w:hanging="357"/>
              <w:contextualSpacing w:val="0"/>
              <w:rPr>
                <w:lang w:val="en-US"/>
              </w:rPr>
            </w:pPr>
            <w:r w:rsidRPr="00652D2B">
              <w:rPr>
                <w:lang w:val="en-US"/>
              </w:rPr>
              <w:t xml:space="preserve">reduce emissions of greenhouse gases, other than biogenic methane, to net zero by 2050 and beyond. This </w:t>
            </w:r>
            <w:r>
              <w:rPr>
                <w:lang w:val="en-US"/>
              </w:rPr>
              <w:t xml:space="preserve">relates </w:t>
            </w:r>
            <w:r w:rsidRPr="00652D2B">
              <w:rPr>
                <w:lang w:val="en-US"/>
              </w:rPr>
              <w:t>to emissions of carbon dioxide, nitrous oxide, non-biogenic methane</w:t>
            </w:r>
            <w:r>
              <w:rPr>
                <w:lang w:val="en-US"/>
              </w:rPr>
              <w:t xml:space="preserve"> and F-gases (hydrofluorocarbons, perfluorocarbons and </w:t>
            </w:r>
            <w:proofErr w:type="spellStart"/>
            <w:r>
              <w:rPr>
                <w:lang w:val="en-US"/>
              </w:rPr>
              <w:t>sulphur</w:t>
            </w:r>
            <w:proofErr w:type="spellEnd"/>
            <w:r>
              <w:rPr>
                <w:lang w:val="en-US"/>
              </w:rPr>
              <w:t xml:space="preserve"> hexafluoride)</w:t>
            </w:r>
            <w:r w:rsidRPr="00652D2B">
              <w:rPr>
                <w:lang w:val="en-US"/>
              </w:rPr>
              <w:t>.</w:t>
            </w:r>
          </w:p>
          <w:p w14:paraId="44B2A609" w14:textId="77777777" w:rsidR="007F6C7C" w:rsidRPr="00C86AD2" w:rsidRDefault="007F6C7C" w:rsidP="003C3F55">
            <w:pPr>
              <w:pStyle w:val="ListParagraph"/>
              <w:numPr>
                <w:ilvl w:val="0"/>
                <w:numId w:val="94"/>
              </w:numPr>
              <w:spacing w:after="120"/>
              <w:contextualSpacing w:val="0"/>
              <w:rPr>
                <w:lang w:val="en-US"/>
              </w:rPr>
            </w:pPr>
            <w:r w:rsidRPr="00652D2B">
              <w:rPr>
                <w:lang w:val="en-US"/>
              </w:rPr>
              <w:t>reduce biogenic methane emissions by at least 10% by 2030 and 24-47% by 2050 and beyond, compared to 2017 levels</w:t>
            </w:r>
            <w:r>
              <w:rPr>
                <w:lang w:val="en-US"/>
              </w:rPr>
              <w:t xml:space="preserve">. </w:t>
            </w:r>
          </w:p>
          <w:p w14:paraId="149871AD" w14:textId="77777777" w:rsidR="007F6C7C" w:rsidRDefault="007F6C7C" w:rsidP="003C3F55">
            <w:pPr>
              <w:spacing w:after="120"/>
              <w:rPr>
                <w:lang w:val="en-US"/>
              </w:rPr>
            </w:pPr>
          </w:p>
        </w:tc>
      </w:tr>
      <w:tr w:rsidR="007F6C7C" w14:paraId="48DAAC8B"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3C1E6262" w14:textId="77777777" w:rsidR="007F6C7C" w:rsidRDefault="007F6C7C" w:rsidP="003C3F55">
            <w:pPr>
              <w:spacing w:after="120"/>
              <w:rPr>
                <w:lang w:val="en-US"/>
              </w:rPr>
            </w:pPr>
            <w:r>
              <w:rPr>
                <w:lang w:val="en-US"/>
              </w:rPr>
              <w:t>Adaptation</w:t>
            </w:r>
          </w:p>
        </w:tc>
        <w:tc>
          <w:tcPr>
            <w:tcW w:w="6662" w:type="dxa"/>
            <w:tcBorders>
              <w:top w:val="single" w:sz="4" w:space="0" w:color="auto"/>
              <w:left w:val="single" w:sz="4" w:space="0" w:color="auto"/>
              <w:bottom w:val="single" w:sz="4" w:space="0" w:color="auto"/>
              <w:right w:val="single" w:sz="4" w:space="0" w:color="auto"/>
            </w:tcBorders>
            <w:hideMark/>
          </w:tcPr>
          <w:p w14:paraId="74B11760" w14:textId="77777777" w:rsidR="007F6C7C" w:rsidRDefault="007F6C7C" w:rsidP="003C3F55">
            <w:pPr>
              <w:spacing w:after="120"/>
              <w:rPr>
                <w:lang w:val="en-US"/>
              </w:rPr>
            </w:pPr>
            <w:r>
              <w:t>Actions that can help people or natural systems adjust to the actual or expected impacts of climate change. Actions can be incremental and temporary in their effect or transformational by changing systems and their functions, depending on the scale and pace of change and what is at stake.</w:t>
            </w:r>
          </w:p>
        </w:tc>
      </w:tr>
      <w:tr w:rsidR="007F6C7C" w14:paraId="2BF3AC70"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081A3547" w14:textId="77777777" w:rsidR="007F6C7C" w:rsidRDefault="007F6C7C" w:rsidP="003C3F55">
            <w:pPr>
              <w:spacing w:after="120"/>
              <w:rPr>
                <w:lang w:val="en-US"/>
              </w:rPr>
            </w:pPr>
            <w:r>
              <w:rPr>
                <w:lang w:val="en-US"/>
              </w:rPr>
              <w:t>Biogenic methane</w:t>
            </w:r>
          </w:p>
        </w:tc>
        <w:tc>
          <w:tcPr>
            <w:tcW w:w="6662" w:type="dxa"/>
            <w:tcBorders>
              <w:top w:val="single" w:sz="4" w:space="0" w:color="auto"/>
              <w:left w:val="single" w:sz="4" w:space="0" w:color="auto"/>
              <w:bottom w:val="single" w:sz="4" w:space="0" w:color="auto"/>
              <w:right w:val="single" w:sz="4" w:space="0" w:color="auto"/>
            </w:tcBorders>
            <w:hideMark/>
          </w:tcPr>
          <w:p w14:paraId="707AA408" w14:textId="77777777" w:rsidR="007F6C7C" w:rsidRDefault="007F6C7C" w:rsidP="003C3F55">
            <w:pPr>
              <w:spacing w:after="120"/>
              <w:rPr>
                <w:lang w:val="en-US"/>
              </w:rPr>
            </w:pPr>
            <w:r>
              <w:t xml:space="preserve">Methane emissions resulting from biological processes in the agriculture and waste sectors. </w:t>
            </w:r>
          </w:p>
        </w:tc>
      </w:tr>
      <w:tr w:rsidR="007F6C7C" w14:paraId="69B8E0DA"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3E2AFCF6" w14:textId="77777777" w:rsidR="007F6C7C" w:rsidRDefault="007F6C7C" w:rsidP="003C3F55">
            <w:pPr>
              <w:spacing w:after="120"/>
              <w:rPr>
                <w:lang w:val="en-US"/>
              </w:rPr>
            </w:pPr>
            <w:r>
              <w:rPr>
                <w:lang w:val="en-US"/>
              </w:rPr>
              <w:t>Biomass</w:t>
            </w:r>
          </w:p>
        </w:tc>
        <w:tc>
          <w:tcPr>
            <w:tcW w:w="6662" w:type="dxa"/>
            <w:tcBorders>
              <w:top w:val="single" w:sz="4" w:space="0" w:color="auto"/>
              <w:left w:val="single" w:sz="4" w:space="0" w:color="auto"/>
              <w:bottom w:val="single" w:sz="4" w:space="0" w:color="auto"/>
              <w:right w:val="single" w:sz="4" w:space="0" w:color="auto"/>
            </w:tcBorders>
            <w:hideMark/>
          </w:tcPr>
          <w:p w14:paraId="12372CA8" w14:textId="2F0AC8C4" w:rsidR="007F6C7C" w:rsidRDefault="007F6C7C" w:rsidP="003C3F55">
            <w:pPr>
              <w:spacing w:after="120"/>
              <w:rPr>
                <w:lang w:val="en-US"/>
              </w:rPr>
            </w:pPr>
            <w:r>
              <w:rPr>
                <w:lang w:val="en-US"/>
              </w:rPr>
              <w:t xml:space="preserve">Material originating from living organisms. Some forms of biomass in the environment store significant amounts of carbon. Solid biomass such as wood chips, wood pellets and briquettes can be used as fuel in residential, commercial and industrial situations.  </w:t>
            </w:r>
          </w:p>
        </w:tc>
      </w:tr>
      <w:tr w:rsidR="007F6C7C" w14:paraId="697F45F9"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7496F165" w14:textId="77777777" w:rsidR="007F6C7C" w:rsidRDefault="007F6C7C" w:rsidP="003C3F55">
            <w:pPr>
              <w:spacing w:after="120"/>
              <w:rPr>
                <w:lang w:val="en-US"/>
              </w:rPr>
            </w:pPr>
            <w:r>
              <w:rPr>
                <w:lang w:val="en-US"/>
              </w:rPr>
              <w:t>Climate Change Response Act 2002</w:t>
            </w:r>
          </w:p>
        </w:tc>
        <w:tc>
          <w:tcPr>
            <w:tcW w:w="6662" w:type="dxa"/>
            <w:tcBorders>
              <w:top w:val="single" w:sz="4" w:space="0" w:color="auto"/>
              <w:left w:val="single" w:sz="4" w:space="0" w:color="auto"/>
              <w:bottom w:val="single" w:sz="4" w:space="0" w:color="auto"/>
              <w:right w:val="single" w:sz="4" w:space="0" w:color="auto"/>
            </w:tcBorders>
            <w:hideMark/>
          </w:tcPr>
          <w:p w14:paraId="5DB7A69A" w14:textId="56D86442" w:rsidR="007F6C7C" w:rsidRDefault="007F6C7C" w:rsidP="003C3F55">
            <w:pPr>
              <w:spacing w:after="120"/>
              <w:rPr>
                <w:lang w:val="en-US"/>
              </w:rPr>
            </w:pPr>
            <w:r>
              <w:rPr>
                <w:lang w:val="en-US"/>
              </w:rPr>
              <w:t>The Act that provides a legal framework to enable Aotearoa to meet its international obligations under the United Nations framework Convention on Climate Change and the Kyoto Protocol. The Act also provides for the implementation of the New Zealand Emissions Trading Scheme (NZ ETS) and the synthetic greenhouse gas levy.</w:t>
            </w:r>
          </w:p>
        </w:tc>
      </w:tr>
      <w:tr w:rsidR="007F6C7C" w14:paraId="3F940A1A"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tcPr>
          <w:p w14:paraId="52AC4E1A" w14:textId="77777777" w:rsidR="007F6C7C" w:rsidRDefault="007F6C7C" w:rsidP="003C3F55">
            <w:pPr>
              <w:spacing w:after="120"/>
              <w:rPr>
                <w:lang w:val="en-US"/>
              </w:rPr>
            </w:pPr>
            <w:r>
              <w:rPr>
                <w:lang w:val="en-US"/>
              </w:rPr>
              <w:t xml:space="preserve">Climate resilience </w:t>
            </w:r>
          </w:p>
        </w:tc>
        <w:tc>
          <w:tcPr>
            <w:tcW w:w="6662" w:type="dxa"/>
            <w:tcBorders>
              <w:top w:val="single" w:sz="4" w:space="0" w:color="auto"/>
              <w:left w:val="single" w:sz="4" w:space="0" w:color="auto"/>
              <w:bottom w:val="single" w:sz="4" w:space="0" w:color="auto"/>
              <w:right w:val="single" w:sz="4" w:space="0" w:color="auto"/>
            </w:tcBorders>
          </w:tcPr>
          <w:p w14:paraId="373D23D2" w14:textId="77777777" w:rsidR="007F6C7C" w:rsidRDefault="007F6C7C" w:rsidP="003C3F55">
            <w:pPr>
              <w:spacing w:after="120"/>
              <w:rPr>
                <w:lang w:val="en-US"/>
              </w:rPr>
            </w:pPr>
            <w:r>
              <w:t>Climate resilience is the ability to anticipate, prepare for, and respond to the impacts of changing climate, including those that we know about and can anticipate and those that occur as extreme events. This includes planning now for sea level rise and more frequent flooding. It is also about being ready to respond to extreme events like forest fires or extreme floods, and to trends in precipitation and temperature that emerge over time like droughts.</w:t>
            </w:r>
          </w:p>
        </w:tc>
      </w:tr>
      <w:tr w:rsidR="007F6C7C" w14:paraId="784643E1"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2D5466FB" w14:textId="77777777" w:rsidR="007F6C7C" w:rsidRDefault="007F6C7C" w:rsidP="003C3F55">
            <w:pPr>
              <w:spacing w:after="120"/>
              <w:rPr>
                <w:lang w:val="en-US"/>
              </w:rPr>
            </w:pPr>
            <w:r>
              <w:rPr>
                <w:lang w:val="en-US"/>
              </w:rPr>
              <w:t>CO</w:t>
            </w:r>
            <w:r>
              <w:rPr>
                <w:vertAlign w:val="subscript"/>
                <w:lang w:val="en-US"/>
              </w:rPr>
              <w:t>2</w:t>
            </w:r>
            <w:r>
              <w:rPr>
                <w:lang w:val="en-US"/>
              </w:rPr>
              <w:t>e</w:t>
            </w:r>
          </w:p>
        </w:tc>
        <w:tc>
          <w:tcPr>
            <w:tcW w:w="6662" w:type="dxa"/>
            <w:tcBorders>
              <w:top w:val="single" w:sz="4" w:space="0" w:color="auto"/>
              <w:left w:val="single" w:sz="4" w:space="0" w:color="auto"/>
              <w:bottom w:val="single" w:sz="4" w:space="0" w:color="auto"/>
              <w:right w:val="single" w:sz="4" w:space="0" w:color="auto"/>
            </w:tcBorders>
            <w:hideMark/>
          </w:tcPr>
          <w:p w14:paraId="19FF755E" w14:textId="6333EE32" w:rsidR="007F6C7C" w:rsidRDefault="007F6C7C" w:rsidP="003C3F55">
            <w:pPr>
              <w:spacing w:after="120"/>
              <w:rPr>
                <w:lang w:val="en-US"/>
              </w:rPr>
            </w:pPr>
            <w:r>
              <w:rPr>
                <w:lang w:val="en-US"/>
              </w:rPr>
              <w:t>Carbon dioxide equivalent. This is a</w:t>
            </w:r>
            <w:r w:rsidRPr="00535EE1">
              <w:rPr>
                <w:lang w:val="en-US"/>
              </w:rPr>
              <w:t xml:space="preserve"> way to </w:t>
            </w:r>
            <w:r>
              <w:rPr>
                <w:lang w:val="en-US"/>
              </w:rPr>
              <w:t>describe different greenhouse gases on a common scale that relates the warming effect of emissions of a gas to that of carbon dioxide. It is calculated by multiplying the quantity of a greenhouse gas by the relevant global warming potential.</w:t>
            </w:r>
          </w:p>
        </w:tc>
      </w:tr>
      <w:tr w:rsidR="007F6C7C" w14:paraId="72E57E79"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3AA6F970" w14:textId="77777777" w:rsidR="007F6C7C" w:rsidRDefault="007F6C7C" w:rsidP="003C3F55">
            <w:pPr>
              <w:spacing w:after="120"/>
              <w:rPr>
                <w:lang w:val="en-US"/>
              </w:rPr>
            </w:pPr>
            <w:r>
              <w:rPr>
                <w:lang w:val="en-US"/>
              </w:rPr>
              <w:lastRenderedPageBreak/>
              <w:t xml:space="preserve">Deforestation </w:t>
            </w:r>
          </w:p>
        </w:tc>
        <w:tc>
          <w:tcPr>
            <w:tcW w:w="6662" w:type="dxa"/>
            <w:tcBorders>
              <w:top w:val="single" w:sz="4" w:space="0" w:color="auto"/>
              <w:left w:val="single" w:sz="4" w:space="0" w:color="auto"/>
              <w:bottom w:val="single" w:sz="4" w:space="0" w:color="auto"/>
              <w:right w:val="single" w:sz="4" w:space="0" w:color="auto"/>
            </w:tcBorders>
            <w:hideMark/>
          </w:tcPr>
          <w:p w14:paraId="32BC0A57" w14:textId="6DA1D018" w:rsidR="007F6C7C" w:rsidRDefault="007F6C7C" w:rsidP="003C3F55">
            <w:pPr>
              <w:spacing w:after="120"/>
              <w:rPr>
                <w:lang w:val="en-US"/>
              </w:rPr>
            </w:pPr>
            <w:r>
              <w:rPr>
                <w:lang w:val="en-US"/>
              </w:rPr>
              <w:t xml:space="preserve">The conversion of forest land to another use such as grazing. In greenhouse gas emissions accounting and policy relevant to Aotearoa, deforestation is defined as clearing forest and not replanting within four years. It does not include harvesting where a forest replanted. </w:t>
            </w:r>
          </w:p>
        </w:tc>
      </w:tr>
      <w:tr w:rsidR="007F6C7C" w14:paraId="0729A3D8"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6931E41C" w14:textId="77777777" w:rsidR="007F6C7C" w:rsidRDefault="007F6C7C" w:rsidP="003C3F55">
            <w:pPr>
              <w:spacing w:after="120"/>
              <w:rPr>
                <w:lang w:val="en-US"/>
              </w:rPr>
            </w:pPr>
            <w:r>
              <w:rPr>
                <w:lang w:val="en-US"/>
              </w:rPr>
              <w:t xml:space="preserve">Dry year </w:t>
            </w:r>
          </w:p>
        </w:tc>
        <w:tc>
          <w:tcPr>
            <w:tcW w:w="6662" w:type="dxa"/>
            <w:tcBorders>
              <w:top w:val="single" w:sz="4" w:space="0" w:color="auto"/>
              <w:left w:val="single" w:sz="4" w:space="0" w:color="auto"/>
              <w:bottom w:val="single" w:sz="4" w:space="0" w:color="auto"/>
              <w:right w:val="single" w:sz="4" w:space="0" w:color="auto"/>
            </w:tcBorders>
            <w:hideMark/>
          </w:tcPr>
          <w:p w14:paraId="3A0905A0" w14:textId="71171B53" w:rsidR="007F6C7C" w:rsidRDefault="007F6C7C" w:rsidP="003C3F55">
            <w:pPr>
              <w:spacing w:after="120"/>
              <w:rPr>
                <w:lang w:val="en-US"/>
              </w:rPr>
            </w:pPr>
            <w:r>
              <w:rPr>
                <w:lang w:val="en-US"/>
              </w:rPr>
              <w:t xml:space="preserve">In Aotearoa, hydro lakes only hold enough water for a few weeks of winter energy demand if inflows (rain and snow melt) are very low. When inflows are low for long periods of time, hydro generation is reduced and the system relies on other forms of generation such as natural gas and coal. These periods of time are often colloquially referred to as ‘dry years’. </w:t>
            </w:r>
          </w:p>
        </w:tc>
      </w:tr>
      <w:tr w:rsidR="007F6C7C" w14:paraId="5CFAB962"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637F4B57" w14:textId="77777777" w:rsidR="007F6C7C" w:rsidRDefault="007F6C7C" w:rsidP="003C3F55">
            <w:pPr>
              <w:spacing w:after="120"/>
              <w:rPr>
                <w:lang w:val="en-US"/>
              </w:rPr>
            </w:pPr>
            <w:r>
              <w:rPr>
                <w:lang w:val="en-US"/>
              </w:rPr>
              <w:t xml:space="preserve">Embodied emissions </w:t>
            </w:r>
          </w:p>
        </w:tc>
        <w:tc>
          <w:tcPr>
            <w:tcW w:w="6662" w:type="dxa"/>
            <w:tcBorders>
              <w:top w:val="single" w:sz="4" w:space="0" w:color="auto"/>
              <w:left w:val="single" w:sz="4" w:space="0" w:color="auto"/>
              <w:bottom w:val="single" w:sz="4" w:space="0" w:color="auto"/>
              <w:right w:val="single" w:sz="4" w:space="0" w:color="auto"/>
            </w:tcBorders>
            <w:hideMark/>
          </w:tcPr>
          <w:p w14:paraId="257A3973" w14:textId="77777777" w:rsidR="007F6C7C" w:rsidRDefault="007F6C7C" w:rsidP="003C3F55">
            <w:pPr>
              <w:spacing w:after="120"/>
              <w:rPr>
                <w:lang w:val="en-US"/>
              </w:rPr>
            </w:pPr>
            <w:r w:rsidRPr="00FF07B0">
              <w:rPr>
                <w:lang w:val="en-US"/>
              </w:rPr>
              <w:t>The</w:t>
            </w:r>
            <w:r>
              <w:rPr>
                <w:lang w:val="en-US"/>
              </w:rPr>
              <w:t xml:space="preserve"> sum of</w:t>
            </w:r>
            <w:r w:rsidRPr="00FF07B0">
              <w:rPr>
                <w:lang w:val="en-US"/>
              </w:rPr>
              <w:t xml:space="preserve"> emissions involved in </w:t>
            </w:r>
            <w:r>
              <w:rPr>
                <w:lang w:val="en-US"/>
              </w:rPr>
              <w:t xml:space="preserve">making </w:t>
            </w:r>
            <w:r w:rsidRPr="00FF07B0">
              <w:rPr>
                <w:lang w:val="en-US"/>
              </w:rPr>
              <w:t>a product</w:t>
            </w:r>
            <w:r>
              <w:rPr>
                <w:lang w:val="en-US"/>
              </w:rPr>
              <w:t>, sometimes termed the “carbon footprint”</w:t>
            </w:r>
            <w:r w:rsidRPr="00FF07B0">
              <w:rPr>
                <w:lang w:val="en-US"/>
              </w:rPr>
              <w:t xml:space="preserve">. </w:t>
            </w:r>
          </w:p>
        </w:tc>
      </w:tr>
      <w:tr w:rsidR="007F6C7C" w14:paraId="0708920E"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19A6BED1" w14:textId="77777777" w:rsidR="007F6C7C" w:rsidRDefault="007F6C7C" w:rsidP="003C3F55">
            <w:pPr>
              <w:spacing w:after="120"/>
              <w:rPr>
                <w:lang w:val="en-US"/>
              </w:rPr>
            </w:pPr>
            <w:r>
              <w:rPr>
                <w:lang w:val="en-US"/>
              </w:rPr>
              <w:t>Emissions</w:t>
            </w:r>
          </w:p>
        </w:tc>
        <w:tc>
          <w:tcPr>
            <w:tcW w:w="6662" w:type="dxa"/>
            <w:tcBorders>
              <w:top w:val="single" w:sz="4" w:space="0" w:color="auto"/>
              <w:left w:val="single" w:sz="4" w:space="0" w:color="auto"/>
              <w:bottom w:val="single" w:sz="4" w:space="0" w:color="auto"/>
              <w:right w:val="single" w:sz="4" w:space="0" w:color="auto"/>
            </w:tcBorders>
            <w:hideMark/>
          </w:tcPr>
          <w:p w14:paraId="2CF32614" w14:textId="77777777" w:rsidR="007F6C7C" w:rsidRDefault="007F6C7C" w:rsidP="003C3F55">
            <w:pPr>
              <w:spacing w:after="120"/>
              <w:rPr>
                <w:lang w:val="en-US"/>
              </w:rPr>
            </w:pPr>
            <w:r>
              <w:t>Greenhouse gases released into the atmosphere. The Climate Change Response Act 2002 covers the following greenhouse gases: carbon dioxide, methane, nitrous oxide, hydrofluorocarbons, perfluorocarbons, and sulphur hexafluoride.</w:t>
            </w:r>
          </w:p>
        </w:tc>
      </w:tr>
      <w:tr w:rsidR="007F6C7C" w14:paraId="1C628E27"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tcPr>
          <w:p w14:paraId="6ED7CCD2" w14:textId="77777777" w:rsidR="007F6C7C" w:rsidRDefault="007F6C7C" w:rsidP="003C3F55">
            <w:pPr>
              <w:spacing w:after="120"/>
              <w:rPr>
                <w:lang w:val="en-US"/>
              </w:rPr>
            </w:pPr>
            <w:r>
              <w:rPr>
                <w:lang w:val="en-US"/>
              </w:rPr>
              <w:t>Emissions budget</w:t>
            </w:r>
          </w:p>
        </w:tc>
        <w:tc>
          <w:tcPr>
            <w:tcW w:w="6662" w:type="dxa"/>
            <w:tcBorders>
              <w:top w:val="single" w:sz="4" w:space="0" w:color="auto"/>
              <w:left w:val="single" w:sz="4" w:space="0" w:color="auto"/>
              <w:bottom w:val="single" w:sz="4" w:space="0" w:color="auto"/>
              <w:right w:val="single" w:sz="4" w:space="0" w:color="auto"/>
            </w:tcBorders>
          </w:tcPr>
          <w:p w14:paraId="67D974CB" w14:textId="77777777" w:rsidR="007F6C7C" w:rsidRDefault="007F6C7C" w:rsidP="003C3F55">
            <w:pPr>
              <w:spacing w:after="120"/>
              <w:rPr>
                <w:lang w:val="en-US"/>
              </w:rPr>
            </w:pPr>
            <w:r>
              <w:t>The cumulative amount of greenhouse gases that can be emitted over a certain period. In the Climate Change Response Act 2002, emissions budgets are the total amount of all greenhouse gases (expressed as a net amount of carbon dioxide equivalent) that can be released over a five-year period (or four years in the case of 2022-2025).</w:t>
            </w:r>
          </w:p>
        </w:tc>
      </w:tr>
      <w:tr w:rsidR="007F6C7C" w14:paraId="1EB15E7B"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0BF4320E" w14:textId="77777777" w:rsidR="007F6C7C" w:rsidRDefault="007F6C7C" w:rsidP="003C3F55">
            <w:pPr>
              <w:spacing w:after="120"/>
              <w:rPr>
                <w:lang w:val="en-US"/>
              </w:rPr>
            </w:pPr>
            <w:r>
              <w:rPr>
                <w:lang w:val="en-US"/>
              </w:rPr>
              <w:t>Emissions leakage</w:t>
            </w:r>
          </w:p>
        </w:tc>
        <w:tc>
          <w:tcPr>
            <w:tcW w:w="6662" w:type="dxa"/>
            <w:tcBorders>
              <w:top w:val="single" w:sz="4" w:space="0" w:color="auto"/>
              <w:left w:val="single" w:sz="4" w:space="0" w:color="auto"/>
              <w:bottom w:val="single" w:sz="4" w:space="0" w:color="auto"/>
              <w:right w:val="single" w:sz="4" w:space="0" w:color="auto"/>
            </w:tcBorders>
            <w:hideMark/>
          </w:tcPr>
          <w:p w14:paraId="32310C4B" w14:textId="77777777" w:rsidR="007F6C7C" w:rsidRDefault="007F6C7C" w:rsidP="003C3F55">
            <w:pPr>
              <w:spacing w:after="120"/>
              <w:rPr>
                <w:lang w:val="en-US"/>
              </w:rPr>
            </w:pPr>
            <w:r>
              <w:rPr>
                <w:lang w:val="en-US"/>
              </w:rPr>
              <w:t xml:space="preserve">Emissions leakage would occur if efforts to reduce emissions in one location caused an increase in emissions somewhere else so that global emissions overall do not reduce. Emissions leakage risk is created by the uneven implementation of climate policies around the world. </w:t>
            </w:r>
          </w:p>
        </w:tc>
      </w:tr>
      <w:tr w:rsidR="007F6C7C" w14:paraId="69B58344"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tcPr>
          <w:p w14:paraId="1582683B" w14:textId="77777777" w:rsidR="007F6C7C" w:rsidRDefault="007F6C7C" w:rsidP="003C3F55">
            <w:pPr>
              <w:spacing w:after="120"/>
              <w:rPr>
                <w:lang w:val="en-US"/>
              </w:rPr>
            </w:pPr>
            <w:r>
              <w:rPr>
                <w:lang w:val="en-US"/>
              </w:rPr>
              <w:t xml:space="preserve">Emissions reduction plan </w:t>
            </w:r>
          </w:p>
        </w:tc>
        <w:tc>
          <w:tcPr>
            <w:tcW w:w="6662" w:type="dxa"/>
            <w:tcBorders>
              <w:top w:val="single" w:sz="4" w:space="0" w:color="auto"/>
              <w:left w:val="single" w:sz="4" w:space="0" w:color="auto"/>
              <w:bottom w:val="single" w:sz="4" w:space="0" w:color="auto"/>
              <w:right w:val="single" w:sz="4" w:space="0" w:color="auto"/>
            </w:tcBorders>
          </w:tcPr>
          <w:p w14:paraId="46E56737" w14:textId="77777777" w:rsidR="007F6C7C" w:rsidRDefault="007F6C7C" w:rsidP="003C3F55">
            <w:pPr>
              <w:spacing w:after="120"/>
              <w:rPr>
                <w:lang w:val="en-US"/>
              </w:rPr>
            </w:pPr>
            <w:r>
              <w:t>A plan setting out the policies and strategies for meeting an emissions budget, as required by the Climate Change Response Act 2002.</w:t>
            </w:r>
          </w:p>
        </w:tc>
      </w:tr>
      <w:tr w:rsidR="007F6C7C" w14:paraId="73CCBAFE"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7379C32F" w14:textId="77777777" w:rsidR="007F6C7C" w:rsidRDefault="007F6C7C" w:rsidP="003C3F55">
            <w:pPr>
              <w:spacing w:after="120"/>
              <w:rPr>
                <w:lang w:val="en-US"/>
              </w:rPr>
            </w:pPr>
            <w:r>
              <w:rPr>
                <w:lang w:val="en-US"/>
              </w:rPr>
              <w:t xml:space="preserve">Exotic plantation forests </w:t>
            </w:r>
          </w:p>
        </w:tc>
        <w:tc>
          <w:tcPr>
            <w:tcW w:w="6662" w:type="dxa"/>
            <w:tcBorders>
              <w:top w:val="single" w:sz="4" w:space="0" w:color="auto"/>
              <w:left w:val="single" w:sz="4" w:space="0" w:color="auto"/>
              <w:bottom w:val="single" w:sz="4" w:space="0" w:color="auto"/>
              <w:right w:val="single" w:sz="4" w:space="0" w:color="auto"/>
            </w:tcBorders>
            <w:hideMark/>
          </w:tcPr>
          <w:p w14:paraId="2141C91A" w14:textId="77777777" w:rsidR="007F6C7C" w:rsidRDefault="007F6C7C" w:rsidP="003C3F55">
            <w:pPr>
              <w:spacing w:after="120"/>
              <w:rPr>
                <w:lang w:val="en-US"/>
              </w:rPr>
            </w:pPr>
            <w:r>
              <w:rPr>
                <w:lang w:val="en-US"/>
              </w:rPr>
              <w:t>Intentionally planted f</w:t>
            </w:r>
            <w:r w:rsidRPr="001E58A3">
              <w:rPr>
                <w:lang w:val="en-US"/>
              </w:rPr>
              <w:t>orest</w:t>
            </w:r>
            <w:r>
              <w:rPr>
                <w:lang w:val="en-US"/>
              </w:rPr>
              <w:t xml:space="preserve">s </w:t>
            </w:r>
            <w:r w:rsidRPr="001E58A3">
              <w:rPr>
                <w:lang w:val="en-US"/>
              </w:rPr>
              <w:t>consisting of non-native species, such as pine.</w:t>
            </w:r>
          </w:p>
        </w:tc>
      </w:tr>
      <w:tr w:rsidR="007F6C7C" w14:paraId="2DBFFFA0"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tcPr>
          <w:p w14:paraId="102E863B" w14:textId="77777777" w:rsidR="007F6C7C" w:rsidRDefault="007F6C7C" w:rsidP="003C3F55">
            <w:pPr>
              <w:spacing w:after="120"/>
              <w:rPr>
                <w:lang w:val="en-US"/>
              </w:rPr>
            </w:pPr>
            <w:r>
              <w:rPr>
                <w:lang w:val="en-US"/>
              </w:rPr>
              <w:t>F-gases</w:t>
            </w:r>
          </w:p>
        </w:tc>
        <w:tc>
          <w:tcPr>
            <w:tcW w:w="6662" w:type="dxa"/>
            <w:tcBorders>
              <w:top w:val="single" w:sz="4" w:space="0" w:color="auto"/>
              <w:left w:val="single" w:sz="4" w:space="0" w:color="auto"/>
              <w:bottom w:val="single" w:sz="4" w:space="0" w:color="auto"/>
              <w:right w:val="single" w:sz="4" w:space="0" w:color="auto"/>
            </w:tcBorders>
          </w:tcPr>
          <w:p w14:paraId="63E044E5" w14:textId="77777777" w:rsidR="007F6C7C" w:rsidRDefault="007F6C7C" w:rsidP="003C3F55">
            <w:pPr>
              <w:spacing w:after="120"/>
            </w:pPr>
            <w:r>
              <w:rPr>
                <w:lang w:val="en-US"/>
              </w:rPr>
              <w:t xml:space="preserve">Fluorinated gases, such as hydrofluorocarbons, perfluorocarbons and </w:t>
            </w:r>
            <w:proofErr w:type="spellStart"/>
            <w:r>
              <w:rPr>
                <w:lang w:val="en-US"/>
              </w:rPr>
              <w:t>sulphur</w:t>
            </w:r>
            <w:proofErr w:type="spellEnd"/>
            <w:r>
              <w:rPr>
                <w:lang w:val="en-US"/>
              </w:rPr>
              <w:t xml:space="preserve"> hexafluoride</w:t>
            </w:r>
            <w:r w:rsidRPr="00652D2B">
              <w:rPr>
                <w:lang w:val="en-US"/>
              </w:rPr>
              <w:t>.</w:t>
            </w:r>
          </w:p>
        </w:tc>
      </w:tr>
      <w:tr w:rsidR="007F6C7C" w14:paraId="6F6F1EF5"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39BE6F52" w14:textId="77777777" w:rsidR="007F6C7C" w:rsidRDefault="007F6C7C" w:rsidP="003C3F55">
            <w:pPr>
              <w:spacing w:after="120"/>
              <w:rPr>
                <w:lang w:val="en-US"/>
              </w:rPr>
            </w:pPr>
            <w:r>
              <w:rPr>
                <w:lang w:val="en-US"/>
              </w:rPr>
              <w:t>Free allocation</w:t>
            </w:r>
          </w:p>
        </w:tc>
        <w:tc>
          <w:tcPr>
            <w:tcW w:w="6662" w:type="dxa"/>
            <w:tcBorders>
              <w:top w:val="single" w:sz="4" w:space="0" w:color="auto"/>
              <w:left w:val="single" w:sz="4" w:space="0" w:color="auto"/>
              <w:bottom w:val="single" w:sz="4" w:space="0" w:color="auto"/>
              <w:right w:val="single" w:sz="4" w:space="0" w:color="auto"/>
            </w:tcBorders>
            <w:hideMark/>
          </w:tcPr>
          <w:p w14:paraId="59C18098" w14:textId="77777777" w:rsidR="007F6C7C" w:rsidRDefault="007F6C7C" w:rsidP="003C3F55">
            <w:pPr>
              <w:spacing w:after="120"/>
              <w:rPr>
                <w:lang w:val="en-US"/>
              </w:rPr>
            </w:pPr>
            <w:r>
              <w:t>The distribution of emissions units without cost to specific businesses by the government.</w:t>
            </w:r>
            <w:r w:rsidRPr="00472FFA">
              <w:rPr>
                <w:lang w:val="en-US"/>
              </w:rPr>
              <w:t xml:space="preserve"> </w:t>
            </w:r>
          </w:p>
        </w:tc>
      </w:tr>
      <w:tr w:rsidR="007F6C7C" w14:paraId="6C3692F4"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tcPr>
          <w:p w14:paraId="150391BF" w14:textId="77777777" w:rsidR="007F6C7C" w:rsidRDefault="007F6C7C" w:rsidP="003C3F55">
            <w:pPr>
              <w:spacing w:after="120"/>
              <w:rPr>
                <w:lang w:val="en-US"/>
              </w:rPr>
            </w:pPr>
            <w:r>
              <w:rPr>
                <w:lang w:val="en-US"/>
              </w:rPr>
              <w:t>Global Warming Potential (GWP)</w:t>
            </w:r>
          </w:p>
        </w:tc>
        <w:tc>
          <w:tcPr>
            <w:tcW w:w="6662" w:type="dxa"/>
            <w:tcBorders>
              <w:top w:val="single" w:sz="4" w:space="0" w:color="auto"/>
              <w:left w:val="single" w:sz="4" w:space="0" w:color="auto"/>
              <w:bottom w:val="single" w:sz="4" w:space="0" w:color="auto"/>
              <w:right w:val="single" w:sz="4" w:space="0" w:color="auto"/>
            </w:tcBorders>
          </w:tcPr>
          <w:p w14:paraId="44FAFFDD" w14:textId="77777777" w:rsidR="007F6C7C" w:rsidRDefault="007F6C7C" w:rsidP="003C3F55">
            <w:pPr>
              <w:spacing w:after="120"/>
              <w:rPr>
                <w:lang w:val="en-US"/>
              </w:rPr>
            </w:pPr>
            <w:r>
              <w:t>A factor relating the warming effect of a tonne of emissions of a particular greenhouse gas to those of a tonne of carbon dioxide emissions.</w:t>
            </w:r>
          </w:p>
        </w:tc>
      </w:tr>
      <w:tr w:rsidR="007F6C7C" w14:paraId="1053FCFF"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04B09A66" w14:textId="77777777" w:rsidR="007F6C7C" w:rsidRDefault="007F6C7C" w:rsidP="003C3F55">
            <w:pPr>
              <w:spacing w:after="120"/>
              <w:rPr>
                <w:lang w:val="en-US"/>
              </w:rPr>
            </w:pPr>
            <w:r>
              <w:rPr>
                <w:lang w:val="en-US"/>
              </w:rPr>
              <w:lastRenderedPageBreak/>
              <w:t>Greenhouse gases</w:t>
            </w:r>
          </w:p>
        </w:tc>
        <w:tc>
          <w:tcPr>
            <w:tcW w:w="6662" w:type="dxa"/>
            <w:tcBorders>
              <w:top w:val="single" w:sz="4" w:space="0" w:color="auto"/>
              <w:left w:val="single" w:sz="4" w:space="0" w:color="auto"/>
              <w:bottom w:val="single" w:sz="4" w:space="0" w:color="auto"/>
              <w:right w:val="single" w:sz="4" w:space="0" w:color="auto"/>
            </w:tcBorders>
            <w:hideMark/>
          </w:tcPr>
          <w:p w14:paraId="061FE2FF" w14:textId="1A525360" w:rsidR="007F6C7C" w:rsidRDefault="007F6C7C" w:rsidP="003C3F55">
            <w:pPr>
              <w:spacing w:after="120"/>
              <w:rPr>
                <w:lang w:val="en-US"/>
              </w:rPr>
            </w:pPr>
            <w:r>
              <w:rPr>
                <w:lang w:val="en-US"/>
              </w:rPr>
              <w:t>Atmospheric gases that trap heat and contribute to climate change. The gases covered by the Climate Change Response Act 2002 are carbon dioxide (CO</w:t>
            </w:r>
            <w:r>
              <w:rPr>
                <w:vertAlign w:val="subscript"/>
                <w:lang w:val="en-US"/>
              </w:rPr>
              <w:t>2</w:t>
            </w:r>
            <w:r>
              <w:rPr>
                <w:lang w:val="en-US"/>
              </w:rPr>
              <w:t>), methane (CH4), nitrous oxide (N</w:t>
            </w:r>
            <w:r>
              <w:rPr>
                <w:vertAlign w:val="subscript"/>
                <w:lang w:val="en-US"/>
              </w:rPr>
              <w:t>2</w:t>
            </w:r>
            <w:r>
              <w:rPr>
                <w:lang w:val="en-US"/>
              </w:rPr>
              <w:t xml:space="preserve">O), hydrofluorocarbons (HFCs), perfluorocarbons (PFCs) and </w:t>
            </w:r>
            <w:proofErr w:type="spellStart"/>
            <w:r>
              <w:rPr>
                <w:lang w:val="en-US"/>
              </w:rPr>
              <w:t>sulphur</w:t>
            </w:r>
            <w:proofErr w:type="spellEnd"/>
            <w:r>
              <w:rPr>
                <w:lang w:val="en-US"/>
              </w:rPr>
              <w:t xml:space="preserve"> hexafluoride (SF</w:t>
            </w:r>
            <w:r>
              <w:rPr>
                <w:vertAlign w:val="subscript"/>
                <w:lang w:val="en-US"/>
              </w:rPr>
              <w:t>6</w:t>
            </w:r>
            <w:r>
              <w:rPr>
                <w:lang w:val="en-US"/>
              </w:rPr>
              <w:t xml:space="preserve">). </w:t>
            </w:r>
          </w:p>
        </w:tc>
      </w:tr>
      <w:tr w:rsidR="007F6C7C" w14:paraId="519D34E7"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tcPr>
          <w:p w14:paraId="011D8A7F" w14:textId="77777777" w:rsidR="007F6C7C" w:rsidRDefault="007F6C7C" w:rsidP="003C3F55">
            <w:pPr>
              <w:spacing w:after="120"/>
              <w:rPr>
                <w:lang w:val="en-US"/>
              </w:rPr>
            </w:pPr>
            <w:r>
              <w:rPr>
                <w:lang w:val="en-US"/>
              </w:rPr>
              <w:t>Gross emissions</w:t>
            </w:r>
          </w:p>
        </w:tc>
        <w:tc>
          <w:tcPr>
            <w:tcW w:w="6662" w:type="dxa"/>
            <w:tcBorders>
              <w:top w:val="single" w:sz="4" w:space="0" w:color="auto"/>
              <w:left w:val="single" w:sz="4" w:space="0" w:color="auto"/>
              <w:bottom w:val="single" w:sz="4" w:space="0" w:color="auto"/>
              <w:right w:val="single" w:sz="4" w:space="0" w:color="auto"/>
            </w:tcBorders>
          </w:tcPr>
          <w:p w14:paraId="6556E507" w14:textId="77777777" w:rsidR="007F6C7C" w:rsidRDefault="007F6C7C" w:rsidP="003C3F55">
            <w:pPr>
              <w:spacing w:after="120"/>
              <w:rPr>
                <w:lang w:val="en-US"/>
              </w:rPr>
            </w:pPr>
            <w:r>
              <w:t>Gross emissions include total greenhouse gas emissions from agriculture, energy, industrial processes and product use (IPPU) and waste. Greenhouse gas emissions and removals from land use, land use change and forestry (LULUCF) are excluded.</w:t>
            </w:r>
          </w:p>
        </w:tc>
      </w:tr>
      <w:tr w:rsidR="007F6C7C" w14:paraId="01D1F9AE"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170374C9" w14:textId="77777777" w:rsidR="007F6C7C" w:rsidRDefault="007F6C7C" w:rsidP="003C3F55">
            <w:pPr>
              <w:spacing w:after="120"/>
              <w:rPr>
                <w:lang w:val="en-US"/>
              </w:rPr>
            </w:pPr>
            <w:r>
              <w:rPr>
                <w:lang w:val="en-US"/>
              </w:rPr>
              <w:t>Kyoto Protocol</w:t>
            </w:r>
          </w:p>
        </w:tc>
        <w:tc>
          <w:tcPr>
            <w:tcW w:w="6662" w:type="dxa"/>
            <w:tcBorders>
              <w:top w:val="single" w:sz="4" w:space="0" w:color="auto"/>
              <w:left w:val="single" w:sz="4" w:space="0" w:color="auto"/>
              <w:bottom w:val="single" w:sz="4" w:space="0" w:color="auto"/>
              <w:right w:val="single" w:sz="4" w:space="0" w:color="auto"/>
            </w:tcBorders>
            <w:hideMark/>
          </w:tcPr>
          <w:p w14:paraId="7AA407F3" w14:textId="77777777" w:rsidR="007F6C7C" w:rsidRDefault="007F6C7C" w:rsidP="003C3F55">
            <w:pPr>
              <w:spacing w:after="120"/>
              <w:rPr>
                <w:lang w:val="en-US"/>
              </w:rPr>
            </w:pPr>
            <w:r>
              <w:rPr>
                <w:lang w:val="en-US"/>
              </w:rPr>
              <w:t>An international treaty under the UNFCCC that deals with emissions limitation or reduction commitments for ratifying developed (Annex 1) countries.</w:t>
            </w:r>
          </w:p>
        </w:tc>
      </w:tr>
      <w:tr w:rsidR="007F6C7C" w14:paraId="26682B54"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6F643A2F" w14:textId="77777777" w:rsidR="007F6C7C" w:rsidRDefault="007F6C7C" w:rsidP="003C3F55">
            <w:pPr>
              <w:spacing w:after="120"/>
              <w:rPr>
                <w:lang w:val="en-US"/>
              </w:rPr>
            </w:pPr>
            <w:r>
              <w:rPr>
                <w:lang w:val="en-US"/>
              </w:rPr>
              <w:t>Long-lived gases</w:t>
            </w:r>
          </w:p>
        </w:tc>
        <w:tc>
          <w:tcPr>
            <w:tcW w:w="6662" w:type="dxa"/>
            <w:tcBorders>
              <w:top w:val="single" w:sz="4" w:space="0" w:color="auto"/>
              <w:left w:val="single" w:sz="4" w:space="0" w:color="auto"/>
              <w:bottom w:val="single" w:sz="4" w:space="0" w:color="auto"/>
              <w:right w:val="single" w:sz="4" w:space="0" w:color="auto"/>
            </w:tcBorders>
            <w:hideMark/>
          </w:tcPr>
          <w:p w14:paraId="73192332" w14:textId="77777777" w:rsidR="007F6C7C" w:rsidRDefault="007F6C7C" w:rsidP="003C3F55">
            <w:pPr>
              <w:spacing w:after="120"/>
              <w:rPr>
                <w:highlight w:val="yellow"/>
                <w:lang w:val="en-US"/>
              </w:rPr>
            </w:pPr>
            <w:r>
              <w:rPr>
                <w:lang w:val="en-US"/>
              </w:rPr>
              <w:t xml:space="preserve">Greenhouse gases that have a long lifetime in the atmosphere, i.e. they persist in the atmosphere for without breaking down for multi-decadal, centennial or millennial timeframes. </w:t>
            </w:r>
            <w:r w:rsidRPr="00714A34">
              <w:rPr>
                <w:lang w:val="en-US"/>
              </w:rPr>
              <w:t xml:space="preserve">For ease of presentation, </w:t>
            </w:r>
            <w:r>
              <w:rPr>
                <w:lang w:val="en-US"/>
              </w:rPr>
              <w:t xml:space="preserve">this report refers to </w:t>
            </w:r>
            <w:r w:rsidRPr="00714A34">
              <w:rPr>
                <w:lang w:val="en-US"/>
              </w:rPr>
              <w:t xml:space="preserve">all greenhouse gases other than biogenic methane </w:t>
            </w:r>
            <w:r>
              <w:rPr>
                <w:lang w:val="en-US"/>
              </w:rPr>
              <w:t xml:space="preserve">collectively </w:t>
            </w:r>
            <w:r w:rsidRPr="00714A34">
              <w:rPr>
                <w:lang w:val="en-US"/>
              </w:rPr>
              <w:t xml:space="preserve">as long-lived gases, </w:t>
            </w:r>
            <w:r>
              <w:rPr>
                <w:lang w:val="en-US"/>
              </w:rPr>
              <w:t>al</w:t>
            </w:r>
            <w:r w:rsidRPr="00714A34">
              <w:rPr>
                <w:lang w:val="en-US"/>
              </w:rPr>
              <w:t>though this include</w:t>
            </w:r>
            <w:r>
              <w:rPr>
                <w:lang w:val="en-US"/>
              </w:rPr>
              <w:t>s</w:t>
            </w:r>
            <w:r w:rsidRPr="00714A34">
              <w:rPr>
                <w:lang w:val="en-US"/>
              </w:rPr>
              <w:t xml:space="preserve"> small amount of</w:t>
            </w:r>
            <w:r>
              <w:rPr>
                <w:lang w:val="en-US"/>
              </w:rPr>
              <w:t xml:space="preserve"> other short-lived gas emissions (</w:t>
            </w:r>
            <w:r w:rsidRPr="00714A34">
              <w:rPr>
                <w:lang w:val="en-US"/>
              </w:rPr>
              <w:t xml:space="preserve">non-biogenic methane and </w:t>
            </w:r>
            <w:r>
              <w:rPr>
                <w:lang w:val="en-US"/>
              </w:rPr>
              <w:t xml:space="preserve">certain </w:t>
            </w:r>
            <w:r w:rsidRPr="00714A34">
              <w:rPr>
                <w:lang w:val="en-US"/>
              </w:rPr>
              <w:t>fluorinated gases).</w:t>
            </w:r>
          </w:p>
        </w:tc>
      </w:tr>
      <w:tr w:rsidR="007F6C7C" w14:paraId="1EBC4733"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0552FA3B" w14:textId="77777777" w:rsidR="007F6C7C" w:rsidRDefault="007F6C7C" w:rsidP="003C3F55">
            <w:pPr>
              <w:spacing w:after="120"/>
              <w:rPr>
                <w:lang w:val="en-US"/>
              </w:rPr>
            </w:pPr>
            <w:r>
              <w:rPr>
                <w:lang w:val="en-US"/>
              </w:rPr>
              <w:t>Methane inhibitors and vaccines</w:t>
            </w:r>
          </w:p>
        </w:tc>
        <w:tc>
          <w:tcPr>
            <w:tcW w:w="6662" w:type="dxa"/>
            <w:tcBorders>
              <w:top w:val="single" w:sz="4" w:space="0" w:color="auto"/>
              <w:left w:val="single" w:sz="4" w:space="0" w:color="auto"/>
              <w:bottom w:val="single" w:sz="4" w:space="0" w:color="auto"/>
              <w:right w:val="single" w:sz="4" w:space="0" w:color="auto"/>
            </w:tcBorders>
            <w:hideMark/>
          </w:tcPr>
          <w:p w14:paraId="5B564C33" w14:textId="5C8364CD" w:rsidR="007F6C7C" w:rsidRDefault="007F6C7C" w:rsidP="003C3F55">
            <w:pPr>
              <w:spacing w:after="120"/>
            </w:pPr>
            <w:r>
              <w:t>Chemical compounds that reduce the production of methane in animals’ rumen (stomachs). They typically do this by targeting enzymes that play a key role in the generation of methane.</w:t>
            </w:r>
          </w:p>
          <w:p w14:paraId="18B62529" w14:textId="77777777" w:rsidR="007F6C7C" w:rsidRDefault="007F6C7C" w:rsidP="003C3F55">
            <w:pPr>
              <w:spacing w:after="120"/>
              <w:rPr>
                <w:highlight w:val="yellow"/>
                <w:lang w:val="en-US"/>
              </w:rPr>
            </w:pPr>
          </w:p>
        </w:tc>
      </w:tr>
      <w:tr w:rsidR="007F6C7C" w14:paraId="16D4CC94"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380436EF" w14:textId="77777777" w:rsidR="007F6C7C" w:rsidRDefault="007F6C7C" w:rsidP="003C3F55">
            <w:pPr>
              <w:spacing w:after="120"/>
              <w:rPr>
                <w:lang w:val="en-US"/>
              </w:rPr>
            </w:pPr>
            <w:r>
              <w:rPr>
                <w:lang w:val="en-US"/>
              </w:rPr>
              <w:t>Mitigation</w:t>
            </w:r>
          </w:p>
        </w:tc>
        <w:tc>
          <w:tcPr>
            <w:tcW w:w="6662" w:type="dxa"/>
            <w:tcBorders>
              <w:top w:val="single" w:sz="4" w:space="0" w:color="auto"/>
              <w:left w:val="single" w:sz="4" w:space="0" w:color="auto"/>
              <w:bottom w:val="single" w:sz="4" w:space="0" w:color="auto"/>
              <w:right w:val="single" w:sz="4" w:space="0" w:color="auto"/>
            </w:tcBorders>
            <w:hideMark/>
          </w:tcPr>
          <w:p w14:paraId="14BC4CA3" w14:textId="77777777" w:rsidR="007F6C7C" w:rsidRDefault="007F6C7C" w:rsidP="003C3F55">
            <w:pPr>
              <w:spacing w:after="120"/>
              <w:rPr>
                <w:lang w:val="en-US"/>
              </w:rPr>
            </w:pPr>
            <w:r>
              <w:t>Human actions to reduce emissions by sources or enhance removals by sinks of greenhouse gases. Examples of reducing emissions by sources include walking instead of driving or replacing a coal boiler with a renewable electric powered one. Examples of enhancing removals by sinks include growing new trees to absorb carbon, or industrial carbon capture and storage activities.</w:t>
            </w:r>
          </w:p>
        </w:tc>
      </w:tr>
      <w:tr w:rsidR="007F6C7C" w14:paraId="08D49E1F"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7CB9088D" w14:textId="77777777" w:rsidR="007F6C7C" w:rsidRDefault="007F6C7C" w:rsidP="003C3F55">
            <w:pPr>
              <w:spacing w:after="120"/>
              <w:rPr>
                <w:lang w:val="en-US"/>
              </w:rPr>
            </w:pPr>
            <w:r>
              <w:rPr>
                <w:lang w:val="en-US"/>
              </w:rPr>
              <w:t xml:space="preserve">Mt </w:t>
            </w:r>
          </w:p>
        </w:tc>
        <w:tc>
          <w:tcPr>
            <w:tcW w:w="6662" w:type="dxa"/>
            <w:tcBorders>
              <w:top w:val="single" w:sz="4" w:space="0" w:color="auto"/>
              <w:left w:val="single" w:sz="4" w:space="0" w:color="auto"/>
              <w:bottom w:val="single" w:sz="4" w:space="0" w:color="auto"/>
              <w:right w:val="single" w:sz="4" w:space="0" w:color="auto"/>
            </w:tcBorders>
            <w:hideMark/>
          </w:tcPr>
          <w:p w14:paraId="618A11AA" w14:textId="77777777" w:rsidR="007F6C7C" w:rsidRDefault="007F6C7C" w:rsidP="003C3F55">
            <w:pPr>
              <w:spacing w:after="120"/>
              <w:rPr>
                <w:lang w:val="en-US"/>
              </w:rPr>
            </w:pPr>
            <w:proofErr w:type="spellStart"/>
            <w:r>
              <w:rPr>
                <w:lang w:val="en-US"/>
              </w:rPr>
              <w:t>Megatonnes</w:t>
            </w:r>
            <w:proofErr w:type="spellEnd"/>
            <w:r>
              <w:rPr>
                <w:lang w:val="en-US"/>
              </w:rPr>
              <w:t xml:space="preserve"> (million </w:t>
            </w:r>
            <w:proofErr w:type="spellStart"/>
            <w:r>
              <w:rPr>
                <w:lang w:val="en-US"/>
              </w:rPr>
              <w:t>tonnes</w:t>
            </w:r>
            <w:proofErr w:type="spellEnd"/>
            <w:r>
              <w:rPr>
                <w:lang w:val="en-US"/>
              </w:rPr>
              <w:t>)</w:t>
            </w:r>
          </w:p>
        </w:tc>
      </w:tr>
      <w:tr w:rsidR="007F6C7C" w14:paraId="40BA51FE"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tcPr>
          <w:p w14:paraId="5FC2CC4C" w14:textId="77777777" w:rsidR="007F6C7C" w:rsidRDefault="007F6C7C" w:rsidP="003C3F55">
            <w:pPr>
              <w:spacing w:after="120"/>
              <w:rPr>
                <w:lang w:val="en-US"/>
              </w:rPr>
            </w:pPr>
            <w:r>
              <w:rPr>
                <w:lang w:val="en-US"/>
              </w:rPr>
              <w:t>Nationally determined contribution (NDC)</w:t>
            </w:r>
          </w:p>
        </w:tc>
        <w:tc>
          <w:tcPr>
            <w:tcW w:w="6662" w:type="dxa"/>
            <w:tcBorders>
              <w:top w:val="single" w:sz="4" w:space="0" w:color="auto"/>
              <w:left w:val="single" w:sz="4" w:space="0" w:color="auto"/>
              <w:bottom w:val="single" w:sz="4" w:space="0" w:color="auto"/>
              <w:right w:val="single" w:sz="4" w:space="0" w:color="auto"/>
            </w:tcBorders>
          </w:tcPr>
          <w:p w14:paraId="4F2472EC" w14:textId="77777777" w:rsidR="007F6C7C" w:rsidRDefault="007F6C7C" w:rsidP="003C3F55">
            <w:pPr>
              <w:spacing w:after="120"/>
            </w:pPr>
            <w:r>
              <w:t xml:space="preserve">Each country that is party to the Paris Agreement must define its contribution to achieving the long-term temperature goal set out in the Paris Agreement. </w:t>
            </w:r>
          </w:p>
          <w:p w14:paraId="4459B67A" w14:textId="77777777" w:rsidR="007F6C7C" w:rsidRDefault="007F6C7C" w:rsidP="003C3F55">
            <w:pPr>
              <w:spacing w:after="120"/>
            </w:pPr>
            <w:r>
              <w:t xml:space="preserve">The first NDC adopted by Aotearoa is a target to reduce greenhouse gas emissions by 30% below 2005 levels by 2030. </w:t>
            </w:r>
          </w:p>
        </w:tc>
      </w:tr>
      <w:tr w:rsidR="007F6C7C" w14:paraId="7AAE14A8"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46E857C9" w14:textId="77777777" w:rsidR="007F6C7C" w:rsidRDefault="007F6C7C" w:rsidP="003C3F55">
            <w:pPr>
              <w:spacing w:after="120"/>
              <w:rPr>
                <w:lang w:val="en-US"/>
              </w:rPr>
            </w:pPr>
            <w:r>
              <w:rPr>
                <w:lang w:val="en-US"/>
              </w:rPr>
              <w:t>Net emissions</w:t>
            </w:r>
          </w:p>
        </w:tc>
        <w:tc>
          <w:tcPr>
            <w:tcW w:w="6662" w:type="dxa"/>
            <w:tcBorders>
              <w:top w:val="single" w:sz="4" w:space="0" w:color="auto"/>
              <w:left w:val="single" w:sz="4" w:space="0" w:color="auto"/>
              <w:bottom w:val="single" w:sz="4" w:space="0" w:color="auto"/>
              <w:right w:val="single" w:sz="4" w:space="0" w:color="auto"/>
            </w:tcBorders>
            <w:hideMark/>
          </w:tcPr>
          <w:p w14:paraId="5A7CA40B" w14:textId="77777777" w:rsidR="007F6C7C" w:rsidRDefault="007F6C7C" w:rsidP="003C3F55">
            <w:pPr>
              <w:spacing w:after="120"/>
              <w:rPr>
                <w:lang w:val="en-US"/>
              </w:rPr>
            </w:pPr>
            <w:r>
              <w:t xml:space="preserve">Net emissions differ from gross emissions in that they also include emissions from the land use, land use change and forestry (LULUCF) sector as well as removals of carbon dioxide from the atmosphere, for example due to the growth of trees. </w:t>
            </w:r>
          </w:p>
        </w:tc>
      </w:tr>
      <w:tr w:rsidR="007F6C7C" w14:paraId="40BF20E2"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035B68FF" w14:textId="77777777" w:rsidR="007F6C7C" w:rsidRDefault="007F6C7C" w:rsidP="003C3F55">
            <w:pPr>
              <w:spacing w:after="120"/>
              <w:rPr>
                <w:lang w:val="en-US"/>
              </w:rPr>
            </w:pPr>
            <w:r>
              <w:rPr>
                <w:lang w:val="en-US"/>
              </w:rPr>
              <w:lastRenderedPageBreak/>
              <w:t>NZ ETS</w:t>
            </w:r>
          </w:p>
        </w:tc>
        <w:tc>
          <w:tcPr>
            <w:tcW w:w="6662" w:type="dxa"/>
            <w:tcBorders>
              <w:top w:val="single" w:sz="4" w:space="0" w:color="auto"/>
              <w:left w:val="single" w:sz="4" w:space="0" w:color="auto"/>
              <w:bottom w:val="single" w:sz="4" w:space="0" w:color="auto"/>
              <w:right w:val="single" w:sz="4" w:space="0" w:color="auto"/>
            </w:tcBorders>
            <w:hideMark/>
          </w:tcPr>
          <w:p w14:paraId="64D7AAC4" w14:textId="77777777" w:rsidR="007F6C7C" w:rsidRDefault="007F6C7C" w:rsidP="003C3F55">
            <w:pPr>
              <w:spacing w:after="120"/>
              <w:rPr>
                <w:lang w:val="en-US"/>
              </w:rPr>
            </w:pPr>
            <w:r>
              <w:rPr>
                <w:lang w:val="en-US"/>
              </w:rPr>
              <w:t xml:space="preserve">New Zealand Emissions Trading Scheme. </w:t>
            </w:r>
          </w:p>
        </w:tc>
      </w:tr>
      <w:tr w:rsidR="007F6C7C" w14:paraId="3DA3F15D"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7F5D455B" w14:textId="77777777" w:rsidR="007F6C7C" w:rsidRDefault="007F6C7C" w:rsidP="003C3F55">
            <w:pPr>
              <w:spacing w:after="120"/>
              <w:rPr>
                <w:lang w:val="en-US"/>
              </w:rPr>
            </w:pPr>
            <w:r>
              <w:rPr>
                <w:lang w:val="en-US"/>
              </w:rPr>
              <w:t>Organic waste</w:t>
            </w:r>
          </w:p>
        </w:tc>
        <w:tc>
          <w:tcPr>
            <w:tcW w:w="6662" w:type="dxa"/>
            <w:tcBorders>
              <w:top w:val="single" w:sz="4" w:space="0" w:color="auto"/>
              <w:left w:val="single" w:sz="4" w:space="0" w:color="auto"/>
              <w:bottom w:val="single" w:sz="4" w:space="0" w:color="auto"/>
              <w:right w:val="single" w:sz="4" w:space="0" w:color="auto"/>
            </w:tcBorders>
            <w:hideMark/>
          </w:tcPr>
          <w:p w14:paraId="383AAA4C" w14:textId="77777777" w:rsidR="007F6C7C" w:rsidRDefault="007F6C7C" w:rsidP="003C3F55">
            <w:pPr>
              <w:spacing w:after="120"/>
              <w:rPr>
                <w:lang w:val="en-US"/>
              </w:rPr>
            </w:pPr>
            <w:r w:rsidRPr="0003177B">
              <w:t xml:space="preserve">Waste </w:t>
            </w:r>
            <w:r>
              <w:t>containing organic matter that decays to create methane emissions</w:t>
            </w:r>
            <w:r w:rsidRPr="0003177B">
              <w:t>.</w:t>
            </w:r>
          </w:p>
        </w:tc>
      </w:tr>
      <w:tr w:rsidR="007F6C7C" w14:paraId="2DB12ABA"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556F48C3" w14:textId="77777777" w:rsidR="007F6C7C" w:rsidRDefault="007F6C7C" w:rsidP="003C3F55">
            <w:pPr>
              <w:spacing w:after="120"/>
              <w:rPr>
                <w:lang w:val="en-US"/>
              </w:rPr>
            </w:pPr>
            <w:r>
              <w:rPr>
                <w:lang w:val="en-US"/>
              </w:rPr>
              <w:t xml:space="preserve">Paris Agreement </w:t>
            </w:r>
          </w:p>
        </w:tc>
        <w:tc>
          <w:tcPr>
            <w:tcW w:w="6662" w:type="dxa"/>
            <w:tcBorders>
              <w:top w:val="single" w:sz="4" w:space="0" w:color="auto"/>
              <w:left w:val="single" w:sz="4" w:space="0" w:color="auto"/>
              <w:bottom w:val="single" w:sz="4" w:space="0" w:color="auto"/>
              <w:right w:val="single" w:sz="4" w:space="0" w:color="auto"/>
            </w:tcBorders>
            <w:hideMark/>
          </w:tcPr>
          <w:p w14:paraId="294741B9" w14:textId="31823DA4" w:rsidR="007F6C7C" w:rsidRDefault="007F6C7C" w:rsidP="003C3F55">
            <w:pPr>
              <w:spacing w:after="120"/>
              <w:rPr>
                <w:lang w:val="en-US"/>
              </w:rPr>
            </w:pPr>
            <w:r>
              <w:rPr>
                <w:lang w:val="en-US"/>
              </w:rPr>
              <w:t xml:space="preserve">An international treaty under the UNFCCC to address climate change after 2020. </w:t>
            </w:r>
          </w:p>
        </w:tc>
      </w:tr>
      <w:tr w:rsidR="007F6C7C" w14:paraId="67E64D70"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00C0F738" w14:textId="77777777" w:rsidR="007F6C7C" w:rsidRDefault="007F6C7C" w:rsidP="003C3F55">
            <w:pPr>
              <w:spacing w:after="120"/>
              <w:rPr>
                <w:lang w:val="en-US"/>
              </w:rPr>
            </w:pPr>
            <w:r>
              <w:rPr>
                <w:lang w:val="en-US"/>
              </w:rPr>
              <w:t xml:space="preserve">Post-1989 forests </w:t>
            </w:r>
          </w:p>
        </w:tc>
        <w:tc>
          <w:tcPr>
            <w:tcW w:w="6662" w:type="dxa"/>
            <w:tcBorders>
              <w:top w:val="single" w:sz="4" w:space="0" w:color="auto"/>
              <w:left w:val="single" w:sz="4" w:space="0" w:color="auto"/>
              <w:bottom w:val="single" w:sz="4" w:space="0" w:color="auto"/>
              <w:right w:val="single" w:sz="4" w:space="0" w:color="auto"/>
            </w:tcBorders>
            <w:hideMark/>
          </w:tcPr>
          <w:p w14:paraId="05D8C410" w14:textId="77777777" w:rsidR="007F6C7C" w:rsidRDefault="007F6C7C" w:rsidP="003C3F55">
            <w:pPr>
              <w:spacing w:after="120"/>
              <w:rPr>
                <w:lang w:val="en-US"/>
              </w:rPr>
            </w:pPr>
            <w:r>
              <w:rPr>
                <w:lang w:val="en-US"/>
              </w:rPr>
              <w:t xml:space="preserve">New forest established after 31 December 1989 on land that was not forest at that date. </w:t>
            </w:r>
          </w:p>
        </w:tc>
      </w:tr>
      <w:tr w:rsidR="007F6C7C" w14:paraId="14FA2C03"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0935ACCC" w14:textId="77777777" w:rsidR="007F6C7C" w:rsidRDefault="007F6C7C" w:rsidP="003C3F55">
            <w:pPr>
              <w:spacing w:after="120"/>
              <w:rPr>
                <w:lang w:val="en-US"/>
              </w:rPr>
            </w:pPr>
            <w:r>
              <w:rPr>
                <w:lang w:val="en-US"/>
              </w:rPr>
              <w:t xml:space="preserve">Pre-1990 forests </w:t>
            </w:r>
          </w:p>
        </w:tc>
        <w:tc>
          <w:tcPr>
            <w:tcW w:w="6662" w:type="dxa"/>
            <w:tcBorders>
              <w:top w:val="single" w:sz="4" w:space="0" w:color="auto"/>
              <w:left w:val="single" w:sz="4" w:space="0" w:color="auto"/>
              <w:bottom w:val="single" w:sz="4" w:space="0" w:color="auto"/>
              <w:right w:val="single" w:sz="4" w:space="0" w:color="auto"/>
            </w:tcBorders>
            <w:hideMark/>
          </w:tcPr>
          <w:p w14:paraId="6B32BFEF" w14:textId="77777777" w:rsidR="007F6C7C" w:rsidRDefault="007F6C7C" w:rsidP="003C3F55">
            <w:pPr>
              <w:spacing w:after="120"/>
              <w:rPr>
                <w:lang w:val="en-US"/>
              </w:rPr>
            </w:pPr>
            <w:r>
              <w:rPr>
                <w:lang w:val="en-US"/>
              </w:rPr>
              <w:t xml:space="preserve">Forest or shrub land established before 1 January 1990. </w:t>
            </w:r>
          </w:p>
        </w:tc>
      </w:tr>
      <w:tr w:rsidR="007F6C7C" w14:paraId="0C95320B" w14:textId="77777777" w:rsidTr="00561C85">
        <w:trPr>
          <w:trHeight w:val="567"/>
        </w:trPr>
        <w:tc>
          <w:tcPr>
            <w:tcW w:w="3114" w:type="dxa"/>
            <w:tcBorders>
              <w:top w:val="single" w:sz="4" w:space="0" w:color="auto"/>
              <w:left w:val="single" w:sz="4" w:space="0" w:color="auto"/>
              <w:bottom w:val="single" w:sz="4" w:space="0" w:color="auto"/>
              <w:right w:val="single" w:sz="4" w:space="0" w:color="auto"/>
            </w:tcBorders>
            <w:hideMark/>
          </w:tcPr>
          <w:p w14:paraId="5C77300D" w14:textId="77777777" w:rsidR="007F6C7C" w:rsidRDefault="007F6C7C" w:rsidP="003C3F55">
            <w:pPr>
              <w:spacing w:after="120"/>
              <w:rPr>
                <w:lang w:val="en-US"/>
              </w:rPr>
            </w:pPr>
            <w:r>
              <w:rPr>
                <w:lang w:val="en-US"/>
              </w:rPr>
              <w:t>UNFCCC</w:t>
            </w:r>
          </w:p>
        </w:tc>
        <w:tc>
          <w:tcPr>
            <w:tcW w:w="6662" w:type="dxa"/>
            <w:tcBorders>
              <w:top w:val="single" w:sz="4" w:space="0" w:color="auto"/>
              <w:left w:val="single" w:sz="4" w:space="0" w:color="auto"/>
              <w:bottom w:val="single" w:sz="4" w:space="0" w:color="auto"/>
              <w:right w:val="single" w:sz="4" w:space="0" w:color="auto"/>
            </w:tcBorders>
            <w:hideMark/>
          </w:tcPr>
          <w:p w14:paraId="637B4F11" w14:textId="77777777" w:rsidR="007F6C7C" w:rsidRDefault="007F6C7C" w:rsidP="003C3F55">
            <w:pPr>
              <w:spacing w:after="120"/>
              <w:rPr>
                <w:lang w:val="en-US"/>
              </w:rPr>
            </w:pPr>
            <w:r>
              <w:rPr>
                <w:lang w:val="en-US"/>
              </w:rPr>
              <w:t>United Nations Framework Convention on Climate Change. This is</w:t>
            </w:r>
            <w:r w:rsidRPr="00012311">
              <w:rPr>
                <w:lang w:val="en-US"/>
              </w:rPr>
              <w:t xml:space="preserve"> the major foundation global treaty </w:t>
            </w:r>
            <w:r>
              <w:rPr>
                <w:lang w:val="en-US"/>
              </w:rPr>
              <w:t xml:space="preserve">focused on </w:t>
            </w:r>
            <w:r w:rsidRPr="00012311">
              <w:rPr>
                <w:lang w:val="en-US"/>
              </w:rPr>
              <w:t>climate change</w:t>
            </w:r>
            <w:r>
              <w:rPr>
                <w:lang w:val="en-US"/>
              </w:rPr>
              <w:t xml:space="preserve"> that was signed in 1992 at the Earth Summit in Rio de Janeiro</w:t>
            </w:r>
            <w:r w:rsidRPr="00012311">
              <w:rPr>
                <w:lang w:val="en-US"/>
              </w:rPr>
              <w:t>.</w:t>
            </w:r>
            <w:r>
              <w:rPr>
                <w:lang w:val="en-US"/>
              </w:rPr>
              <w:t xml:space="preserve"> </w:t>
            </w:r>
          </w:p>
        </w:tc>
      </w:tr>
    </w:tbl>
    <w:p w14:paraId="1C7DEDD1" w14:textId="40E032AF" w:rsidR="00A62098" w:rsidRPr="00C01C4C" w:rsidRDefault="00A62098" w:rsidP="00A62098"/>
    <w:bookmarkEnd w:id="406"/>
    <w:p w14:paraId="02986977" w14:textId="238015D0" w:rsidR="00147DD5" w:rsidRDefault="00147DD5">
      <w:pPr>
        <w:spacing w:before="0" w:after="160"/>
      </w:pPr>
      <w:r>
        <w:br w:type="page"/>
      </w:r>
    </w:p>
    <w:p w14:paraId="0D9DC2E1" w14:textId="77777777" w:rsidR="00F10C3B" w:rsidRPr="00972EF1" w:rsidRDefault="00F10C3B" w:rsidP="00F10C3B">
      <w:pPr>
        <w:pStyle w:val="Heading1"/>
        <w:rPr>
          <w:lang w:val="mi-NZ"/>
        </w:rPr>
      </w:pPr>
      <w:bookmarkStart w:id="407" w:name="_Toc62650374"/>
      <w:r w:rsidRPr="00972EF1">
        <w:rPr>
          <w:lang w:val="mi-NZ"/>
        </w:rPr>
        <w:lastRenderedPageBreak/>
        <w:t>Appendix 1: What other studies of methane reductions for Aotearoa have been conducted?</w:t>
      </w:r>
      <w:bookmarkEnd w:id="407"/>
    </w:p>
    <w:p w14:paraId="7849E224" w14:textId="77777777" w:rsidR="00F10C3B" w:rsidRPr="00972EF1" w:rsidRDefault="00F10C3B" w:rsidP="00F10C3B">
      <w:pPr>
        <w:spacing w:line="276" w:lineRule="auto"/>
        <w:rPr>
          <w:lang w:val="mi-NZ"/>
        </w:rPr>
      </w:pPr>
      <w:r w:rsidRPr="00972EF1">
        <w:rPr>
          <w:lang w:val="mi-NZ"/>
        </w:rPr>
        <w:t xml:space="preserve">Over recent years there have been a series of estimates of the implications of different reductions of </w:t>
      </w:r>
      <w:r>
        <w:rPr>
          <w:lang w:val="mi-NZ"/>
        </w:rPr>
        <w:t>the country’s</w:t>
      </w:r>
      <w:r w:rsidRPr="00972EF1">
        <w:rPr>
          <w:lang w:val="mi-NZ"/>
        </w:rPr>
        <w:t xml:space="preserve"> biogenic methane. Two studies have looked at what reductions and by when</w:t>
      </w:r>
      <w:r>
        <w:rPr>
          <w:lang w:val="mi-NZ"/>
        </w:rPr>
        <w:t>,</w:t>
      </w:r>
      <w:r w:rsidRPr="00972EF1">
        <w:rPr>
          <w:lang w:val="mi-NZ"/>
        </w:rPr>
        <w:t xml:space="preserve"> may be needed to make sure Aotearoa adds no additional warming from the gas.</w:t>
      </w:r>
    </w:p>
    <w:p w14:paraId="457565F4" w14:textId="77777777" w:rsidR="00F10C3B" w:rsidRPr="00972EF1" w:rsidRDefault="00F10C3B" w:rsidP="00F10C3B">
      <w:pPr>
        <w:spacing w:line="276" w:lineRule="auto"/>
        <w:rPr>
          <w:lang w:val="mi-NZ"/>
        </w:rPr>
      </w:pPr>
      <w:r w:rsidRPr="00972EF1">
        <w:rPr>
          <w:lang w:val="mi-NZ"/>
        </w:rPr>
        <w:t>In 2018, the Parliamentary Commissioner for the Environment estimated the warming from methane under two different situations.</w:t>
      </w:r>
      <w:r>
        <w:rPr>
          <w:lang w:val="mi-NZ"/>
        </w:rPr>
        <w:t xml:space="preserve"> T</w:t>
      </w:r>
      <w:r w:rsidRPr="00972EF1">
        <w:rPr>
          <w:lang w:val="mi-NZ"/>
        </w:rPr>
        <w:t xml:space="preserve">he analysis showed that if emissions of methane were held constant at 2016 levels, this would lead to an additional 10-20% of warming by 2050 and another 25-40% by 2100. This was </w:t>
      </w:r>
      <w:r>
        <w:rPr>
          <w:lang w:val="mi-NZ"/>
        </w:rPr>
        <w:t>primarily the result of inertia in the climate system that continues to respond to the longer lasting warming effects from past methane emissions.</w:t>
      </w:r>
    </w:p>
    <w:p w14:paraId="43D52A9E" w14:textId="77777777" w:rsidR="00F10C3B" w:rsidRPr="00972EF1" w:rsidRDefault="00F10C3B" w:rsidP="00F10C3B">
      <w:pPr>
        <w:spacing w:line="276" w:lineRule="auto"/>
        <w:rPr>
          <w:lang w:val="mi-NZ"/>
        </w:rPr>
      </w:pPr>
      <w:r w:rsidRPr="00972EF1">
        <w:rPr>
          <w:lang w:val="mi-NZ"/>
        </w:rPr>
        <w:t xml:space="preserve">Given these </w:t>
      </w:r>
      <w:r>
        <w:rPr>
          <w:lang w:val="mi-NZ"/>
        </w:rPr>
        <w:t>persistent</w:t>
      </w:r>
      <w:r w:rsidRPr="00972EF1">
        <w:rPr>
          <w:lang w:val="mi-NZ"/>
        </w:rPr>
        <w:t xml:space="preserve"> warming effects, the reduction of methane that would be required to achieve no additional warming given current levels of emissions was calculated to be at least 10-22% below 2016 levels by 2050 and 20-27% </w:t>
      </w:r>
      <w:r>
        <w:rPr>
          <w:lang w:val="mi-NZ"/>
        </w:rPr>
        <w:t>by</w:t>
      </w:r>
      <w:r w:rsidRPr="00972EF1">
        <w:rPr>
          <w:lang w:val="mi-NZ"/>
        </w:rPr>
        <w:t xml:space="preserve"> 2100. The range reflected differences in global action, from action sufficient to keep temperatures well below 2</w:t>
      </w:r>
      <w:r w:rsidRPr="00972EF1">
        <w:rPr>
          <w:vertAlign w:val="superscript"/>
          <w:lang w:val="mi-NZ"/>
        </w:rPr>
        <w:t xml:space="preserve"> o</w:t>
      </w:r>
      <w:r w:rsidRPr="00972EF1">
        <w:rPr>
          <w:lang w:val="mi-NZ"/>
        </w:rPr>
        <w:t>C, to global action that would lead to between 2 and 3</w:t>
      </w:r>
      <w:r w:rsidRPr="00972EF1">
        <w:rPr>
          <w:vertAlign w:val="superscript"/>
          <w:lang w:val="mi-NZ"/>
        </w:rPr>
        <w:t xml:space="preserve"> </w:t>
      </w:r>
      <w:r w:rsidRPr="00972EF1">
        <w:rPr>
          <w:iCs/>
          <w:vertAlign w:val="superscript"/>
          <w:lang w:val="mi-NZ"/>
        </w:rPr>
        <w:t>o</w:t>
      </w:r>
      <w:r w:rsidRPr="00972EF1">
        <w:rPr>
          <w:lang w:val="mi-NZ"/>
        </w:rPr>
        <w:t xml:space="preserve">C of warming. The lower end of this estimate is based on an assumption that the world does </w:t>
      </w:r>
      <w:r w:rsidRPr="00972EF1">
        <w:rPr>
          <w:b/>
          <w:lang w:val="mi-NZ"/>
        </w:rPr>
        <w:t>less</w:t>
      </w:r>
      <w:r w:rsidRPr="00972EF1">
        <w:rPr>
          <w:lang w:val="mi-NZ"/>
        </w:rPr>
        <w:t xml:space="preserve"> to reduce methane, while the upper end of the range is based on the assumption that the rest of the world does </w:t>
      </w:r>
      <w:r w:rsidRPr="00285C7B">
        <w:rPr>
          <w:lang w:val="mi-NZ"/>
        </w:rPr>
        <w:t>more</w:t>
      </w:r>
      <w:r w:rsidRPr="00972EF1">
        <w:rPr>
          <w:lang w:val="mi-NZ"/>
        </w:rPr>
        <w:t xml:space="preserve"> to reduce methane.</w:t>
      </w:r>
    </w:p>
    <w:p w14:paraId="63D0B53B" w14:textId="77777777" w:rsidR="00F10C3B" w:rsidRPr="00285C7B" w:rsidRDefault="00F10C3B" w:rsidP="00285C7B">
      <w:pPr>
        <w:pStyle w:val="xmsonormal"/>
        <w:spacing w:line="276" w:lineRule="auto"/>
        <w:rPr>
          <w:rFonts w:asciiTheme="minorHAnsi" w:hAnsiTheme="minorHAnsi" w:cstheme="minorBidi"/>
          <w:lang w:val="mi-NZ" w:eastAsia="en-US"/>
        </w:rPr>
      </w:pPr>
      <w:r w:rsidRPr="00285C7B">
        <w:rPr>
          <w:rFonts w:asciiTheme="minorHAnsi" w:hAnsiTheme="minorHAnsi" w:cstheme="minorBidi"/>
          <w:lang w:val="mi-NZ" w:eastAsia="en-US"/>
        </w:rPr>
        <w:t>As part of a submission on the Zero Carbon Bill in 2018, Allen et al. also analysed what reductions in biogenic methane could ensure Aotearoa contributed no further warming from this gas. They applied the GWP* metric in their analysis, which is designed to specifically account for the temperature effects of methane emissions over time.</w:t>
      </w:r>
    </w:p>
    <w:p w14:paraId="58C57D5C" w14:textId="77777777" w:rsidR="00F10C3B" w:rsidRPr="00285C7B" w:rsidRDefault="00F10C3B" w:rsidP="00285C7B">
      <w:pPr>
        <w:pStyle w:val="xmsonormal"/>
        <w:spacing w:line="276" w:lineRule="auto"/>
        <w:rPr>
          <w:rFonts w:asciiTheme="minorHAnsi" w:hAnsiTheme="minorHAnsi" w:cstheme="minorBidi"/>
          <w:lang w:val="mi-NZ" w:eastAsia="en-US"/>
        </w:rPr>
      </w:pPr>
    </w:p>
    <w:p w14:paraId="2B6725F6" w14:textId="7DE7F550" w:rsidR="00F10C3B" w:rsidRPr="00285C7B" w:rsidRDefault="00F10C3B" w:rsidP="00285C7B">
      <w:pPr>
        <w:pStyle w:val="xmsonormal"/>
        <w:spacing w:line="276" w:lineRule="auto"/>
        <w:rPr>
          <w:rFonts w:asciiTheme="minorHAnsi" w:hAnsiTheme="minorHAnsi" w:cstheme="minorBidi"/>
          <w:lang w:val="mi-NZ" w:eastAsia="en-US"/>
        </w:rPr>
      </w:pPr>
      <w:r w:rsidRPr="00285C7B">
        <w:rPr>
          <w:rFonts w:asciiTheme="minorHAnsi" w:hAnsiTheme="minorHAnsi" w:cstheme="minorBidi"/>
          <w:lang w:val="mi-NZ" w:eastAsia="en-US"/>
        </w:rPr>
        <w:t>Using this approach, an estimated reduction in biogenic methane of 0.4% per year would prevent any further warming, which equated to a total reduction of about 10% by 2050. This estimated level of reduction was</w:t>
      </w:r>
      <w:r w:rsidR="00073EAF" w:rsidRPr="00285C7B">
        <w:rPr>
          <w:rFonts w:asciiTheme="minorHAnsi" w:hAnsiTheme="minorHAnsi" w:cstheme="minorBidi"/>
          <w:lang w:val="mi-NZ" w:eastAsia="en-US"/>
        </w:rPr>
        <w:t xml:space="preserve"> </w:t>
      </w:r>
      <w:r w:rsidRPr="00285C7B">
        <w:rPr>
          <w:rFonts w:asciiTheme="minorHAnsi" w:hAnsiTheme="minorHAnsi" w:cstheme="minorBidi"/>
          <w:lang w:val="mi-NZ" w:eastAsia="en-US"/>
        </w:rPr>
        <w:t xml:space="preserve">fairly consistent whatever reductions in biogenic methane other countries made. As it was not the purpose of the submission, the authors did not offer any specific reductions in methane that would be compatible with limiting warming to 1.5 degrees. </w:t>
      </w:r>
    </w:p>
    <w:p w14:paraId="2F282BA7" w14:textId="0F65C0B2" w:rsidR="00F10C3B" w:rsidRDefault="00F10C3B" w:rsidP="00285C7B">
      <w:pPr>
        <w:spacing w:line="276" w:lineRule="auto"/>
        <w:rPr>
          <w:lang w:val="mi-NZ"/>
        </w:rPr>
      </w:pPr>
      <w:r w:rsidRPr="00972EF1">
        <w:rPr>
          <w:lang w:val="mi-NZ"/>
        </w:rPr>
        <w:t xml:space="preserve">In 2019, a </w:t>
      </w:r>
      <w:r>
        <w:rPr>
          <w:lang w:val="mi-NZ"/>
        </w:rPr>
        <w:t>third</w:t>
      </w:r>
      <w:r w:rsidRPr="00972EF1">
        <w:rPr>
          <w:lang w:val="mi-NZ"/>
        </w:rPr>
        <w:t xml:space="preserve"> study </w:t>
      </w:r>
      <w:r>
        <w:rPr>
          <w:lang w:val="mi-NZ"/>
        </w:rPr>
        <w:t>looked to answer that</w:t>
      </w:r>
      <w:r w:rsidRPr="00972EF1">
        <w:rPr>
          <w:lang w:val="mi-NZ"/>
        </w:rPr>
        <w:t xml:space="preserve"> question </w:t>
      </w:r>
      <w:r>
        <w:rPr>
          <w:lang w:val="mi-NZ"/>
        </w:rPr>
        <w:t xml:space="preserve">by asking </w:t>
      </w:r>
      <w:r w:rsidRPr="00972EF1">
        <w:rPr>
          <w:lang w:val="mi-NZ"/>
        </w:rPr>
        <w:t>what warming would Aotearoa contribute if the targets in the Climate Change Response Act were met?</w:t>
      </w:r>
      <w:r w:rsidR="00073EAF">
        <w:rPr>
          <w:lang w:val="mi-NZ"/>
        </w:rPr>
        <w:t xml:space="preserve"> </w:t>
      </w:r>
      <w:r>
        <w:rPr>
          <w:lang w:val="mi-NZ"/>
        </w:rPr>
        <w:t>T</w:t>
      </w:r>
      <w:r w:rsidRPr="00972EF1">
        <w:rPr>
          <w:lang w:val="mi-NZ"/>
        </w:rPr>
        <w:t>he study modelled the warming caused by reaching net-zero long-lived gases by 2050, along with the effect of reaching either the 24% and 47% reduction in methane. The study concluded:</w:t>
      </w:r>
    </w:p>
    <w:p w14:paraId="331F84FA" w14:textId="77777777" w:rsidR="00F10C3B" w:rsidRPr="00713EF4" w:rsidRDefault="00F10C3B" w:rsidP="00F10C3B">
      <w:pPr>
        <w:ind w:left="720"/>
        <w:rPr>
          <w:i/>
          <w:lang w:val="mi-NZ"/>
        </w:rPr>
      </w:pPr>
      <w:r w:rsidRPr="00713EF4">
        <w:rPr>
          <w:i/>
          <w:lang w:val="mi-NZ"/>
        </w:rPr>
        <w:t xml:space="preserve">“Reducing fossil carbon dioxide and nitrous oxide emissions to net zero by 2050 would result in additional warming from those gases combined above current levels until that time. After 2050, their contribution to warming would stabilise and decline very slowly if emissions remain constant after 2050 levels. However, if biogenic methane emissions remain at current levels, New Zealand’s overall contribution to climate change would still continue to increase well beyond 2050.” </w:t>
      </w:r>
    </w:p>
    <w:p w14:paraId="5B3D4675" w14:textId="06D66392" w:rsidR="00F10C3B" w:rsidRPr="00972EF1" w:rsidRDefault="007F11CC" w:rsidP="00F10C3B">
      <w:pPr>
        <w:rPr>
          <w:lang w:val="mi-NZ"/>
        </w:rPr>
      </w:pPr>
      <w:r>
        <w:rPr>
          <w:noProof/>
        </w:rPr>
        <w:lastRenderedPageBreak/>
        <mc:AlternateContent>
          <mc:Choice Requires="wps">
            <w:drawing>
              <wp:anchor distT="0" distB="0" distL="114300" distR="114300" simplePos="0" relativeHeight="251658242" behindDoc="0" locked="0" layoutInCell="1" allowOverlap="1" wp14:anchorId="30F4E738" wp14:editId="537FBCF1">
                <wp:simplePos x="0" y="0"/>
                <wp:positionH relativeFrom="column">
                  <wp:posOffset>-6985</wp:posOffset>
                </wp:positionH>
                <wp:positionV relativeFrom="paragraph">
                  <wp:posOffset>4593590</wp:posOffset>
                </wp:positionV>
                <wp:extent cx="5731510" cy="409575"/>
                <wp:effectExtent l="0" t="0" r="2540" b="9525"/>
                <wp:wrapTopAndBottom/>
                <wp:docPr id="15" name="Text Box 15"/>
                <wp:cNvGraphicFramePr/>
                <a:graphic xmlns:a="http://schemas.openxmlformats.org/drawingml/2006/main">
                  <a:graphicData uri="http://schemas.microsoft.com/office/word/2010/wordprocessingShape">
                    <wps:wsp>
                      <wps:cNvSpPr txBox="1"/>
                      <wps:spPr>
                        <a:xfrm>
                          <a:off x="0" y="0"/>
                          <a:ext cx="5731510" cy="409575"/>
                        </a:xfrm>
                        <a:prstGeom prst="rect">
                          <a:avLst/>
                        </a:prstGeom>
                        <a:solidFill>
                          <a:prstClr val="white"/>
                        </a:solidFill>
                        <a:ln>
                          <a:noFill/>
                        </a:ln>
                      </wps:spPr>
                      <wps:txbx>
                        <w:txbxContent>
                          <w:p w14:paraId="50E8CA17" w14:textId="509D37B9" w:rsidR="00F10C3B" w:rsidRPr="00CB32D6" w:rsidRDefault="00F10C3B" w:rsidP="007F11CC">
                            <w:pPr>
                              <w:pStyle w:val="Caption"/>
                              <w:spacing w:before="0"/>
                              <w:rPr>
                                <w:sz w:val="20"/>
                                <w:szCs w:val="20"/>
                                <w:lang w:val="mi-NZ"/>
                              </w:rPr>
                            </w:pPr>
                            <w:bookmarkStart w:id="408" w:name="_Ref58845617"/>
                            <w:r w:rsidRPr="00CB32D6">
                              <w:rPr>
                                <w:sz w:val="20"/>
                                <w:szCs w:val="20"/>
                              </w:rPr>
                              <w:t xml:space="preserve">Figure </w:t>
                            </w:r>
                            <w:r w:rsidR="0099265D">
                              <w:rPr>
                                <w:sz w:val="20"/>
                                <w:szCs w:val="20"/>
                              </w:rPr>
                              <w:t>A</w:t>
                            </w:r>
                            <w:r w:rsidRPr="00CB32D6">
                              <w:rPr>
                                <w:sz w:val="20"/>
                                <w:szCs w:val="20"/>
                              </w:rPr>
                              <w:t>.</w:t>
                            </w:r>
                            <w:bookmarkEnd w:id="408"/>
                            <w:r w:rsidR="0099265D">
                              <w:rPr>
                                <w:sz w:val="20"/>
                                <w:szCs w:val="20"/>
                              </w:rPr>
                              <w:t>1</w:t>
                            </w:r>
                            <w:r w:rsidRPr="00CB32D6">
                              <w:rPr>
                                <w:sz w:val="20"/>
                                <w:szCs w:val="20"/>
                              </w:rPr>
                              <w:t xml:space="preserve">: </w:t>
                            </w:r>
                            <w:r w:rsidRPr="00F10C3B">
                              <w:t>Combined</w:t>
                            </w:r>
                            <w:r w:rsidRPr="00CB32D6">
                              <w:rPr>
                                <w:sz w:val="20"/>
                                <w:szCs w:val="20"/>
                              </w:rPr>
                              <w:t xml:space="preserve"> contribution to global average temperature change from Aotearoa’s gross emissions of carbon </w:t>
                            </w:r>
                            <w:r w:rsidRPr="007F11CC">
                              <w:t>dioxide</w:t>
                            </w:r>
                            <w:r w:rsidRPr="00CB32D6">
                              <w:rPr>
                                <w:sz w:val="20"/>
                                <w:szCs w:val="20"/>
                              </w:rPr>
                              <w:t>, nitrous oxide, and biogenic methane. (Source: Reisinger and Leahy, NZA</w:t>
                            </w:r>
                            <w:r>
                              <w:rPr>
                                <w:sz w:val="20"/>
                                <w:szCs w:val="20"/>
                              </w:rPr>
                              <w:t>G</w:t>
                            </w:r>
                            <w:r w:rsidRPr="00CB32D6">
                              <w:rPr>
                                <w:sz w:val="20"/>
                                <w:szCs w:val="20"/>
                              </w:rPr>
                              <w:t>RC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F4E738" id="Text Box 15" o:spid="_x0000_s1027" type="#_x0000_t202" style="position:absolute;margin-left:-.55pt;margin-top:361.7pt;width:451.3pt;height:32.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" stroked="f">
                <v:textbox inset="0,0,0,0">
                  <w:txbxContent>
                    <w:p w14:paraId="50E8CA17" w14:textId="509D37B9" w:rsidR="00F10C3B" w:rsidRPr="00CB32D6" w:rsidRDefault="00F10C3B" w:rsidP="007F11CC">
                      <w:pPr>
                        <w:pStyle w:val="Caption"/>
                        <w:spacing w:before="0"/>
                        <w:rPr>
                          <w:sz w:val="20"/>
                          <w:szCs w:val="20"/>
                          <w:lang w:val="mi-NZ"/>
                        </w:rPr>
                      </w:pPr>
                      <w:bookmarkStart w:id="409" w:name="_Ref58845617"/>
                      <w:r w:rsidRPr="00CB32D6">
                        <w:rPr>
                          <w:sz w:val="20"/>
                          <w:szCs w:val="20"/>
                        </w:rPr>
                        <w:t xml:space="preserve">Figure </w:t>
                      </w:r>
                      <w:r w:rsidR="0099265D">
                        <w:rPr>
                          <w:sz w:val="20"/>
                          <w:szCs w:val="20"/>
                        </w:rPr>
                        <w:t>A</w:t>
                      </w:r>
                      <w:r w:rsidRPr="00CB32D6">
                        <w:rPr>
                          <w:sz w:val="20"/>
                          <w:szCs w:val="20"/>
                        </w:rPr>
                        <w:t>.</w:t>
                      </w:r>
                      <w:bookmarkEnd w:id="409"/>
                      <w:r w:rsidR="0099265D">
                        <w:rPr>
                          <w:sz w:val="20"/>
                          <w:szCs w:val="20"/>
                        </w:rPr>
                        <w:t>1</w:t>
                      </w:r>
                      <w:r w:rsidRPr="00CB32D6">
                        <w:rPr>
                          <w:sz w:val="20"/>
                          <w:szCs w:val="20"/>
                        </w:rPr>
                        <w:t xml:space="preserve">: </w:t>
                      </w:r>
                      <w:r w:rsidRPr="00F10C3B">
                        <w:t>Combined</w:t>
                      </w:r>
                      <w:r w:rsidRPr="00CB32D6">
                        <w:rPr>
                          <w:sz w:val="20"/>
                          <w:szCs w:val="20"/>
                        </w:rPr>
                        <w:t xml:space="preserve"> contribution to global average temperature change from Aotearoa’s gross emissions of carbon </w:t>
                      </w:r>
                      <w:r w:rsidRPr="007F11CC">
                        <w:t>dioxide</w:t>
                      </w:r>
                      <w:r w:rsidRPr="00CB32D6">
                        <w:rPr>
                          <w:sz w:val="20"/>
                          <w:szCs w:val="20"/>
                        </w:rPr>
                        <w:t>, nitrous oxide, and biogenic methane. (Source: Reisinger and Leahy, NZA</w:t>
                      </w:r>
                      <w:r>
                        <w:rPr>
                          <w:sz w:val="20"/>
                          <w:szCs w:val="20"/>
                        </w:rPr>
                        <w:t>G</w:t>
                      </w:r>
                      <w:r w:rsidRPr="00CB32D6">
                        <w:rPr>
                          <w:sz w:val="20"/>
                          <w:szCs w:val="20"/>
                        </w:rPr>
                        <w:t>RC 2019)</w:t>
                      </w:r>
                    </w:p>
                  </w:txbxContent>
                </v:textbox>
                <w10:wrap type="topAndBottom"/>
              </v:shape>
            </w:pict>
          </mc:Fallback>
        </mc:AlternateContent>
      </w:r>
      <w:r w:rsidR="00F10C3B" w:rsidRPr="00972EF1">
        <w:rPr>
          <w:noProof/>
          <w:lang w:val="mi-NZ"/>
        </w:rPr>
        <w:drawing>
          <wp:anchor distT="0" distB="0" distL="114300" distR="114300" simplePos="0" relativeHeight="251658241" behindDoc="0" locked="0" layoutInCell="1" allowOverlap="1" wp14:anchorId="4E761FC4" wp14:editId="186ACD23">
            <wp:simplePos x="0" y="0"/>
            <wp:positionH relativeFrom="margin">
              <wp:posOffset>59301</wp:posOffset>
            </wp:positionH>
            <wp:positionV relativeFrom="paragraph">
              <wp:posOffset>1127760</wp:posOffset>
            </wp:positionV>
            <wp:extent cx="5731510" cy="3562350"/>
            <wp:effectExtent l="0" t="0" r="254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rotWithShape="1">
                    <a:blip r:embed="rId72">
                      <a:extLst>
                        <a:ext uri="{28A0092B-C50C-407E-A947-70E740481C1C}">
                          <a14:useLocalDpi xmlns:a14="http://schemas.microsoft.com/office/drawing/2010/main" val="0"/>
                        </a:ext>
                      </a:extLst>
                    </a:blip>
                    <a:srcRect b="17159"/>
                    <a:stretch/>
                  </pic:blipFill>
                  <pic:spPr bwMode="auto">
                    <a:xfrm>
                      <a:off x="0" y="0"/>
                      <a:ext cx="5731510" cy="3562350"/>
                    </a:xfrm>
                    <a:prstGeom prst="rect">
                      <a:avLst/>
                    </a:prstGeom>
                    <a:ln>
                      <a:noFill/>
                    </a:ln>
                    <a:extLst>
                      <a:ext uri="{53640926-AAD7-44D8-BBD7-CCE9431645EC}">
                        <a14:shadowObscured xmlns:a14="http://schemas.microsoft.com/office/drawing/2010/main"/>
                      </a:ext>
                    </a:extLst>
                  </pic:spPr>
                </pic:pic>
              </a:graphicData>
            </a:graphic>
          </wp:anchor>
        </w:drawing>
      </w:r>
      <w:r w:rsidR="00F10C3B">
        <w:rPr>
          <w:lang w:val="mi-NZ"/>
        </w:rPr>
        <w:t xml:space="preserve">Figure </w:t>
      </w:r>
      <w:r w:rsidR="0099265D">
        <w:rPr>
          <w:lang w:val="mi-NZ"/>
        </w:rPr>
        <w:t>A</w:t>
      </w:r>
      <w:r w:rsidR="00F10C3B">
        <w:rPr>
          <w:lang w:val="mi-NZ"/>
        </w:rPr>
        <w:t>.</w:t>
      </w:r>
      <w:r w:rsidR="0099265D">
        <w:rPr>
          <w:lang w:val="mi-NZ"/>
        </w:rPr>
        <w:t>1</w:t>
      </w:r>
      <w:r w:rsidR="00F10C3B">
        <w:rPr>
          <w:lang w:val="mi-NZ"/>
        </w:rPr>
        <w:t xml:space="preserve"> from </w:t>
      </w:r>
      <w:r w:rsidR="00F10C3B">
        <w:rPr>
          <w:lang w:val="en-US"/>
        </w:rPr>
        <w:t xml:space="preserve">Reisinger and Leahy </w:t>
      </w:r>
      <w:r w:rsidR="00F10C3B">
        <w:rPr>
          <w:lang w:val="en-US"/>
        </w:rPr>
        <w:fldChar w:fldCharType="begin"/>
      </w:r>
      <w:r w:rsidR="00F10C3B">
        <w:rPr>
          <w:lang w:val="en-US"/>
        </w:rPr>
        <w:instrText xml:space="preserve"> ADDIN ZOTERO_ITEM CSL_CITATION {"citationID":"xbIAuYz4","properties":{"formattedCitation":"(2019)","plainCitation":"(2019)","noteIndex":0},"citationItems":[{"id":1944,"uris":["http://zotero.org/users/600291/items/S6TRP3RN"],"uri":["http://zotero.org/users/600291/items/S6TRP3RN"],"itemData":{"id":1944,"type":"report","event-place":"Palmerston North","note":"24 June 2019","publisher":"New Zealand Agricultural Greenhouse Gas Research Centre","publisher-place":"Palmerston North","title":"Scientific aspects of New Zealand’s 2050 emission targets A note on scientific and technical issues related to the Zero Carbon Bill","URL":"https://www.nzagrc.org.nz/policy,listing,593,scientific-aspects-of-new-zealands-2050-emission-targets.html","author":[{"family":"Reisinger","given":"Andy"},{"family":"Leahy","given":"Sinead"}],"issued":{"date-parts":[["2019"]]}},"suppress-author":true}],"schema":"https://github.com/citation-style-language/schema/raw/master/csl-citation.json"} </w:instrText>
      </w:r>
      <w:r w:rsidR="00F10C3B">
        <w:rPr>
          <w:lang w:val="en-US"/>
        </w:rPr>
        <w:fldChar w:fldCharType="separate"/>
      </w:r>
      <w:r w:rsidR="00F10C3B" w:rsidRPr="00846285">
        <w:rPr>
          <w:rFonts w:ascii="Calibri" w:hAnsi="Calibri" w:cs="Calibri"/>
        </w:rPr>
        <w:t>(2019)</w:t>
      </w:r>
      <w:r w:rsidR="00F10C3B">
        <w:rPr>
          <w:lang w:val="en-US"/>
        </w:rPr>
        <w:fldChar w:fldCharType="end"/>
      </w:r>
      <w:r w:rsidR="00F10C3B">
        <w:rPr>
          <w:lang w:val="en-US"/>
        </w:rPr>
        <w:t xml:space="preserve"> </w:t>
      </w:r>
      <w:r w:rsidR="00F10C3B">
        <w:rPr>
          <w:lang w:val="mi-NZ"/>
        </w:rPr>
        <w:t>shows that if</w:t>
      </w:r>
      <w:r w:rsidR="00F10C3B" w:rsidRPr="00972EF1">
        <w:rPr>
          <w:lang w:val="mi-NZ"/>
        </w:rPr>
        <w:t xml:space="preserve"> biogenic methane emissions were reduced by 10% below 2017 levels by 2030 and by 24% by 2050, this would result in </w:t>
      </w:r>
      <w:r w:rsidR="00F10C3B">
        <w:rPr>
          <w:lang w:val="mi-NZ"/>
        </w:rPr>
        <w:t xml:space="preserve">some </w:t>
      </w:r>
      <w:r w:rsidR="00F10C3B" w:rsidRPr="00972EF1">
        <w:rPr>
          <w:lang w:val="mi-NZ"/>
        </w:rPr>
        <w:t xml:space="preserve">additional warming from all emissions until </w:t>
      </w:r>
      <w:r w:rsidR="00F10C3B">
        <w:rPr>
          <w:lang w:val="mi-NZ"/>
        </w:rPr>
        <w:t xml:space="preserve">approximately </w:t>
      </w:r>
      <w:r w:rsidR="00F10C3B" w:rsidRPr="00972EF1">
        <w:rPr>
          <w:lang w:val="mi-NZ"/>
        </w:rPr>
        <w:t xml:space="preserve">2050. If emissions of all gases then continue at the same level after 2050, </w:t>
      </w:r>
      <w:r w:rsidR="00F10C3B">
        <w:rPr>
          <w:lang w:val="mi-NZ"/>
        </w:rPr>
        <w:t>Aotearoa</w:t>
      </w:r>
      <w:r w:rsidR="00F10C3B" w:rsidRPr="00972EF1">
        <w:rPr>
          <w:lang w:val="mi-NZ"/>
        </w:rPr>
        <w:t xml:space="preserve">’s contribution to global warming would remain at approximately the same level for the second half of the 21st century. </w:t>
      </w:r>
    </w:p>
    <w:p w14:paraId="58C4D5F6" w14:textId="77777777" w:rsidR="00F10C3B" w:rsidRPr="00B56B28" w:rsidRDefault="00F10C3B" w:rsidP="00F10C3B">
      <w:pPr>
        <w:rPr>
          <w:lang w:val="mi-NZ"/>
        </w:rPr>
      </w:pPr>
      <w:r w:rsidRPr="00972EF1">
        <w:rPr>
          <w:lang w:val="mi-NZ"/>
        </w:rPr>
        <w:t xml:space="preserve">If biogenic methane were reduced by 47% below 2017 levels by 2050, this would see the total warming caused by </w:t>
      </w:r>
      <w:r>
        <w:rPr>
          <w:lang w:val="mi-NZ"/>
        </w:rPr>
        <w:t>Aotearoa</w:t>
      </w:r>
      <w:r w:rsidRPr="00972EF1">
        <w:rPr>
          <w:lang w:val="mi-NZ"/>
        </w:rPr>
        <w:t xml:space="preserve"> peak around 2040 and decline thereafter. If emissions of all gases then continue unchanged, </w:t>
      </w:r>
      <w:r>
        <w:rPr>
          <w:lang w:val="mi-NZ"/>
        </w:rPr>
        <w:t>Aotearoa</w:t>
      </w:r>
      <w:r w:rsidRPr="00972EF1">
        <w:rPr>
          <w:lang w:val="mi-NZ"/>
        </w:rPr>
        <w:t>’s contribution to global warming by the end of the 21st century would be slightly below the warming caused today.</w:t>
      </w:r>
    </w:p>
    <w:p w14:paraId="125127F2" w14:textId="77777777" w:rsidR="00F10C3B" w:rsidRDefault="00F10C3B" w:rsidP="00F10C3B"/>
    <w:p w14:paraId="03D192ED" w14:textId="77777777" w:rsidR="00BA01B1" w:rsidRDefault="00BA01B1" w:rsidP="00400204"/>
    <w:sectPr w:rsidR="00BA01B1" w:rsidSect="00622805">
      <w:pgSz w:w="11906" w:h="16838"/>
      <w:pgMar w:top="1361" w:right="1361" w:bottom="1361"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BE5CB5" w14:textId="77777777" w:rsidR="00982BBB" w:rsidRDefault="00982BBB" w:rsidP="00CF04D4">
      <w:r>
        <w:separator/>
      </w:r>
    </w:p>
    <w:p w14:paraId="07F753B0" w14:textId="77777777" w:rsidR="00982BBB" w:rsidRDefault="00982BBB"/>
  </w:endnote>
  <w:endnote w:type="continuationSeparator" w:id="0">
    <w:p w14:paraId="0DBFAD5A" w14:textId="77777777" w:rsidR="00982BBB" w:rsidRDefault="00982BBB" w:rsidP="00CF04D4">
      <w:r>
        <w:continuationSeparator/>
      </w:r>
    </w:p>
    <w:p w14:paraId="0D6A171C" w14:textId="77777777" w:rsidR="00982BBB" w:rsidRDefault="00982BBB"/>
  </w:endnote>
  <w:endnote w:type="continuationNotice" w:id="1">
    <w:p w14:paraId="79D82C15" w14:textId="77777777" w:rsidR="00982BBB" w:rsidRDefault="00982BBB">
      <w:pPr>
        <w:spacing w:before="0" w:after="0" w:line="240" w:lineRule="auto"/>
      </w:pPr>
    </w:p>
    <w:p w14:paraId="75200F2C" w14:textId="77777777" w:rsidR="00982BBB" w:rsidRDefault="00982B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rutiger LT Pro 57 Condensed">
    <w:altName w:val="Calibri"/>
    <w:panose1 w:val="00000000000000000000"/>
    <w:charset w:val="00"/>
    <w:family w:val="swiss"/>
    <w:notTrueType/>
    <w:pitch w:val="default"/>
    <w:sig w:usb0="00000003" w:usb1="00000000" w:usb2="00000000" w:usb3="00000000" w:csb0="00000001" w:csb1="00000000"/>
  </w:font>
  <w:font w:name="Times New Roman (Body CS)">
    <w:altName w:val="Times New Roman"/>
    <w:charset w:val="00"/>
    <w:family w:val="roman"/>
    <w:pitch w:val="variable"/>
    <w:sig w:usb0="E0002AEF" w:usb1="C0007841" w:usb2="00000009" w:usb3="00000000" w:csb0="000001FF" w:csb1="00000000"/>
  </w:font>
  <w:font w:name="Yu Mincho">
    <w:altName w:val="游明朝"/>
    <w:charset w:val="80"/>
    <w:family w:val="roma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D6BE3" w14:textId="77777777" w:rsidR="00CA53F8" w:rsidRDefault="00CA53F8">
    <w:pPr>
      <w:pStyle w:val="Footer"/>
    </w:pPr>
  </w:p>
  <w:p w14:paraId="25368E3C" w14:textId="77777777" w:rsidR="00CA53F8" w:rsidRDefault="00CA53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6832779"/>
      <w:docPartObj>
        <w:docPartGallery w:val="Page Numbers (Bottom of Page)"/>
        <w:docPartUnique/>
      </w:docPartObj>
    </w:sdtPr>
    <w:sdtEndPr>
      <w:rPr>
        <w:noProof/>
      </w:rPr>
    </w:sdtEndPr>
    <w:sdtContent>
      <w:p w14:paraId="5EB3462B" w14:textId="3D28BBBF" w:rsidR="00A760B3" w:rsidRDefault="00A760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F34C7E" w14:textId="77777777" w:rsidR="00CA53F8" w:rsidRDefault="00CA53F8" w:rsidP="00F754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6A122" w14:textId="69749CCA" w:rsidR="00330BC1" w:rsidRDefault="00654C6E">
    <w:pPr>
      <w:pStyle w:val="Footer"/>
    </w:pPr>
    <w:r>
      <w:rPr>
        <w:noProof/>
      </w:rPr>
      <mc:AlternateContent>
        <mc:Choice Requires="wps">
          <w:drawing>
            <wp:anchor distT="0" distB="0" distL="114300" distR="114300" simplePos="0" relativeHeight="251661312" behindDoc="0" locked="0" layoutInCell="0" allowOverlap="1" wp14:anchorId="39AFDBB5" wp14:editId="360BB0DE">
              <wp:simplePos x="0" y="0"/>
              <wp:positionH relativeFrom="page">
                <wp:posOffset>0</wp:posOffset>
              </wp:positionH>
              <wp:positionV relativeFrom="page">
                <wp:posOffset>10234930</wp:posOffset>
              </wp:positionV>
              <wp:extent cx="7560310" cy="266700"/>
              <wp:effectExtent l="0" t="0" r="0" b="0"/>
              <wp:wrapNone/>
              <wp:docPr id="10" name="MSIPCM4414425bbebcf1fcb530d873" descr="{&quot;HashCode&quot;:-23533807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F0A852" w14:textId="6AC75DBB" w:rsidR="00654C6E" w:rsidRPr="00654C6E" w:rsidRDefault="00654C6E" w:rsidP="00654C6E">
                          <w:pPr>
                            <w:spacing w:before="0" w:after="0"/>
                            <w:jc w:val="center"/>
                            <w:rPr>
                              <w:rFonts w:ascii="Calibri" w:hAnsi="Calibri"/>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AFDBB5" id="_x0000_t202" coordsize="21600,21600" o:spt="202" path="m,l,21600r21600,l21600,xe">
              <v:stroke joinstyle="miter"/>
              <v:path gradientshapeok="t" o:connecttype="rect"/>
            </v:shapetype>
            <v:shape id="MSIPCM4414425bbebcf1fcb530d873" o:spid="_x0000_s1030" type="#_x0000_t202" alt="{&quot;HashCode&quot;:-235338071,&quot;Height&quot;:841.0,&quot;Width&quot;:595.0,&quot;Placement&quot;:&quot;Footer&quot;,&quot;Index&quot;:&quot;FirstPage&quot;,&quot;Section&quot;:1,&quot;Top&quot;:0.0,&quot;Left&quot;:0.0}" style="position:absolute;margin-left:0;margin-top:805.9pt;width:595.3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" o:allowincell="f" filled="f" stroked="f" strokeweight=".5pt">
              <v:textbox inset=",0,,0">
                <w:txbxContent>
                  <w:p w14:paraId="4EF0A852" w14:textId="6AC75DBB" w:rsidR="00654C6E" w:rsidRPr="00654C6E" w:rsidRDefault="00654C6E" w:rsidP="00654C6E">
                    <w:pPr>
                      <w:spacing w:before="0" w:after="0"/>
                      <w:jc w:val="center"/>
                      <w:rPr>
                        <w:rFonts w:ascii="Calibri" w:hAnsi="Calibri"/>
                        <w:color w:val="000000"/>
                        <w:sz w:val="2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8040238"/>
      <w:docPartObj>
        <w:docPartGallery w:val="Page Numbers (Bottom of Page)"/>
        <w:docPartUnique/>
      </w:docPartObj>
    </w:sdtPr>
    <w:sdtEndPr>
      <w:rPr>
        <w:noProof/>
      </w:rPr>
    </w:sdtEndPr>
    <w:sdtContent>
      <w:p w14:paraId="24AD5BE4" w14:textId="5C7601D8" w:rsidR="00592749" w:rsidRDefault="003B52AB">
        <w:pPr>
          <w:pStyle w:val="Footer"/>
          <w:jc w:val="right"/>
        </w:pPr>
        <w:r>
          <w:rPr>
            <w:noProof/>
          </w:rPr>
          <mc:AlternateContent>
            <mc:Choice Requires="wps">
              <w:drawing>
                <wp:anchor distT="0" distB="0" distL="114300" distR="114300" simplePos="0" relativeHeight="251657216" behindDoc="0" locked="0" layoutInCell="0" allowOverlap="1" wp14:anchorId="0490BFED" wp14:editId="10136E7E">
                  <wp:simplePos x="0" y="0"/>
                  <wp:positionH relativeFrom="page">
                    <wp:posOffset>0</wp:posOffset>
                  </wp:positionH>
                  <wp:positionV relativeFrom="page">
                    <wp:posOffset>10234930</wp:posOffset>
                  </wp:positionV>
                  <wp:extent cx="7560310" cy="266700"/>
                  <wp:effectExtent l="0" t="0" r="0" b="0"/>
                  <wp:wrapNone/>
                  <wp:docPr id="37" name="MSIPCMc2674333b05c503a52471fb3" descr="{&quot;HashCode&quot;:-235338071,&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9F2965" w14:textId="5FE9EFC9" w:rsidR="003B52AB" w:rsidRPr="003B52AB" w:rsidRDefault="003B52AB" w:rsidP="003B52AB">
                              <w:pPr>
                                <w:spacing w:before="0" w:after="0"/>
                                <w:jc w:val="center"/>
                                <w:rPr>
                                  <w:rFonts w:ascii="Calibri" w:hAnsi="Calibri" w:cs="Calibri"/>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490BFED" id="_x0000_t202" coordsize="21600,21600" o:spt="202" path="m,l,21600r21600,l21600,xe">
                  <v:stroke joinstyle="miter"/>
                  <v:path gradientshapeok="t" o:connecttype="rect"/>
                </v:shapetype>
                <v:shape id="MSIPCMc2674333b05c503a52471fb3" o:spid="_x0000_s1031" type="#_x0000_t202" alt="{&quot;HashCode&quot;:-235338071,&quot;Height&quot;:841.0,&quot;Width&quot;:595.0,&quot;Placement&quot;:&quot;Footer&quot;,&quot;Index&quot;:&quot;Primary&quot;,&quot;Section&quot;:5,&quot;Top&quot;:0.0,&quot;Left&quot;:0.0}" style="position:absolute;left:0;text-align:left;margin-left:0;margin-top:805.9pt;width:595.3pt;height:21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" o:allowincell="f" filled="f" stroked="f" strokeweight=".5pt">
                  <v:textbox inset=",0,,0">
                    <w:txbxContent>
                      <w:p w14:paraId="179F2965" w14:textId="5FE9EFC9" w:rsidR="003B52AB" w:rsidRPr="003B52AB" w:rsidRDefault="003B52AB" w:rsidP="003B52AB">
                        <w:pPr>
                          <w:spacing w:before="0" w:after="0"/>
                          <w:jc w:val="center"/>
                          <w:rPr>
                            <w:rFonts w:ascii="Calibri" w:hAnsi="Calibri" w:cs="Calibri"/>
                            <w:color w:val="000000"/>
                            <w:sz w:val="20"/>
                          </w:rPr>
                        </w:pPr>
                      </w:p>
                    </w:txbxContent>
                  </v:textbox>
                  <w10:wrap anchorx="page" anchory="page"/>
                </v:shape>
              </w:pict>
            </mc:Fallback>
          </mc:AlternateContent>
        </w:r>
        <w:r w:rsidR="00592749">
          <w:fldChar w:fldCharType="begin"/>
        </w:r>
        <w:r w:rsidR="00592749">
          <w:instrText xml:space="preserve"> PAGE   \* MERGEFORMAT </w:instrText>
        </w:r>
        <w:r w:rsidR="00592749">
          <w:fldChar w:fldCharType="separate"/>
        </w:r>
        <w:r w:rsidR="00592749">
          <w:rPr>
            <w:noProof/>
          </w:rPr>
          <w:t>2</w:t>
        </w:r>
        <w:r w:rsidR="00592749">
          <w:rPr>
            <w:noProof/>
          </w:rPr>
          <w:fldChar w:fldCharType="end"/>
        </w:r>
      </w:p>
    </w:sdtContent>
  </w:sdt>
  <w:p w14:paraId="40CF67AB" w14:textId="0886E9E8" w:rsidR="00CA53F8" w:rsidRDefault="00CA53F8" w:rsidP="00747D1E">
    <w:pPr>
      <w:pStyle w:val="Footer"/>
      <w:jc w:val="center"/>
    </w:pPr>
  </w:p>
  <w:p w14:paraId="10EBCAB0" w14:textId="0FFC69DB" w:rsidR="003630BE" w:rsidRDefault="003630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1E234A" w14:textId="77777777" w:rsidR="00982BBB" w:rsidRDefault="00982BBB" w:rsidP="00CF04D4">
      <w:r>
        <w:separator/>
      </w:r>
    </w:p>
    <w:p w14:paraId="5B3CCB76" w14:textId="77777777" w:rsidR="00982BBB" w:rsidRDefault="00982BBB"/>
  </w:footnote>
  <w:footnote w:type="continuationSeparator" w:id="0">
    <w:p w14:paraId="79821FF9" w14:textId="77777777" w:rsidR="00982BBB" w:rsidRDefault="00982BBB" w:rsidP="00CF04D4">
      <w:r>
        <w:continuationSeparator/>
      </w:r>
    </w:p>
    <w:p w14:paraId="10117AF0" w14:textId="77777777" w:rsidR="00982BBB" w:rsidRDefault="00982BBB"/>
  </w:footnote>
  <w:footnote w:type="continuationNotice" w:id="1">
    <w:p w14:paraId="3EFAA184" w14:textId="77777777" w:rsidR="00982BBB" w:rsidRDefault="00982BBB">
      <w:pPr>
        <w:spacing w:before="0" w:after="0" w:line="240" w:lineRule="auto"/>
      </w:pPr>
    </w:p>
    <w:p w14:paraId="30132CE1" w14:textId="77777777" w:rsidR="00982BBB" w:rsidRDefault="00982B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85C9D" w14:textId="77777777" w:rsidR="00CA53F8" w:rsidRDefault="00CA53F8">
    <w:pPr>
      <w:pStyle w:val="Header"/>
    </w:pPr>
  </w:p>
  <w:p w14:paraId="0C50D240" w14:textId="77777777" w:rsidR="00CA53F8" w:rsidRDefault="00CA53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352F6" w14:textId="6D181131" w:rsidR="00CA53F8" w:rsidRDefault="00CA53F8" w:rsidP="004064EE">
    <w:pPr>
      <w:tabs>
        <w:tab w:val="left" w:pos="3342"/>
      </w:tabs>
      <w:jc w:val="center"/>
    </w:pPr>
    <w:r>
      <w:rPr>
        <w:noProof/>
      </w:rPr>
      <mc:AlternateContent>
        <mc:Choice Requires="wps">
          <w:drawing>
            <wp:anchor distT="0" distB="0" distL="114300" distR="114300" simplePos="0" relativeHeight="251655168" behindDoc="0" locked="0" layoutInCell="0" allowOverlap="1" wp14:anchorId="11262EBA" wp14:editId="4171C991">
              <wp:simplePos x="0" y="0"/>
              <wp:positionH relativeFrom="page">
                <wp:posOffset>0</wp:posOffset>
              </wp:positionH>
              <wp:positionV relativeFrom="page">
                <wp:posOffset>190500</wp:posOffset>
              </wp:positionV>
              <wp:extent cx="7560310" cy="266700"/>
              <wp:effectExtent l="0" t="0" r="0" b="0"/>
              <wp:wrapNone/>
              <wp:docPr id="60" name="MSIPCM1aed467e97ea8ea7a524f888" descr="{&quot;HashCode&quot;:-259475640,&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BED0E8" w14:textId="5A5DEA14" w:rsidR="00CA53F8" w:rsidRPr="00486FEC" w:rsidRDefault="00CA53F8" w:rsidP="007D3E3B">
                          <w:pPr>
                            <w:spacing w:before="0" w:after="0"/>
                            <w:jc w:val="center"/>
                            <w:rPr>
                              <w:rFonts w:ascii="Calibri" w:hAnsi="Calibri" w:cs="Calibri"/>
                              <w:b/>
                              <w:bCs/>
                              <w:color w:val="000000"/>
                              <w:sz w:val="20"/>
                              <w:szCs w:val="32"/>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1262EBA" id="_x0000_t202" coordsize="21600,21600" o:spt="202" path="m,l,21600r21600,l21600,xe">
              <v:stroke joinstyle="miter"/>
              <v:path gradientshapeok="t" o:connecttype="rect"/>
            </v:shapetype>
            <v:shape id="MSIPCM1aed467e97ea8ea7a524f888" o:spid="_x0000_s1028" type="#_x0000_t202" alt="{&quot;HashCode&quot;:-259475640,&quot;Height&quot;:841.0,&quot;Width&quot;:595.0,&quot;Placement&quot;:&quot;Header&quot;,&quot;Index&quot;:&quot;Primary&quot;,&quot;Section&quot;:1,&quot;Top&quot;:0.0,&quot;Left&quot;:0.0}" style="position:absolute;left:0;text-align:left;margin-left:0;margin-top:15pt;width:595.3pt;height:21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" o:allowincell="f" filled="f" stroked="f" strokeweight=".5pt">
              <v:textbox inset=",0,,0">
                <w:txbxContent>
                  <w:p w14:paraId="4FBED0E8" w14:textId="5A5DEA14" w:rsidR="00CA53F8" w:rsidRPr="00486FEC" w:rsidRDefault="00CA53F8" w:rsidP="007D3E3B">
                    <w:pPr>
                      <w:spacing w:before="0" w:after="0"/>
                      <w:jc w:val="center"/>
                      <w:rPr>
                        <w:rFonts w:ascii="Calibri" w:hAnsi="Calibri" w:cs="Calibri"/>
                        <w:b/>
                        <w:bCs/>
                        <w:color w:val="000000"/>
                        <w:sz w:val="20"/>
                        <w:szCs w:val="32"/>
                      </w:rPr>
                    </w:pPr>
                  </w:p>
                </w:txbxContent>
              </v:textbox>
              <w10:wrap anchorx="page" anchory="page"/>
            </v:shape>
          </w:pict>
        </mc:Fallback>
      </mc:AlternateContent>
    </w:r>
    <w:r w:rsidR="009161A5">
      <w:t>31</w:t>
    </w:r>
    <w:r w:rsidR="004064EE">
      <w:t xml:space="preserve"> </w:t>
    </w:r>
    <w:r w:rsidR="009161A5">
      <w:t>January</w:t>
    </w:r>
    <w:r w:rsidR="004064EE">
      <w:t xml:space="preserve"> </w:t>
    </w:r>
    <w:r w:rsidR="008B3BC2">
      <w:t>2021 Draft Advice for Consultation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2E912" w14:textId="3097E2F5" w:rsidR="00330BC1" w:rsidRDefault="00654C6E">
    <w:pPr>
      <w:pStyle w:val="Header"/>
    </w:pPr>
    <w:r>
      <w:rPr>
        <w:noProof/>
      </w:rPr>
      <mc:AlternateContent>
        <mc:Choice Requires="wps">
          <w:drawing>
            <wp:anchor distT="0" distB="0" distL="114300" distR="114300" simplePos="0" relativeHeight="251659264" behindDoc="0" locked="0" layoutInCell="0" allowOverlap="1" wp14:anchorId="4DEA98EF" wp14:editId="12EB75CD">
              <wp:simplePos x="0" y="0"/>
              <wp:positionH relativeFrom="page">
                <wp:posOffset>0</wp:posOffset>
              </wp:positionH>
              <wp:positionV relativeFrom="page">
                <wp:posOffset>190500</wp:posOffset>
              </wp:positionV>
              <wp:extent cx="7560310" cy="266700"/>
              <wp:effectExtent l="0" t="0" r="0" b="0"/>
              <wp:wrapNone/>
              <wp:docPr id="9" name="MSIPCM942d43d8ba0a0df7112e57c7" descr="{&quot;HashCode&quot;:-259475640,&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04715C" w14:textId="7D63B967" w:rsidR="00654C6E" w:rsidRPr="00654C6E" w:rsidRDefault="00654C6E" w:rsidP="00654C6E">
                          <w:pPr>
                            <w:spacing w:before="0" w:after="0"/>
                            <w:jc w:val="center"/>
                            <w:rPr>
                              <w:rFonts w:ascii="Calibri" w:hAnsi="Calibri"/>
                              <w:color w:val="000000"/>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DEA98EF" id="_x0000_t202" coordsize="21600,21600" o:spt="202" path="m,l,21600r21600,l21600,xe">
              <v:stroke joinstyle="miter"/>
              <v:path gradientshapeok="t" o:connecttype="rect"/>
            </v:shapetype>
            <v:shape id="MSIPCM942d43d8ba0a0df7112e57c7" o:spid="_x0000_s1029" type="#_x0000_t202" alt="{&quot;HashCode&quot;:-259475640,&quot;Height&quot;:841.0,&quot;Width&quot;:595.0,&quot;Placement&quot;:&quot;Header&quot;,&quot;Index&quot;:&quot;FirstPage&quot;,&quot;Section&quot;:1,&quot;Top&quot;:0.0,&quot;Left&quot;:0.0}" style="position:absolute;margin-left:0;margin-top:15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" o:allowincell="f" filled="f" stroked="f" strokeweight=".5pt">
              <v:textbox inset=",0,,0">
                <w:txbxContent>
                  <w:p w14:paraId="0D04715C" w14:textId="7D63B967" w:rsidR="00654C6E" w:rsidRPr="00654C6E" w:rsidRDefault="00654C6E" w:rsidP="00654C6E">
                    <w:pPr>
                      <w:spacing w:before="0" w:after="0"/>
                      <w:jc w:val="center"/>
                      <w:rPr>
                        <w:rFonts w:ascii="Calibri" w:hAnsi="Calibri"/>
                        <w:color w:val="000000"/>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31616"/>
    <w:multiLevelType w:val="hybridMultilevel"/>
    <w:tmpl w:val="71E0F69C"/>
    <w:lvl w:ilvl="0" w:tplc="783AA7FE">
      <w:start w:val="1"/>
      <w:numFmt w:val="lowerLetter"/>
      <w:lvlText w:val="%1."/>
      <w:lvlJc w:val="left"/>
      <w:pPr>
        <w:ind w:left="720" w:hanging="360"/>
      </w:pPr>
      <w:rPr>
        <w:rFonts w:asciiTheme="minorHAnsi" w:eastAsiaTheme="minorHAnsi" w:hAnsiTheme="minorHAnsi" w:cstheme="minorBidi"/>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693AEE"/>
    <w:multiLevelType w:val="hybridMultilevel"/>
    <w:tmpl w:val="E5AEF7B8"/>
    <w:lvl w:ilvl="0" w:tplc="CF020BF0">
      <w:start w:val="1"/>
      <w:numFmt w:val="bullet"/>
      <w:lvlText w:val="•"/>
      <w:lvlJc w:val="left"/>
      <w:pPr>
        <w:tabs>
          <w:tab w:val="num" w:pos="720"/>
        </w:tabs>
        <w:ind w:left="720" w:hanging="360"/>
      </w:pPr>
      <w:rPr>
        <w:rFonts w:ascii="Arial" w:hAnsi="Arial" w:hint="default"/>
      </w:rPr>
    </w:lvl>
    <w:lvl w:ilvl="1" w:tplc="444ECC78" w:tentative="1">
      <w:start w:val="1"/>
      <w:numFmt w:val="bullet"/>
      <w:lvlText w:val="•"/>
      <w:lvlJc w:val="left"/>
      <w:pPr>
        <w:tabs>
          <w:tab w:val="num" w:pos="1440"/>
        </w:tabs>
        <w:ind w:left="1440" w:hanging="360"/>
      </w:pPr>
      <w:rPr>
        <w:rFonts w:ascii="Arial" w:hAnsi="Arial" w:hint="default"/>
      </w:rPr>
    </w:lvl>
    <w:lvl w:ilvl="2" w:tplc="92F2D31A" w:tentative="1">
      <w:start w:val="1"/>
      <w:numFmt w:val="bullet"/>
      <w:lvlText w:val="•"/>
      <w:lvlJc w:val="left"/>
      <w:pPr>
        <w:tabs>
          <w:tab w:val="num" w:pos="2160"/>
        </w:tabs>
        <w:ind w:left="2160" w:hanging="360"/>
      </w:pPr>
      <w:rPr>
        <w:rFonts w:ascii="Arial" w:hAnsi="Arial" w:hint="default"/>
      </w:rPr>
    </w:lvl>
    <w:lvl w:ilvl="3" w:tplc="3490EB94" w:tentative="1">
      <w:start w:val="1"/>
      <w:numFmt w:val="bullet"/>
      <w:lvlText w:val="•"/>
      <w:lvlJc w:val="left"/>
      <w:pPr>
        <w:tabs>
          <w:tab w:val="num" w:pos="2880"/>
        </w:tabs>
        <w:ind w:left="2880" w:hanging="360"/>
      </w:pPr>
      <w:rPr>
        <w:rFonts w:ascii="Arial" w:hAnsi="Arial" w:hint="default"/>
      </w:rPr>
    </w:lvl>
    <w:lvl w:ilvl="4" w:tplc="443ACBEC" w:tentative="1">
      <w:start w:val="1"/>
      <w:numFmt w:val="bullet"/>
      <w:lvlText w:val="•"/>
      <w:lvlJc w:val="left"/>
      <w:pPr>
        <w:tabs>
          <w:tab w:val="num" w:pos="3600"/>
        </w:tabs>
        <w:ind w:left="3600" w:hanging="360"/>
      </w:pPr>
      <w:rPr>
        <w:rFonts w:ascii="Arial" w:hAnsi="Arial" w:hint="default"/>
      </w:rPr>
    </w:lvl>
    <w:lvl w:ilvl="5" w:tplc="94DC5EB6" w:tentative="1">
      <w:start w:val="1"/>
      <w:numFmt w:val="bullet"/>
      <w:lvlText w:val="•"/>
      <w:lvlJc w:val="left"/>
      <w:pPr>
        <w:tabs>
          <w:tab w:val="num" w:pos="4320"/>
        </w:tabs>
        <w:ind w:left="4320" w:hanging="360"/>
      </w:pPr>
      <w:rPr>
        <w:rFonts w:ascii="Arial" w:hAnsi="Arial" w:hint="default"/>
      </w:rPr>
    </w:lvl>
    <w:lvl w:ilvl="6" w:tplc="E7C046E2" w:tentative="1">
      <w:start w:val="1"/>
      <w:numFmt w:val="bullet"/>
      <w:lvlText w:val="•"/>
      <w:lvlJc w:val="left"/>
      <w:pPr>
        <w:tabs>
          <w:tab w:val="num" w:pos="5040"/>
        </w:tabs>
        <w:ind w:left="5040" w:hanging="360"/>
      </w:pPr>
      <w:rPr>
        <w:rFonts w:ascii="Arial" w:hAnsi="Arial" w:hint="default"/>
      </w:rPr>
    </w:lvl>
    <w:lvl w:ilvl="7" w:tplc="CC8EE6DE" w:tentative="1">
      <w:start w:val="1"/>
      <w:numFmt w:val="bullet"/>
      <w:lvlText w:val="•"/>
      <w:lvlJc w:val="left"/>
      <w:pPr>
        <w:tabs>
          <w:tab w:val="num" w:pos="5760"/>
        </w:tabs>
        <w:ind w:left="5760" w:hanging="360"/>
      </w:pPr>
      <w:rPr>
        <w:rFonts w:ascii="Arial" w:hAnsi="Arial" w:hint="default"/>
      </w:rPr>
    </w:lvl>
    <w:lvl w:ilvl="8" w:tplc="5B8A2E2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3B22D7"/>
    <w:multiLevelType w:val="hybridMultilevel"/>
    <w:tmpl w:val="8228B38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08DB71FB"/>
    <w:multiLevelType w:val="hybridMultilevel"/>
    <w:tmpl w:val="08809634"/>
    <w:lvl w:ilvl="0" w:tplc="AD204BBC">
      <w:start w:val="1"/>
      <w:numFmt w:val="lowerLetter"/>
      <w:lvlText w:val="%1."/>
      <w:lvlJc w:val="left"/>
      <w:pPr>
        <w:ind w:left="720" w:hanging="360"/>
      </w:pPr>
      <w:rPr>
        <w:rFonts w:asciiTheme="minorHAnsi" w:eastAsiaTheme="minorHAnsi" w:hAnsiTheme="minorHAnsi" w:cstheme="minorBidi"/>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757704"/>
    <w:multiLevelType w:val="hybridMultilevel"/>
    <w:tmpl w:val="7A4E8FAC"/>
    <w:lvl w:ilvl="0" w:tplc="696CC6CC">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 w15:restartNumberingAfterBreak="0">
    <w:nsid w:val="0A562383"/>
    <w:multiLevelType w:val="hybridMultilevel"/>
    <w:tmpl w:val="3AD2D602"/>
    <w:lvl w:ilvl="0" w:tplc="D186A734">
      <w:start w:val="1"/>
      <w:numFmt w:val="decimal"/>
      <w:pStyle w:val="BalloonText"/>
      <w:lvlText w:val="%1."/>
      <w:lvlJc w:val="left"/>
      <w:pPr>
        <w:ind w:left="680" w:hanging="453"/>
      </w:pPr>
      <w:rPr>
        <w:rFonts w:ascii="Calibri" w:hAnsi="Calibri" w:cs="Calibri" w:hint="default"/>
        <w:b w:val="0"/>
        <w:bCs w:val="0"/>
        <w:sz w:val="22"/>
        <w:szCs w:val="22"/>
      </w:rPr>
    </w:lvl>
    <w:lvl w:ilvl="1" w:tplc="14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C9E3837"/>
    <w:multiLevelType w:val="hybridMultilevel"/>
    <w:tmpl w:val="97122D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D343211"/>
    <w:multiLevelType w:val="hybridMultilevel"/>
    <w:tmpl w:val="F4EA44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DB87013"/>
    <w:multiLevelType w:val="hybridMultilevel"/>
    <w:tmpl w:val="FFFFFFFF"/>
    <w:lvl w:ilvl="0" w:tplc="A5F88D40">
      <w:start w:val="1"/>
      <w:numFmt w:val="bullet"/>
      <w:lvlText w:val=""/>
      <w:lvlJc w:val="left"/>
      <w:pPr>
        <w:ind w:left="720" w:hanging="360"/>
      </w:pPr>
      <w:rPr>
        <w:rFonts w:ascii="Symbol" w:hAnsi="Symbol" w:hint="default"/>
      </w:rPr>
    </w:lvl>
    <w:lvl w:ilvl="1" w:tplc="4214590A">
      <w:start w:val="1"/>
      <w:numFmt w:val="bullet"/>
      <w:lvlText w:val="o"/>
      <w:lvlJc w:val="left"/>
      <w:pPr>
        <w:ind w:left="1440" w:hanging="360"/>
      </w:pPr>
      <w:rPr>
        <w:rFonts w:ascii="Courier New" w:hAnsi="Courier New" w:hint="default"/>
      </w:rPr>
    </w:lvl>
    <w:lvl w:ilvl="2" w:tplc="5C860866">
      <w:start w:val="1"/>
      <w:numFmt w:val="bullet"/>
      <w:lvlText w:val=""/>
      <w:lvlJc w:val="left"/>
      <w:pPr>
        <w:ind w:left="2160" w:hanging="360"/>
      </w:pPr>
      <w:rPr>
        <w:rFonts w:ascii="Wingdings" w:hAnsi="Wingdings" w:hint="default"/>
      </w:rPr>
    </w:lvl>
    <w:lvl w:ilvl="3" w:tplc="9D600EEA">
      <w:start w:val="1"/>
      <w:numFmt w:val="bullet"/>
      <w:lvlText w:val=""/>
      <w:lvlJc w:val="left"/>
      <w:pPr>
        <w:ind w:left="2880" w:hanging="360"/>
      </w:pPr>
      <w:rPr>
        <w:rFonts w:ascii="Symbol" w:hAnsi="Symbol" w:hint="default"/>
      </w:rPr>
    </w:lvl>
    <w:lvl w:ilvl="4" w:tplc="A0986F1A">
      <w:start w:val="1"/>
      <w:numFmt w:val="bullet"/>
      <w:lvlText w:val="o"/>
      <w:lvlJc w:val="left"/>
      <w:pPr>
        <w:ind w:left="3600" w:hanging="360"/>
      </w:pPr>
      <w:rPr>
        <w:rFonts w:ascii="Courier New" w:hAnsi="Courier New" w:hint="default"/>
      </w:rPr>
    </w:lvl>
    <w:lvl w:ilvl="5" w:tplc="94F28D08">
      <w:start w:val="1"/>
      <w:numFmt w:val="bullet"/>
      <w:lvlText w:val=""/>
      <w:lvlJc w:val="left"/>
      <w:pPr>
        <w:ind w:left="4320" w:hanging="360"/>
      </w:pPr>
      <w:rPr>
        <w:rFonts w:ascii="Wingdings" w:hAnsi="Wingdings" w:hint="default"/>
      </w:rPr>
    </w:lvl>
    <w:lvl w:ilvl="6" w:tplc="FD8C93B4">
      <w:start w:val="1"/>
      <w:numFmt w:val="bullet"/>
      <w:lvlText w:val=""/>
      <w:lvlJc w:val="left"/>
      <w:pPr>
        <w:ind w:left="5040" w:hanging="360"/>
      </w:pPr>
      <w:rPr>
        <w:rFonts w:ascii="Symbol" w:hAnsi="Symbol" w:hint="default"/>
      </w:rPr>
    </w:lvl>
    <w:lvl w:ilvl="7" w:tplc="D0F285C4">
      <w:start w:val="1"/>
      <w:numFmt w:val="bullet"/>
      <w:lvlText w:val="o"/>
      <w:lvlJc w:val="left"/>
      <w:pPr>
        <w:ind w:left="5760" w:hanging="360"/>
      </w:pPr>
      <w:rPr>
        <w:rFonts w:ascii="Courier New" w:hAnsi="Courier New" w:hint="default"/>
      </w:rPr>
    </w:lvl>
    <w:lvl w:ilvl="8" w:tplc="2DCEB02E">
      <w:start w:val="1"/>
      <w:numFmt w:val="bullet"/>
      <w:lvlText w:val=""/>
      <w:lvlJc w:val="left"/>
      <w:pPr>
        <w:ind w:left="6480" w:hanging="360"/>
      </w:pPr>
      <w:rPr>
        <w:rFonts w:ascii="Wingdings" w:hAnsi="Wingdings" w:hint="default"/>
      </w:rPr>
    </w:lvl>
  </w:abstractNum>
  <w:abstractNum w:abstractNumId="9" w15:restartNumberingAfterBreak="0">
    <w:nsid w:val="125D26D6"/>
    <w:multiLevelType w:val="hybridMultilevel"/>
    <w:tmpl w:val="45F64E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4B64D15"/>
    <w:multiLevelType w:val="hybridMultilevel"/>
    <w:tmpl w:val="0E46F21C"/>
    <w:lvl w:ilvl="0" w:tplc="696CC6CC">
      <w:start w:val="1"/>
      <w:numFmt w:val="lowerLetter"/>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11" w15:restartNumberingAfterBreak="0">
    <w:nsid w:val="15743ECD"/>
    <w:multiLevelType w:val="hybridMultilevel"/>
    <w:tmpl w:val="F4DC208A"/>
    <w:lvl w:ilvl="0" w:tplc="E43EBC82">
      <w:start w:val="1"/>
      <w:numFmt w:val="lowerLetter"/>
      <w:lvlText w:val="%1."/>
      <w:lvlJc w:val="left"/>
      <w:pPr>
        <w:tabs>
          <w:tab w:val="num" w:pos="720"/>
        </w:tabs>
        <w:ind w:left="720" w:hanging="360"/>
      </w:pPr>
      <w:rPr>
        <w:rFonts w:asciiTheme="minorHAnsi" w:eastAsiaTheme="minorHAnsi" w:hAnsiTheme="minorHAnsi" w:cstheme="minorBidi" w:hint="default"/>
        <w:b/>
        <w:bCs w:val="0"/>
      </w:rPr>
    </w:lvl>
    <w:lvl w:ilvl="1" w:tplc="E996C236" w:tentative="1">
      <w:start w:val="1"/>
      <w:numFmt w:val="lowerLetter"/>
      <w:lvlText w:val="%2)"/>
      <w:lvlJc w:val="left"/>
      <w:pPr>
        <w:tabs>
          <w:tab w:val="num" w:pos="1440"/>
        </w:tabs>
        <w:ind w:left="1440" w:hanging="360"/>
      </w:pPr>
    </w:lvl>
    <w:lvl w:ilvl="2" w:tplc="268C52C2" w:tentative="1">
      <w:start w:val="1"/>
      <w:numFmt w:val="lowerLetter"/>
      <w:lvlText w:val="%3)"/>
      <w:lvlJc w:val="left"/>
      <w:pPr>
        <w:tabs>
          <w:tab w:val="num" w:pos="2160"/>
        </w:tabs>
        <w:ind w:left="2160" w:hanging="360"/>
      </w:pPr>
    </w:lvl>
    <w:lvl w:ilvl="3" w:tplc="405800CA" w:tentative="1">
      <w:start w:val="1"/>
      <w:numFmt w:val="lowerLetter"/>
      <w:lvlText w:val="%4)"/>
      <w:lvlJc w:val="left"/>
      <w:pPr>
        <w:tabs>
          <w:tab w:val="num" w:pos="2880"/>
        </w:tabs>
        <w:ind w:left="2880" w:hanging="360"/>
      </w:pPr>
    </w:lvl>
    <w:lvl w:ilvl="4" w:tplc="9D5A0616" w:tentative="1">
      <w:start w:val="1"/>
      <w:numFmt w:val="lowerLetter"/>
      <w:lvlText w:val="%5)"/>
      <w:lvlJc w:val="left"/>
      <w:pPr>
        <w:tabs>
          <w:tab w:val="num" w:pos="3600"/>
        </w:tabs>
        <w:ind w:left="3600" w:hanging="360"/>
      </w:pPr>
    </w:lvl>
    <w:lvl w:ilvl="5" w:tplc="C36C7F0E" w:tentative="1">
      <w:start w:val="1"/>
      <w:numFmt w:val="lowerLetter"/>
      <w:lvlText w:val="%6)"/>
      <w:lvlJc w:val="left"/>
      <w:pPr>
        <w:tabs>
          <w:tab w:val="num" w:pos="4320"/>
        </w:tabs>
        <w:ind w:left="4320" w:hanging="360"/>
      </w:pPr>
    </w:lvl>
    <w:lvl w:ilvl="6" w:tplc="D20A6CC8" w:tentative="1">
      <w:start w:val="1"/>
      <w:numFmt w:val="lowerLetter"/>
      <w:lvlText w:val="%7)"/>
      <w:lvlJc w:val="left"/>
      <w:pPr>
        <w:tabs>
          <w:tab w:val="num" w:pos="5040"/>
        </w:tabs>
        <w:ind w:left="5040" w:hanging="360"/>
      </w:pPr>
    </w:lvl>
    <w:lvl w:ilvl="7" w:tplc="94D07064" w:tentative="1">
      <w:start w:val="1"/>
      <w:numFmt w:val="lowerLetter"/>
      <w:lvlText w:val="%8)"/>
      <w:lvlJc w:val="left"/>
      <w:pPr>
        <w:tabs>
          <w:tab w:val="num" w:pos="5760"/>
        </w:tabs>
        <w:ind w:left="5760" w:hanging="360"/>
      </w:pPr>
    </w:lvl>
    <w:lvl w:ilvl="8" w:tplc="442A705A" w:tentative="1">
      <w:start w:val="1"/>
      <w:numFmt w:val="lowerLetter"/>
      <w:lvlText w:val="%9)"/>
      <w:lvlJc w:val="left"/>
      <w:pPr>
        <w:tabs>
          <w:tab w:val="num" w:pos="6480"/>
        </w:tabs>
        <w:ind w:left="6480" w:hanging="360"/>
      </w:pPr>
    </w:lvl>
  </w:abstractNum>
  <w:abstractNum w:abstractNumId="12" w15:restartNumberingAfterBreak="0">
    <w:nsid w:val="162665AA"/>
    <w:multiLevelType w:val="hybridMultilevel"/>
    <w:tmpl w:val="F7FE816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352"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66D7A78"/>
    <w:multiLevelType w:val="hybridMultilevel"/>
    <w:tmpl w:val="5A746A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6E163A1"/>
    <w:multiLevelType w:val="hybridMultilevel"/>
    <w:tmpl w:val="AB7411B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8302766"/>
    <w:multiLevelType w:val="hybridMultilevel"/>
    <w:tmpl w:val="792604A6"/>
    <w:lvl w:ilvl="0" w:tplc="E43EBC82">
      <w:start w:val="1"/>
      <w:numFmt w:val="lowerLetter"/>
      <w:lvlText w:val="%1."/>
      <w:lvlJc w:val="left"/>
      <w:pPr>
        <w:tabs>
          <w:tab w:val="num" w:pos="720"/>
        </w:tabs>
        <w:ind w:left="720" w:hanging="360"/>
      </w:pPr>
      <w:rPr>
        <w:rFonts w:asciiTheme="minorHAnsi" w:eastAsiaTheme="minorHAnsi" w:hAnsiTheme="minorHAnsi" w:cstheme="minorBidi" w:hint="default"/>
        <w:b/>
        <w:bCs w:val="0"/>
      </w:rPr>
    </w:lvl>
    <w:lvl w:ilvl="1" w:tplc="99085FBA" w:tentative="1">
      <w:start w:val="1"/>
      <w:numFmt w:val="lowerLetter"/>
      <w:lvlText w:val="%2)"/>
      <w:lvlJc w:val="left"/>
      <w:pPr>
        <w:tabs>
          <w:tab w:val="num" w:pos="1440"/>
        </w:tabs>
        <w:ind w:left="1440" w:hanging="360"/>
      </w:pPr>
    </w:lvl>
    <w:lvl w:ilvl="2" w:tplc="DD98AB0A" w:tentative="1">
      <w:start w:val="1"/>
      <w:numFmt w:val="lowerLetter"/>
      <w:lvlText w:val="%3)"/>
      <w:lvlJc w:val="left"/>
      <w:pPr>
        <w:tabs>
          <w:tab w:val="num" w:pos="2160"/>
        </w:tabs>
        <w:ind w:left="2160" w:hanging="360"/>
      </w:pPr>
    </w:lvl>
    <w:lvl w:ilvl="3" w:tplc="33F81C10" w:tentative="1">
      <w:start w:val="1"/>
      <w:numFmt w:val="lowerLetter"/>
      <w:lvlText w:val="%4)"/>
      <w:lvlJc w:val="left"/>
      <w:pPr>
        <w:tabs>
          <w:tab w:val="num" w:pos="2880"/>
        </w:tabs>
        <w:ind w:left="2880" w:hanging="360"/>
      </w:pPr>
    </w:lvl>
    <w:lvl w:ilvl="4" w:tplc="0492A326" w:tentative="1">
      <w:start w:val="1"/>
      <w:numFmt w:val="lowerLetter"/>
      <w:lvlText w:val="%5)"/>
      <w:lvlJc w:val="left"/>
      <w:pPr>
        <w:tabs>
          <w:tab w:val="num" w:pos="3600"/>
        </w:tabs>
        <w:ind w:left="3600" w:hanging="360"/>
      </w:pPr>
    </w:lvl>
    <w:lvl w:ilvl="5" w:tplc="8DC408A4" w:tentative="1">
      <w:start w:val="1"/>
      <w:numFmt w:val="lowerLetter"/>
      <w:lvlText w:val="%6)"/>
      <w:lvlJc w:val="left"/>
      <w:pPr>
        <w:tabs>
          <w:tab w:val="num" w:pos="4320"/>
        </w:tabs>
        <w:ind w:left="4320" w:hanging="360"/>
      </w:pPr>
    </w:lvl>
    <w:lvl w:ilvl="6" w:tplc="C6262DC4" w:tentative="1">
      <w:start w:val="1"/>
      <w:numFmt w:val="lowerLetter"/>
      <w:lvlText w:val="%7)"/>
      <w:lvlJc w:val="left"/>
      <w:pPr>
        <w:tabs>
          <w:tab w:val="num" w:pos="5040"/>
        </w:tabs>
        <w:ind w:left="5040" w:hanging="360"/>
      </w:pPr>
    </w:lvl>
    <w:lvl w:ilvl="7" w:tplc="46CEC280" w:tentative="1">
      <w:start w:val="1"/>
      <w:numFmt w:val="lowerLetter"/>
      <w:lvlText w:val="%8)"/>
      <w:lvlJc w:val="left"/>
      <w:pPr>
        <w:tabs>
          <w:tab w:val="num" w:pos="5760"/>
        </w:tabs>
        <w:ind w:left="5760" w:hanging="360"/>
      </w:pPr>
    </w:lvl>
    <w:lvl w:ilvl="8" w:tplc="505E9DE4" w:tentative="1">
      <w:start w:val="1"/>
      <w:numFmt w:val="lowerLetter"/>
      <w:lvlText w:val="%9)"/>
      <w:lvlJc w:val="left"/>
      <w:pPr>
        <w:tabs>
          <w:tab w:val="num" w:pos="6480"/>
        </w:tabs>
        <w:ind w:left="6480" w:hanging="360"/>
      </w:pPr>
    </w:lvl>
  </w:abstractNum>
  <w:abstractNum w:abstractNumId="16" w15:restartNumberingAfterBreak="0">
    <w:nsid w:val="18940B74"/>
    <w:multiLevelType w:val="hybridMultilevel"/>
    <w:tmpl w:val="316074FA"/>
    <w:lvl w:ilvl="0" w:tplc="E43EBC82">
      <w:start w:val="1"/>
      <w:numFmt w:val="lowerLetter"/>
      <w:lvlText w:val="%1."/>
      <w:lvlJc w:val="left"/>
      <w:pPr>
        <w:ind w:left="720" w:hanging="360"/>
      </w:pPr>
      <w:rPr>
        <w:rFonts w:asciiTheme="minorHAnsi" w:eastAsiaTheme="minorHAnsi" w:hAnsiTheme="minorHAnsi" w:cstheme="minorBidi" w:hint="default"/>
        <w:b/>
        <w:bCs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8972110"/>
    <w:multiLevelType w:val="hybridMultilevel"/>
    <w:tmpl w:val="1D441470"/>
    <w:lvl w:ilvl="0" w:tplc="E43EBC82">
      <w:start w:val="1"/>
      <w:numFmt w:val="lowerLetter"/>
      <w:lvlText w:val="%1."/>
      <w:lvlJc w:val="left"/>
      <w:pPr>
        <w:tabs>
          <w:tab w:val="num" w:pos="720"/>
        </w:tabs>
        <w:ind w:left="720" w:hanging="360"/>
      </w:pPr>
      <w:rPr>
        <w:rFonts w:asciiTheme="minorHAnsi" w:eastAsiaTheme="minorHAnsi" w:hAnsiTheme="minorHAnsi" w:cstheme="minorBidi" w:hint="default"/>
        <w:b/>
        <w:bCs w:val="0"/>
      </w:rPr>
    </w:lvl>
    <w:lvl w:ilvl="1" w:tplc="1FCC2B8C" w:tentative="1">
      <w:start w:val="1"/>
      <w:numFmt w:val="bullet"/>
      <w:lvlText w:val="•"/>
      <w:lvlJc w:val="left"/>
      <w:pPr>
        <w:tabs>
          <w:tab w:val="num" w:pos="1440"/>
        </w:tabs>
        <w:ind w:left="1440" w:hanging="360"/>
      </w:pPr>
      <w:rPr>
        <w:rFonts w:ascii="Arial" w:hAnsi="Arial" w:hint="default"/>
      </w:rPr>
    </w:lvl>
    <w:lvl w:ilvl="2" w:tplc="26AE5230" w:tentative="1">
      <w:start w:val="1"/>
      <w:numFmt w:val="bullet"/>
      <w:lvlText w:val="•"/>
      <w:lvlJc w:val="left"/>
      <w:pPr>
        <w:tabs>
          <w:tab w:val="num" w:pos="2160"/>
        </w:tabs>
        <w:ind w:left="2160" w:hanging="360"/>
      </w:pPr>
      <w:rPr>
        <w:rFonts w:ascii="Arial" w:hAnsi="Arial" w:hint="default"/>
      </w:rPr>
    </w:lvl>
    <w:lvl w:ilvl="3" w:tplc="4D924096" w:tentative="1">
      <w:start w:val="1"/>
      <w:numFmt w:val="bullet"/>
      <w:lvlText w:val="•"/>
      <w:lvlJc w:val="left"/>
      <w:pPr>
        <w:tabs>
          <w:tab w:val="num" w:pos="2880"/>
        </w:tabs>
        <w:ind w:left="2880" w:hanging="360"/>
      </w:pPr>
      <w:rPr>
        <w:rFonts w:ascii="Arial" w:hAnsi="Arial" w:hint="default"/>
      </w:rPr>
    </w:lvl>
    <w:lvl w:ilvl="4" w:tplc="3F5E514C" w:tentative="1">
      <w:start w:val="1"/>
      <w:numFmt w:val="bullet"/>
      <w:lvlText w:val="•"/>
      <w:lvlJc w:val="left"/>
      <w:pPr>
        <w:tabs>
          <w:tab w:val="num" w:pos="3600"/>
        </w:tabs>
        <w:ind w:left="3600" w:hanging="360"/>
      </w:pPr>
      <w:rPr>
        <w:rFonts w:ascii="Arial" w:hAnsi="Arial" w:hint="default"/>
      </w:rPr>
    </w:lvl>
    <w:lvl w:ilvl="5" w:tplc="411AEB4E" w:tentative="1">
      <w:start w:val="1"/>
      <w:numFmt w:val="bullet"/>
      <w:lvlText w:val="•"/>
      <w:lvlJc w:val="left"/>
      <w:pPr>
        <w:tabs>
          <w:tab w:val="num" w:pos="4320"/>
        </w:tabs>
        <w:ind w:left="4320" w:hanging="360"/>
      </w:pPr>
      <w:rPr>
        <w:rFonts w:ascii="Arial" w:hAnsi="Arial" w:hint="default"/>
      </w:rPr>
    </w:lvl>
    <w:lvl w:ilvl="6" w:tplc="A5DE9DC4" w:tentative="1">
      <w:start w:val="1"/>
      <w:numFmt w:val="bullet"/>
      <w:lvlText w:val="•"/>
      <w:lvlJc w:val="left"/>
      <w:pPr>
        <w:tabs>
          <w:tab w:val="num" w:pos="5040"/>
        </w:tabs>
        <w:ind w:left="5040" w:hanging="360"/>
      </w:pPr>
      <w:rPr>
        <w:rFonts w:ascii="Arial" w:hAnsi="Arial" w:hint="default"/>
      </w:rPr>
    </w:lvl>
    <w:lvl w:ilvl="7" w:tplc="F6C20A62" w:tentative="1">
      <w:start w:val="1"/>
      <w:numFmt w:val="bullet"/>
      <w:lvlText w:val="•"/>
      <w:lvlJc w:val="left"/>
      <w:pPr>
        <w:tabs>
          <w:tab w:val="num" w:pos="5760"/>
        </w:tabs>
        <w:ind w:left="5760" w:hanging="360"/>
      </w:pPr>
      <w:rPr>
        <w:rFonts w:ascii="Arial" w:hAnsi="Arial" w:hint="default"/>
      </w:rPr>
    </w:lvl>
    <w:lvl w:ilvl="8" w:tplc="C30E6E2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F4E2242"/>
    <w:multiLevelType w:val="hybridMultilevel"/>
    <w:tmpl w:val="D24ADA1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082506E"/>
    <w:multiLevelType w:val="hybridMultilevel"/>
    <w:tmpl w:val="EBBAC90E"/>
    <w:lvl w:ilvl="0" w:tplc="E43EBC82">
      <w:start w:val="1"/>
      <w:numFmt w:val="lowerLetter"/>
      <w:lvlText w:val="%1."/>
      <w:lvlJc w:val="left"/>
      <w:pPr>
        <w:ind w:left="720" w:hanging="360"/>
      </w:pPr>
      <w:rPr>
        <w:rFonts w:asciiTheme="minorHAnsi" w:eastAsiaTheme="minorHAnsi" w:hAnsiTheme="minorHAnsi" w:cstheme="minorBidi" w:hint="default"/>
        <w:b/>
        <w:bCs w:val="0"/>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1D81284"/>
    <w:multiLevelType w:val="hybridMultilevel"/>
    <w:tmpl w:val="26B2C81A"/>
    <w:lvl w:ilvl="0" w:tplc="E43EBC82">
      <w:start w:val="1"/>
      <w:numFmt w:val="lowerLetter"/>
      <w:lvlText w:val="%1."/>
      <w:lvlJc w:val="left"/>
      <w:pPr>
        <w:tabs>
          <w:tab w:val="num" w:pos="720"/>
        </w:tabs>
        <w:ind w:left="720" w:hanging="360"/>
      </w:pPr>
      <w:rPr>
        <w:rFonts w:asciiTheme="minorHAnsi" w:eastAsiaTheme="minorHAnsi" w:hAnsiTheme="minorHAnsi" w:cstheme="minorBidi" w:hint="default"/>
        <w:b/>
        <w:bCs w:val="0"/>
      </w:rPr>
    </w:lvl>
    <w:lvl w:ilvl="1" w:tplc="E996C236" w:tentative="1">
      <w:start w:val="1"/>
      <w:numFmt w:val="lowerLetter"/>
      <w:lvlText w:val="%2)"/>
      <w:lvlJc w:val="left"/>
      <w:pPr>
        <w:tabs>
          <w:tab w:val="num" w:pos="1440"/>
        </w:tabs>
        <w:ind w:left="1440" w:hanging="360"/>
      </w:pPr>
    </w:lvl>
    <w:lvl w:ilvl="2" w:tplc="268C52C2" w:tentative="1">
      <w:start w:val="1"/>
      <w:numFmt w:val="lowerLetter"/>
      <w:lvlText w:val="%3)"/>
      <w:lvlJc w:val="left"/>
      <w:pPr>
        <w:tabs>
          <w:tab w:val="num" w:pos="2160"/>
        </w:tabs>
        <w:ind w:left="2160" w:hanging="360"/>
      </w:pPr>
    </w:lvl>
    <w:lvl w:ilvl="3" w:tplc="405800CA" w:tentative="1">
      <w:start w:val="1"/>
      <w:numFmt w:val="lowerLetter"/>
      <w:lvlText w:val="%4)"/>
      <w:lvlJc w:val="left"/>
      <w:pPr>
        <w:tabs>
          <w:tab w:val="num" w:pos="2880"/>
        </w:tabs>
        <w:ind w:left="2880" w:hanging="360"/>
      </w:pPr>
    </w:lvl>
    <w:lvl w:ilvl="4" w:tplc="9D5A0616" w:tentative="1">
      <w:start w:val="1"/>
      <w:numFmt w:val="lowerLetter"/>
      <w:lvlText w:val="%5)"/>
      <w:lvlJc w:val="left"/>
      <w:pPr>
        <w:tabs>
          <w:tab w:val="num" w:pos="3600"/>
        </w:tabs>
        <w:ind w:left="3600" w:hanging="360"/>
      </w:pPr>
    </w:lvl>
    <w:lvl w:ilvl="5" w:tplc="C36C7F0E" w:tentative="1">
      <w:start w:val="1"/>
      <w:numFmt w:val="lowerLetter"/>
      <w:lvlText w:val="%6)"/>
      <w:lvlJc w:val="left"/>
      <w:pPr>
        <w:tabs>
          <w:tab w:val="num" w:pos="4320"/>
        </w:tabs>
        <w:ind w:left="4320" w:hanging="360"/>
      </w:pPr>
    </w:lvl>
    <w:lvl w:ilvl="6" w:tplc="D20A6CC8" w:tentative="1">
      <w:start w:val="1"/>
      <w:numFmt w:val="lowerLetter"/>
      <w:lvlText w:val="%7)"/>
      <w:lvlJc w:val="left"/>
      <w:pPr>
        <w:tabs>
          <w:tab w:val="num" w:pos="5040"/>
        </w:tabs>
        <w:ind w:left="5040" w:hanging="360"/>
      </w:pPr>
    </w:lvl>
    <w:lvl w:ilvl="7" w:tplc="94D07064" w:tentative="1">
      <w:start w:val="1"/>
      <w:numFmt w:val="lowerLetter"/>
      <w:lvlText w:val="%8)"/>
      <w:lvlJc w:val="left"/>
      <w:pPr>
        <w:tabs>
          <w:tab w:val="num" w:pos="5760"/>
        </w:tabs>
        <w:ind w:left="5760" w:hanging="360"/>
      </w:pPr>
    </w:lvl>
    <w:lvl w:ilvl="8" w:tplc="442A705A" w:tentative="1">
      <w:start w:val="1"/>
      <w:numFmt w:val="lowerLetter"/>
      <w:lvlText w:val="%9)"/>
      <w:lvlJc w:val="left"/>
      <w:pPr>
        <w:tabs>
          <w:tab w:val="num" w:pos="6480"/>
        </w:tabs>
        <w:ind w:left="6480" w:hanging="360"/>
      </w:pPr>
    </w:lvl>
  </w:abstractNum>
  <w:abstractNum w:abstractNumId="21" w15:restartNumberingAfterBreak="0">
    <w:nsid w:val="23BB7706"/>
    <w:multiLevelType w:val="hybridMultilevel"/>
    <w:tmpl w:val="EED4D6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6D15E9C"/>
    <w:multiLevelType w:val="hybridMultilevel"/>
    <w:tmpl w:val="426801F8"/>
    <w:lvl w:ilvl="0" w:tplc="43E0401A">
      <w:start w:val="1"/>
      <w:numFmt w:val="bullet"/>
      <w:lvlText w:val=""/>
      <w:lvlJc w:val="left"/>
      <w:pPr>
        <w:tabs>
          <w:tab w:val="num" w:pos="720"/>
        </w:tabs>
        <w:ind w:left="720" w:hanging="360"/>
      </w:pPr>
      <w:rPr>
        <w:rFonts w:ascii="Symbol" w:hAnsi="Symbol" w:hint="default"/>
        <w:sz w:val="20"/>
      </w:rPr>
    </w:lvl>
    <w:lvl w:ilvl="1" w:tplc="8F123D10" w:tentative="1">
      <w:start w:val="1"/>
      <w:numFmt w:val="bullet"/>
      <w:lvlText w:val=""/>
      <w:lvlJc w:val="left"/>
      <w:pPr>
        <w:tabs>
          <w:tab w:val="num" w:pos="1440"/>
        </w:tabs>
        <w:ind w:left="1440" w:hanging="360"/>
      </w:pPr>
      <w:rPr>
        <w:rFonts w:ascii="Symbol" w:hAnsi="Symbol" w:hint="default"/>
        <w:sz w:val="20"/>
      </w:rPr>
    </w:lvl>
    <w:lvl w:ilvl="2" w:tplc="F37C9100" w:tentative="1">
      <w:start w:val="1"/>
      <w:numFmt w:val="bullet"/>
      <w:lvlText w:val=""/>
      <w:lvlJc w:val="left"/>
      <w:pPr>
        <w:tabs>
          <w:tab w:val="num" w:pos="2160"/>
        </w:tabs>
        <w:ind w:left="2160" w:hanging="360"/>
      </w:pPr>
      <w:rPr>
        <w:rFonts w:ascii="Symbol" w:hAnsi="Symbol" w:hint="default"/>
        <w:sz w:val="20"/>
      </w:rPr>
    </w:lvl>
    <w:lvl w:ilvl="3" w:tplc="2DFC9AF6" w:tentative="1">
      <w:start w:val="1"/>
      <w:numFmt w:val="bullet"/>
      <w:lvlText w:val=""/>
      <w:lvlJc w:val="left"/>
      <w:pPr>
        <w:tabs>
          <w:tab w:val="num" w:pos="2880"/>
        </w:tabs>
        <w:ind w:left="2880" w:hanging="360"/>
      </w:pPr>
      <w:rPr>
        <w:rFonts w:ascii="Symbol" w:hAnsi="Symbol" w:hint="default"/>
        <w:sz w:val="20"/>
      </w:rPr>
    </w:lvl>
    <w:lvl w:ilvl="4" w:tplc="4474733C" w:tentative="1">
      <w:start w:val="1"/>
      <w:numFmt w:val="bullet"/>
      <w:lvlText w:val=""/>
      <w:lvlJc w:val="left"/>
      <w:pPr>
        <w:tabs>
          <w:tab w:val="num" w:pos="3600"/>
        </w:tabs>
        <w:ind w:left="3600" w:hanging="360"/>
      </w:pPr>
      <w:rPr>
        <w:rFonts w:ascii="Symbol" w:hAnsi="Symbol" w:hint="default"/>
        <w:sz w:val="20"/>
      </w:rPr>
    </w:lvl>
    <w:lvl w:ilvl="5" w:tplc="487E56DE" w:tentative="1">
      <w:start w:val="1"/>
      <w:numFmt w:val="bullet"/>
      <w:lvlText w:val=""/>
      <w:lvlJc w:val="left"/>
      <w:pPr>
        <w:tabs>
          <w:tab w:val="num" w:pos="4320"/>
        </w:tabs>
        <w:ind w:left="4320" w:hanging="360"/>
      </w:pPr>
      <w:rPr>
        <w:rFonts w:ascii="Symbol" w:hAnsi="Symbol" w:hint="default"/>
        <w:sz w:val="20"/>
      </w:rPr>
    </w:lvl>
    <w:lvl w:ilvl="6" w:tplc="DFE050FE" w:tentative="1">
      <w:start w:val="1"/>
      <w:numFmt w:val="bullet"/>
      <w:lvlText w:val=""/>
      <w:lvlJc w:val="left"/>
      <w:pPr>
        <w:tabs>
          <w:tab w:val="num" w:pos="5040"/>
        </w:tabs>
        <w:ind w:left="5040" w:hanging="360"/>
      </w:pPr>
      <w:rPr>
        <w:rFonts w:ascii="Symbol" w:hAnsi="Symbol" w:hint="default"/>
        <w:sz w:val="20"/>
      </w:rPr>
    </w:lvl>
    <w:lvl w:ilvl="7" w:tplc="80BE7022" w:tentative="1">
      <w:start w:val="1"/>
      <w:numFmt w:val="bullet"/>
      <w:lvlText w:val=""/>
      <w:lvlJc w:val="left"/>
      <w:pPr>
        <w:tabs>
          <w:tab w:val="num" w:pos="5760"/>
        </w:tabs>
        <w:ind w:left="5760" w:hanging="360"/>
      </w:pPr>
      <w:rPr>
        <w:rFonts w:ascii="Symbol" w:hAnsi="Symbol" w:hint="default"/>
        <w:sz w:val="20"/>
      </w:rPr>
    </w:lvl>
    <w:lvl w:ilvl="8" w:tplc="2AC8A90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6E0235D"/>
    <w:multiLevelType w:val="hybridMultilevel"/>
    <w:tmpl w:val="A9024E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7005469"/>
    <w:multiLevelType w:val="hybridMultilevel"/>
    <w:tmpl w:val="3E0A4FBA"/>
    <w:lvl w:ilvl="0" w:tplc="1C88E286">
      <w:start w:val="1"/>
      <w:numFmt w:val="lowerLetter"/>
      <w:lvlText w:val="%1."/>
      <w:lvlJc w:val="left"/>
      <w:pPr>
        <w:ind w:left="720" w:hanging="360"/>
      </w:pPr>
      <w:rPr>
        <w:rFonts w:asciiTheme="minorHAnsi" w:eastAsiaTheme="minorHAnsi" w:hAnsiTheme="minorHAnsi" w:cstheme="minorBidi"/>
        <w:b/>
        <w:bCs w:val="0"/>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7022D8D"/>
    <w:multiLevelType w:val="hybridMultilevel"/>
    <w:tmpl w:val="A2DA221E"/>
    <w:lvl w:ilvl="0" w:tplc="A344F5FA">
      <w:start w:val="1"/>
      <w:numFmt w:val="decimal"/>
      <w:pStyle w:val="Para"/>
      <w:lvlText w:val="%1."/>
      <w:lvlJc w:val="left"/>
      <w:pPr>
        <w:tabs>
          <w:tab w:val="num" w:pos="720"/>
        </w:tabs>
        <w:ind w:left="720" w:hanging="360"/>
      </w:pPr>
      <w:rPr>
        <w:sz w:val="22"/>
        <w:szCs w:val="22"/>
      </w:rPr>
    </w:lvl>
    <w:lvl w:ilvl="1" w:tplc="14090001">
      <w:start w:val="1"/>
      <w:numFmt w:val="bullet"/>
      <w:lvlText w:val=""/>
      <w:lvlJc w:val="left"/>
      <w:pPr>
        <w:tabs>
          <w:tab w:val="num" w:pos="1440"/>
        </w:tabs>
        <w:ind w:left="1440" w:hanging="360"/>
      </w:pPr>
      <w:rPr>
        <w:rFonts w:ascii="Symbol" w:hAnsi="Symbol" w:hint="default"/>
      </w:rPr>
    </w:lvl>
    <w:lvl w:ilvl="2" w:tplc="ECD42B3A">
      <w:start w:val="1"/>
      <w:numFmt w:val="lowerLetter"/>
      <w:lvlText w:val="(%3)"/>
      <w:lvlJc w:val="left"/>
      <w:pPr>
        <w:ind w:left="2460" w:hanging="660"/>
      </w:pPr>
      <w:rPr>
        <w:rFonts w:hint="default"/>
      </w:rPr>
    </w:lvl>
    <w:lvl w:ilvl="3" w:tplc="980C84C4" w:tentative="1">
      <w:start w:val="1"/>
      <w:numFmt w:val="decimal"/>
      <w:lvlText w:val="%4."/>
      <w:lvlJc w:val="left"/>
      <w:pPr>
        <w:tabs>
          <w:tab w:val="num" w:pos="2880"/>
        </w:tabs>
        <w:ind w:left="2880" w:hanging="360"/>
      </w:pPr>
    </w:lvl>
    <w:lvl w:ilvl="4" w:tplc="CB96AD5E" w:tentative="1">
      <w:start w:val="1"/>
      <w:numFmt w:val="decimal"/>
      <w:lvlText w:val="%5."/>
      <w:lvlJc w:val="left"/>
      <w:pPr>
        <w:tabs>
          <w:tab w:val="num" w:pos="3600"/>
        </w:tabs>
        <w:ind w:left="3600" w:hanging="360"/>
      </w:pPr>
    </w:lvl>
    <w:lvl w:ilvl="5" w:tplc="A2365FDC" w:tentative="1">
      <w:start w:val="1"/>
      <w:numFmt w:val="decimal"/>
      <w:lvlText w:val="%6."/>
      <w:lvlJc w:val="left"/>
      <w:pPr>
        <w:tabs>
          <w:tab w:val="num" w:pos="4320"/>
        </w:tabs>
        <w:ind w:left="4320" w:hanging="360"/>
      </w:pPr>
    </w:lvl>
    <w:lvl w:ilvl="6" w:tplc="DB947B46" w:tentative="1">
      <w:start w:val="1"/>
      <w:numFmt w:val="decimal"/>
      <w:lvlText w:val="%7."/>
      <w:lvlJc w:val="left"/>
      <w:pPr>
        <w:tabs>
          <w:tab w:val="num" w:pos="5040"/>
        </w:tabs>
        <w:ind w:left="5040" w:hanging="360"/>
      </w:pPr>
    </w:lvl>
    <w:lvl w:ilvl="7" w:tplc="C616D932" w:tentative="1">
      <w:start w:val="1"/>
      <w:numFmt w:val="decimal"/>
      <w:lvlText w:val="%8."/>
      <w:lvlJc w:val="left"/>
      <w:pPr>
        <w:tabs>
          <w:tab w:val="num" w:pos="5760"/>
        </w:tabs>
        <w:ind w:left="5760" w:hanging="360"/>
      </w:pPr>
    </w:lvl>
    <w:lvl w:ilvl="8" w:tplc="CD8E3AB4" w:tentative="1">
      <w:start w:val="1"/>
      <w:numFmt w:val="decimal"/>
      <w:lvlText w:val="%9."/>
      <w:lvlJc w:val="left"/>
      <w:pPr>
        <w:tabs>
          <w:tab w:val="num" w:pos="6480"/>
        </w:tabs>
        <w:ind w:left="6480" w:hanging="360"/>
      </w:pPr>
    </w:lvl>
  </w:abstractNum>
  <w:abstractNum w:abstractNumId="26" w15:restartNumberingAfterBreak="0">
    <w:nsid w:val="2750503E"/>
    <w:multiLevelType w:val="hybridMultilevel"/>
    <w:tmpl w:val="084EDE48"/>
    <w:lvl w:ilvl="0" w:tplc="DBCA5154">
      <w:start w:val="1"/>
      <w:numFmt w:val="decimal"/>
      <w:pStyle w:val="FootnoteText"/>
      <w:lvlText w:val="%1."/>
      <w:lvlJc w:val="left"/>
      <w:pPr>
        <w:ind w:left="2062" w:hanging="360"/>
      </w:pPr>
      <w:rPr>
        <w:rFonts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27" w15:restartNumberingAfterBreak="0">
    <w:nsid w:val="2789633E"/>
    <w:multiLevelType w:val="hybridMultilevel"/>
    <w:tmpl w:val="A1689BBC"/>
    <w:lvl w:ilvl="0" w:tplc="E43EBC82">
      <w:start w:val="1"/>
      <w:numFmt w:val="lowerLetter"/>
      <w:lvlText w:val="%1."/>
      <w:lvlJc w:val="left"/>
      <w:pPr>
        <w:tabs>
          <w:tab w:val="num" w:pos="720"/>
        </w:tabs>
        <w:ind w:left="720" w:hanging="360"/>
      </w:pPr>
      <w:rPr>
        <w:rFonts w:asciiTheme="minorHAnsi" w:eastAsiaTheme="minorHAnsi" w:hAnsiTheme="minorHAnsi" w:cstheme="minorBidi" w:hint="default"/>
        <w:b/>
        <w:bCs w:val="0"/>
      </w:rPr>
    </w:lvl>
    <w:lvl w:ilvl="1" w:tplc="8058521E" w:tentative="1">
      <w:start w:val="1"/>
      <w:numFmt w:val="lowerLetter"/>
      <w:lvlText w:val="%2)"/>
      <w:lvlJc w:val="left"/>
      <w:pPr>
        <w:tabs>
          <w:tab w:val="num" w:pos="1440"/>
        </w:tabs>
        <w:ind w:left="1440" w:hanging="360"/>
      </w:pPr>
    </w:lvl>
    <w:lvl w:ilvl="2" w:tplc="C644B444" w:tentative="1">
      <w:start w:val="1"/>
      <w:numFmt w:val="lowerLetter"/>
      <w:lvlText w:val="%3)"/>
      <w:lvlJc w:val="left"/>
      <w:pPr>
        <w:tabs>
          <w:tab w:val="num" w:pos="2160"/>
        </w:tabs>
        <w:ind w:left="2160" w:hanging="360"/>
      </w:pPr>
    </w:lvl>
    <w:lvl w:ilvl="3" w:tplc="2F623EC8" w:tentative="1">
      <w:start w:val="1"/>
      <w:numFmt w:val="lowerLetter"/>
      <w:lvlText w:val="%4)"/>
      <w:lvlJc w:val="left"/>
      <w:pPr>
        <w:tabs>
          <w:tab w:val="num" w:pos="2880"/>
        </w:tabs>
        <w:ind w:left="2880" w:hanging="360"/>
      </w:pPr>
    </w:lvl>
    <w:lvl w:ilvl="4" w:tplc="EA462724" w:tentative="1">
      <w:start w:val="1"/>
      <w:numFmt w:val="lowerLetter"/>
      <w:lvlText w:val="%5)"/>
      <w:lvlJc w:val="left"/>
      <w:pPr>
        <w:tabs>
          <w:tab w:val="num" w:pos="3600"/>
        </w:tabs>
        <w:ind w:left="3600" w:hanging="360"/>
      </w:pPr>
    </w:lvl>
    <w:lvl w:ilvl="5" w:tplc="087A9BF4" w:tentative="1">
      <w:start w:val="1"/>
      <w:numFmt w:val="lowerLetter"/>
      <w:lvlText w:val="%6)"/>
      <w:lvlJc w:val="left"/>
      <w:pPr>
        <w:tabs>
          <w:tab w:val="num" w:pos="4320"/>
        </w:tabs>
        <w:ind w:left="4320" w:hanging="360"/>
      </w:pPr>
    </w:lvl>
    <w:lvl w:ilvl="6" w:tplc="6B122B40" w:tentative="1">
      <w:start w:val="1"/>
      <w:numFmt w:val="lowerLetter"/>
      <w:lvlText w:val="%7)"/>
      <w:lvlJc w:val="left"/>
      <w:pPr>
        <w:tabs>
          <w:tab w:val="num" w:pos="5040"/>
        </w:tabs>
        <w:ind w:left="5040" w:hanging="360"/>
      </w:pPr>
    </w:lvl>
    <w:lvl w:ilvl="7" w:tplc="8376A472" w:tentative="1">
      <w:start w:val="1"/>
      <w:numFmt w:val="lowerLetter"/>
      <w:lvlText w:val="%8)"/>
      <w:lvlJc w:val="left"/>
      <w:pPr>
        <w:tabs>
          <w:tab w:val="num" w:pos="5760"/>
        </w:tabs>
        <w:ind w:left="5760" w:hanging="360"/>
      </w:pPr>
    </w:lvl>
    <w:lvl w:ilvl="8" w:tplc="3C32BB6C" w:tentative="1">
      <w:start w:val="1"/>
      <w:numFmt w:val="lowerLetter"/>
      <w:lvlText w:val="%9)"/>
      <w:lvlJc w:val="left"/>
      <w:pPr>
        <w:tabs>
          <w:tab w:val="num" w:pos="6480"/>
        </w:tabs>
        <w:ind w:left="6480" w:hanging="360"/>
      </w:pPr>
    </w:lvl>
  </w:abstractNum>
  <w:abstractNum w:abstractNumId="28" w15:restartNumberingAfterBreak="0">
    <w:nsid w:val="288401EF"/>
    <w:multiLevelType w:val="hybridMultilevel"/>
    <w:tmpl w:val="DD6E86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28B84E56"/>
    <w:multiLevelType w:val="hybridMultilevel"/>
    <w:tmpl w:val="FC6C7690"/>
    <w:lvl w:ilvl="0" w:tplc="E43EBC82">
      <w:start w:val="1"/>
      <w:numFmt w:val="lowerLetter"/>
      <w:lvlText w:val="%1."/>
      <w:lvlJc w:val="left"/>
      <w:pPr>
        <w:tabs>
          <w:tab w:val="num" w:pos="720"/>
        </w:tabs>
        <w:ind w:left="720" w:hanging="360"/>
      </w:pPr>
      <w:rPr>
        <w:rFonts w:asciiTheme="minorHAnsi" w:eastAsiaTheme="minorHAnsi" w:hAnsiTheme="minorHAnsi" w:cstheme="minorBidi" w:hint="default"/>
        <w:b/>
        <w:bCs w:val="0"/>
      </w:rPr>
    </w:lvl>
    <w:lvl w:ilvl="1" w:tplc="8D961C20" w:tentative="1">
      <w:start w:val="1"/>
      <w:numFmt w:val="lowerLetter"/>
      <w:lvlText w:val="%2)"/>
      <w:lvlJc w:val="left"/>
      <w:pPr>
        <w:tabs>
          <w:tab w:val="num" w:pos="1440"/>
        </w:tabs>
        <w:ind w:left="1440" w:hanging="360"/>
      </w:pPr>
    </w:lvl>
    <w:lvl w:ilvl="2" w:tplc="3C1C54FE" w:tentative="1">
      <w:start w:val="1"/>
      <w:numFmt w:val="lowerLetter"/>
      <w:lvlText w:val="%3)"/>
      <w:lvlJc w:val="left"/>
      <w:pPr>
        <w:tabs>
          <w:tab w:val="num" w:pos="2160"/>
        </w:tabs>
        <w:ind w:left="2160" w:hanging="360"/>
      </w:pPr>
    </w:lvl>
    <w:lvl w:ilvl="3" w:tplc="2F98361A" w:tentative="1">
      <w:start w:val="1"/>
      <w:numFmt w:val="lowerLetter"/>
      <w:lvlText w:val="%4)"/>
      <w:lvlJc w:val="left"/>
      <w:pPr>
        <w:tabs>
          <w:tab w:val="num" w:pos="2880"/>
        </w:tabs>
        <w:ind w:left="2880" w:hanging="360"/>
      </w:pPr>
    </w:lvl>
    <w:lvl w:ilvl="4" w:tplc="E140E4F8" w:tentative="1">
      <w:start w:val="1"/>
      <w:numFmt w:val="lowerLetter"/>
      <w:lvlText w:val="%5)"/>
      <w:lvlJc w:val="left"/>
      <w:pPr>
        <w:tabs>
          <w:tab w:val="num" w:pos="3600"/>
        </w:tabs>
        <w:ind w:left="3600" w:hanging="360"/>
      </w:pPr>
    </w:lvl>
    <w:lvl w:ilvl="5" w:tplc="AC56F2A2" w:tentative="1">
      <w:start w:val="1"/>
      <w:numFmt w:val="lowerLetter"/>
      <w:lvlText w:val="%6)"/>
      <w:lvlJc w:val="left"/>
      <w:pPr>
        <w:tabs>
          <w:tab w:val="num" w:pos="4320"/>
        </w:tabs>
        <w:ind w:left="4320" w:hanging="360"/>
      </w:pPr>
    </w:lvl>
    <w:lvl w:ilvl="6" w:tplc="BFD4AB18" w:tentative="1">
      <w:start w:val="1"/>
      <w:numFmt w:val="lowerLetter"/>
      <w:lvlText w:val="%7)"/>
      <w:lvlJc w:val="left"/>
      <w:pPr>
        <w:tabs>
          <w:tab w:val="num" w:pos="5040"/>
        </w:tabs>
        <w:ind w:left="5040" w:hanging="360"/>
      </w:pPr>
    </w:lvl>
    <w:lvl w:ilvl="7" w:tplc="40FC60C8" w:tentative="1">
      <w:start w:val="1"/>
      <w:numFmt w:val="lowerLetter"/>
      <w:lvlText w:val="%8)"/>
      <w:lvlJc w:val="left"/>
      <w:pPr>
        <w:tabs>
          <w:tab w:val="num" w:pos="5760"/>
        </w:tabs>
        <w:ind w:left="5760" w:hanging="360"/>
      </w:pPr>
    </w:lvl>
    <w:lvl w:ilvl="8" w:tplc="6602D510" w:tentative="1">
      <w:start w:val="1"/>
      <w:numFmt w:val="lowerLetter"/>
      <w:lvlText w:val="%9)"/>
      <w:lvlJc w:val="left"/>
      <w:pPr>
        <w:tabs>
          <w:tab w:val="num" w:pos="6480"/>
        </w:tabs>
        <w:ind w:left="6480" w:hanging="360"/>
      </w:pPr>
    </w:lvl>
  </w:abstractNum>
  <w:abstractNum w:abstractNumId="30" w15:restartNumberingAfterBreak="0">
    <w:nsid w:val="2A9E3CE7"/>
    <w:multiLevelType w:val="hybridMultilevel"/>
    <w:tmpl w:val="54C68A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2AB93AFE"/>
    <w:multiLevelType w:val="hybridMultilevel"/>
    <w:tmpl w:val="BA3C3C9C"/>
    <w:lvl w:ilvl="0" w:tplc="E43EBC82">
      <w:start w:val="1"/>
      <w:numFmt w:val="lowerLetter"/>
      <w:lvlText w:val="%1."/>
      <w:lvlJc w:val="left"/>
      <w:pPr>
        <w:ind w:left="720" w:hanging="360"/>
      </w:pPr>
      <w:rPr>
        <w:rFonts w:asciiTheme="minorHAnsi" w:eastAsiaTheme="minorHAnsi" w:hAnsiTheme="minorHAnsi" w:cstheme="minorBidi"/>
        <w:b/>
        <w:bCs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2F6C0B51"/>
    <w:multiLevelType w:val="hybridMultilevel"/>
    <w:tmpl w:val="8FBE034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3" w15:restartNumberingAfterBreak="0">
    <w:nsid w:val="30A60E37"/>
    <w:multiLevelType w:val="hybridMultilevel"/>
    <w:tmpl w:val="2396AB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30C0698B"/>
    <w:multiLevelType w:val="hybridMultilevel"/>
    <w:tmpl w:val="87902E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312755CA"/>
    <w:multiLevelType w:val="hybridMultilevel"/>
    <w:tmpl w:val="7A4E8FAC"/>
    <w:lvl w:ilvl="0" w:tplc="696CC6CC">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6" w15:restartNumberingAfterBreak="0">
    <w:nsid w:val="31BC27B8"/>
    <w:multiLevelType w:val="hybridMultilevel"/>
    <w:tmpl w:val="08809634"/>
    <w:lvl w:ilvl="0" w:tplc="AD204BBC">
      <w:start w:val="1"/>
      <w:numFmt w:val="lowerLetter"/>
      <w:lvlText w:val="%1."/>
      <w:lvlJc w:val="left"/>
      <w:pPr>
        <w:ind w:left="720" w:hanging="360"/>
      </w:pPr>
      <w:rPr>
        <w:rFonts w:asciiTheme="minorHAnsi" w:eastAsiaTheme="minorHAnsi" w:hAnsiTheme="minorHAnsi" w:cstheme="minorBidi"/>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331D0D56"/>
    <w:multiLevelType w:val="hybridMultilevel"/>
    <w:tmpl w:val="4334B16A"/>
    <w:lvl w:ilvl="0" w:tplc="E43EBC82">
      <w:start w:val="1"/>
      <w:numFmt w:val="lowerLetter"/>
      <w:lvlText w:val="%1."/>
      <w:lvlJc w:val="left"/>
      <w:pPr>
        <w:ind w:left="720" w:hanging="360"/>
      </w:pPr>
      <w:rPr>
        <w:rFonts w:asciiTheme="minorHAnsi" w:eastAsiaTheme="minorHAnsi" w:hAnsiTheme="minorHAnsi" w:cstheme="minorBidi" w:hint="default"/>
        <w:b/>
        <w:bCs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32E368A"/>
    <w:multiLevelType w:val="hybridMultilevel"/>
    <w:tmpl w:val="EBBAC90E"/>
    <w:lvl w:ilvl="0" w:tplc="E43EBC82">
      <w:start w:val="1"/>
      <w:numFmt w:val="lowerLetter"/>
      <w:lvlText w:val="%1."/>
      <w:lvlJc w:val="left"/>
      <w:pPr>
        <w:ind w:left="720" w:hanging="360"/>
      </w:pPr>
      <w:rPr>
        <w:rFonts w:asciiTheme="minorHAnsi" w:eastAsiaTheme="minorHAnsi" w:hAnsiTheme="minorHAnsi" w:cstheme="minorBidi" w:hint="default"/>
        <w:b/>
        <w:bCs w:val="0"/>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34EF798A"/>
    <w:multiLevelType w:val="hybridMultilevel"/>
    <w:tmpl w:val="FBEC1B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72412AC"/>
    <w:multiLevelType w:val="hybridMultilevel"/>
    <w:tmpl w:val="1B8C1CA0"/>
    <w:lvl w:ilvl="0" w:tplc="14090001">
      <w:start w:val="1"/>
      <w:numFmt w:val="bullet"/>
      <w:lvlText w:val=""/>
      <w:lvlJc w:val="left"/>
      <w:pPr>
        <w:tabs>
          <w:tab w:val="num" w:pos="720"/>
        </w:tabs>
        <w:ind w:left="720" w:hanging="360"/>
      </w:pPr>
      <w:rPr>
        <w:rFonts w:ascii="Symbol" w:hAnsi="Symbol" w:hint="default"/>
        <w:b/>
        <w:bCs w:val="0"/>
      </w:rPr>
    </w:lvl>
    <w:lvl w:ilvl="1" w:tplc="8058521E" w:tentative="1">
      <w:start w:val="1"/>
      <w:numFmt w:val="lowerLetter"/>
      <w:lvlText w:val="%2)"/>
      <w:lvlJc w:val="left"/>
      <w:pPr>
        <w:tabs>
          <w:tab w:val="num" w:pos="1440"/>
        </w:tabs>
        <w:ind w:left="1440" w:hanging="360"/>
      </w:pPr>
    </w:lvl>
    <w:lvl w:ilvl="2" w:tplc="C644B444" w:tentative="1">
      <w:start w:val="1"/>
      <w:numFmt w:val="lowerLetter"/>
      <w:lvlText w:val="%3)"/>
      <w:lvlJc w:val="left"/>
      <w:pPr>
        <w:tabs>
          <w:tab w:val="num" w:pos="2160"/>
        </w:tabs>
        <w:ind w:left="2160" w:hanging="360"/>
      </w:pPr>
    </w:lvl>
    <w:lvl w:ilvl="3" w:tplc="2F623EC8" w:tentative="1">
      <w:start w:val="1"/>
      <w:numFmt w:val="lowerLetter"/>
      <w:lvlText w:val="%4)"/>
      <w:lvlJc w:val="left"/>
      <w:pPr>
        <w:tabs>
          <w:tab w:val="num" w:pos="2880"/>
        </w:tabs>
        <w:ind w:left="2880" w:hanging="360"/>
      </w:pPr>
    </w:lvl>
    <w:lvl w:ilvl="4" w:tplc="EA462724" w:tentative="1">
      <w:start w:val="1"/>
      <w:numFmt w:val="lowerLetter"/>
      <w:lvlText w:val="%5)"/>
      <w:lvlJc w:val="left"/>
      <w:pPr>
        <w:tabs>
          <w:tab w:val="num" w:pos="3600"/>
        </w:tabs>
        <w:ind w:left="3600" w:hanging="360"/>
      </w:pPr>
    </w:lvl>
    <w:lvl w:ilvl="5" w:tplc="087A9BF4" w:tentative="1">
      <w:start w:val="1"/>
      <w:numFmt w:val="lowerLetter"/>
      <w:lvlText w:val="%6)"/>
      <w:lvlJc w:val="left"/>
      <w:pPr>
        <w:tabs>
          <w:tab w:val="num" w:pos="4320"/>
        </w:tabs>
        <w:ind w:left="4320" w:hanging="360"/>
      </w:pPr>
    </w:lvl>
    <w:lvl w:ilvl="6" w:tplc="6B122B40" w:tentative="1">
      <w:start w:val="1"/>
      <w:numFmt w:val="lowerLetter"/>
      <w:lvlText w:val="%7)"/>
      <w:lvlJc w:val="left"/>
      <w:pPr>
        <w:tabs>
          <w:tab w:val="num" w:pos="5040"/>
        </w:tabs>
        <w:ind w:left="5040" w:hanging="360"/>
      </w:pPr>
    </w:lvl>
    <w:lvl w:ilvl="7" w:tplc="8376A472" w:tentative="1">
      <w:start w:val="1"/>
      <w:numFmt w:val="lowerLetter"/>
      <w:lvlText w:val="%8)"/>
      <w:lvlJc w:val="left"/>
      <w:pPr>
        <w:tabs>
          <w:tab w:val="num" w:pos="5760"/>
        </w:tabs>
        <w:ind w:left="5760" w:hanging="360"/>
      </w:pPr>
    </w:lvl>
    <w:lvl w:ilvl="8" w:tplc="3C32BB6C" w:tentative="1">
      <w:start w:val="1"/>
      <w:numFmt w:val="lowerLetter"/>
      <w:lvlText w:val="%9)"/>
      <w:lvlJc w:val="left"/>
      <w:pPr>
        <w:tabs>
          <w:tab w:val="num" w:pos="6480"/>
        </w:tabs>
        <w:ind w:left="6480" w:hanging="360"/>
      </w:pPr>
    </w:lvl>
  </w:abstractNum>
  <w:abstractNum w:abstractNumId="41" w15:restartNumberingAfterBreak="0">
    <w:nsid w:val="385E2B9B"/>
    <w:multiLevelType w:val="hybridMultilevel"/>
    <w:tmpl w:val="20E66CE6"/>
    <w:lvl w:ilvl="0" w:tplc="E43EBC82">
      <w:start w:val="1"/>
      <w:numFmt w:val="lowerLetter"/>
      <w:lvlText w:val="%1."/>
      <w:lvlJc w:val="left"/>
      <w:pPr>
        <w:ind w:left="720" w:hanging="360"/>
      </w:pPr>
      <w:rPr>
        <w:rFonts w:asciiTheme="minorHAnsi" w:eastAsiaTheme="minorHAnsi" w:hAnsiTheme="minorHAnsi" w:cstheme="minorBidi" w:hint="default"/>
        <w:b/>
        <w:bCs w:val="0"/>
      </w:rPr>
    </w:lvl>
    <w:lvl w:ilvl="1" w:tplc="1409000B">
      <w:start w:val="1"/>
      <w:numFmt w:val="bullet"/>
      <w:lvlText w:val=""/>
      <w:lvlJc w:val="left"/>
      <w:pPr>
        <w:ind w:left="1440" w:hanging="360"/>
      </w:pPr>
      <w:rPr>
        <w:rFonts w:ascii="Wingdings" w:hAnsi="Wingding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388D2744"/>
    <w:multiLevelType w:val="hybridMultilevel"/>
    <w:tmpl w:val="AFD06E8C"/>
    <w:lvl w:ilvl="0" w:tplc="E43EBC82">
      <w:start w:val="1"/>
      <w:numFmt w:val="lowerLetter"/>
      <w:lvlText w:val="%1."/>
      <w:lvlJc w:val="left"/>
      <w:pPr>
        <w:ind w:left="720" w:hanging="360"/>
      </w:pPr>
      <w:rPr>
        <w:rFonts w:asciiTheme="minorHAnsi" w:eastAsiaTheme="minorHAnsi" w:hAnsiTheme="minorHAnsi" w:cstheme="minorBidi"/>
        <w:b/>
        <w:bCs w:val="0"/>
      </w:rPr>
    </w:lvl>
    <w:lvl w:ilvl="1" w:tplc="1409001B">
      <w:start w:val="1"/>
      <w:numFmt w:val="lowerRoman"/>
      <w:lvlText w:val="%2."/>
      <w:lvlJc w:val="righ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39B102A9"/>
    <w:multiLevelType w:val="hybridMultilevel"/>
    <w:tmpl w:val="5896E0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3A5D5010"/>
    <w:multiLevelType w:val="hybridMultilevel"/>
    <w:tmpl w:val="FFFFFFFF"/>
    <w:lvl w:ilvl="0" w:tplc="9E303F7E">
      <w:start w:val="1"/>
      <w:numFmt w:val="bullet"/>
      <w:lvlText w:val=""/>
      <w:lvlJc w:val="left"/>
      <w:pPr>
        <w:ind w:left="720" w:hanging="360"/>
      </w:pPr>
      <w:rPr>
        <w:rFonts w:ascii="Symbol" w:hAnsi="Symbol" w:hint="default"/>
      </w:rPr>
    </w:lvl>
    <w:lvl w:ilvl="1" w:tplc="31F4EA82">
      <w:start w:val="1"/>
      <w:numFmt w:val="bullet"/>
      <w:lvlText w:val="o"/>
      <w:lvlJc w:val="left"/>
      <w:pPr>
        <w:ind w:left="1440" w:hanging="360"/>
      </w:pPr>
      <w:rPr>
        <w:rFonts w:ascii="Courier New" w:hAnsi="Courier New" w:hint="default"/>
      </w:rPr>
    </w:lvl>
    <w:lvl w:ilvl="2" w:tplc="317251CE">
      <w:start w:val="1"/>
      <w:numFmt w:val="bullet"/>
      <w:lvlText w:val=""/>
      <w:lvlJc w:val="left"/>
      <w:pPr>
        <w:ind w:left="2160" w:hanging="360"/>
      </w:pPr>
      <w:rPr>
        <w:rFonts w:ascii="Wingdings" w:hAnsi="Wingdings" w:hint="default"/>
      </w:rPr>
    </w:lvl>
    <w:lvl w:ilvl="3" w:tplc="AE94041C">
      <w:start w:val="1"/>
      <w:numFmt w:val="bullet"/>
      <w:lvlText w:val=""/>
      <w:lvlJc w:val="left"/>
      <w:pPr>
        <w:ind w:left="2880" w:hanging="360"/>
      </w:pPr>
      <w:rPr>
        <w:rFonts w:ascii="Symbol" w:hAnsi="Symbol" w:hint="default"/>
      </w:rPr>
    </w:lvl>
    <w:lvl w:ilvl="4" w:tplc="29CE119A">
      <w:start w:val="1"/>
      <w:numFmt w:val="bullet"/>
      <w:lvlText w:val="o"/>
      <w:lvlJc w:val="left"/>
      <w:pPr>
        <w:ind w:left="3600" w:hanging="360"/>
      </w:pPr>
      <w:rPr>
        <w:rFonts w:ascii="Courier New" w:hAnsi="Courier New" w:hint="default"/>
      </w:rPr>
    </w:lvl>
    <w:lvl w:ilvl="5" w:tplc="84B23EC6">
      <w:start w:val="1"/>
      <w:numFmt w:val="bullet"/>
      <w:lvlText w:val=""/>
      <w:lvlJc w:val="left"/>
      <w:pPr>
        <w:ind w:left="4320" w:hanging="360"/>
      </w:pPr>
      <w:rPr>
        <w:rFonts w:ascii="Wingdings" w:hAnsi="Wingdings" w:hint="default"/>
      </w:rPr>
    </w:lvl>
    <w:lvl w:ilvl="6" w:tplc="C4CC5A36">
      <w:start w:val="1"/>
      <w:numFmt w:val="bullet"/>
      <w:lvlText w:val=""/>
      <w:lvlJc w:val="left"/>
      <w:pPr>
        <w:ind w:left="5040" w:hanging="360"/>
      </w:pPr>
      <w:rPr>
        <w:rFonts w:ascii="Symbol" w:hAnsi="Symbol" w:hint="default"/>
      </w:rPr>
    </w:lvl>
    <w:lvl w:ilvl="7" w:tplc="4EB88186">
      <w:start w:val="1"/>
      <w:numFmt w:val="bullet"/>
      <w:lvlText w:val="o"/>
      <w:lvlJc w:val="left"/>
      <w:pPr>
        <w:ind w:left="5760" w:hanging="360"/>
      </w:pPr>
      <w:rPr>
        <w:rFonts w:ascii="Courier New" w:hAnsi="Courier New" w:hint="default"/>
      </w:rPr>
    </w:lvl>
    <w:lvl w:ilvl="8" w:tplc="6B563A42">
      <w:start w:val="1"/>
      <w:numFmt w:val="bullet"/>
      <w:lvlText w:val=""/>
      <w:lvlJc w:val="left"/>
      <w:pPr>
        <w:ind w:left="6480" w:hanging="360"/>
      </w:pPr>
      <w:rPr>
        <w:rFonts w:ascii="Wingdings" w:hAnsi="Wingdings" w:hint="default"/>
      </w:rPr>
    </w:lvl>
  </w:abstractNum>
  <w:abstractNum w:abstractNumId="45" w15:restartNumberingAfterBreak="0">
    <w:nsid w:val="3A7C65A0"/>
    <w:multiLevelType w:val="hybridMultilevel"/>
    <w:tmpl w:val="DFD445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3D093C58"/>
    <w:multiLevelType w:val="hybridMultilevel"/>
    <w:tmpl w:val="58BEC78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3D9E216D"/>
    <w:multiLevelType w:val="hybridMultilevel"/>
    <w:tmpl w:val="DD22E732"/>
    <w:lvl w:ilvl="0" w:tplc="EA988088">
      <w:start w:val="1"/>
      <w:numFmt w:val="lowerLetter"/>
      <w:lvlText w:val="%1."/>
      <w:lvlJc w:val="left"/>
      <w:pPr>
        <w:ind w:left="720" w:hanging="360"/>
      </w:pPr>
      <w:rPr>
        <w:rFonts w:asciiTheme="minorHAnsi" w:eastAsiaTheme="minorHAnsi" w:hAnsiTheme="minorHAnsi" w:cstheme="minorBidi"/>
        <w:b/>
        <w:bCs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41CB47A7"/>
    <w:multiLevelType w:val="hybridMultilevel"/>
    <w:tmpl w:val="3CB8AF4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42D64BD5"/>
    <w:multiLevelType w:val="hybridMultilevel"/>
    <w:tmpl w:val="029A19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44E709C1"/>
    <w:multiLevelType w:val="hybridMultilevel"/>
    <w:tmpl w:val="DF30B9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46CF39CC"/>
    <w:multiLevelType w:val="hybridMultilevel"/>
    <w:tmpl w:val="08809634"/>
    <w:lvl w:ilvl="0" w:tplc="AD204BBC">
      <w:start w:val="1"/>
      <w:numFmt w:val="lowerLetter"/>
      <w:lvlText w:val="%1."/>
      <w:lvlJc w:val="left"/>
      <w:pPr>
        <w:ind w:left="720" w:hanging="360"/>
      </w:pPr>
      <w:rPr>
        <w:rFonts w:asciiTheme="minorHAnsi" w:eastAsiaTheme="minorHAnsi" w:hAnsiTheme="minorHAnsi" w:cstheme="minorBidi"/>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487446FB"/>
    <w:multiLevelType w:val="hybridMultilevel"/>
    <w:tmpl w:val="79DC81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49C95EE4"/>
    <w:multiLevelType w:val="hybridMultilevel"/>
    <w:tmpl w:val="147648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4A7F3B24"/>
    <w:multiLevelType w:val="hybridMultilevel"/>
    <w:tmpl w:val="04B264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4A835183"/>
    <w:multiLevelType w:val="hybridMultilevel"/>
    <w:tmpl w:val="A6EE9F42"/>
    <w:lvl w:ilvl="0" w:tplc="E43EBC82">
      <w:start w:val="1"/>
      <w:numFmt w:val="lowerLetter"/>
      <w:lvlText w:val="%1."/>
      <w:lvlJc w:val="left"/>
      <w:pPr>
        <w:tabs>
          <w:tab w:val="num" w:pos="720"/>
        </w:tabs>
        <w:ind w:left="720" w:hanging="360"/>
      </w:pPr>
      <w:rPr>
        <w:rFonts w:asciiTheme="minorHAnsi" w:eastAsiaTheme="minorHAnsi" w:hAnsiTheme="minorHAnsi" w:cstheme="minorBidi" w:hint="default"/>
        <w:b/>
        <w:bCs w:val="0"/>
      </w:rPr>
    </w:lvl>
    <w:lvl w:ilvl="1" w:tplc="8058521E" w:tentative="1">
      <w:start w:val="1"/>
      <w:numFmt w:val="lowerLetter"/>
      <w:lvlText w:val="%2)"/>
      <w:lvlJc w:val="left"/>
      <w:pPr>
        <w:tabs>
          <w:tab w:val="num" w:pos="1440"/>
        </w:tabs>
        <w:ind w:left="1440" w:hanging="360"/>
      </w:pPr>
    </w:lvl>
    <w:lvl w:ilvl="2" w:tplc="C644B444" w:tentative="1">
      <w:start w:val="1"/>
      <w:numFmt w:val="lowerLetter"/>
      <w:lvlText w:val="%3)"/>
      <w:lvlJc w:val="left"/>
      <w:pPr>
        <w:tabs>
          <w:tab w:val="num" w:pos="2160"/>
        </w:tabs>
        <w:ind w:left="2160" w:hanging="360"/>
      </w:pPr>
    </w:lvl>
    <w:lvl w:ilvl="3" w:tplc="2F623EC8" w:tentative="1">
      <w:start w:val="1"/>
      <w:numFmt w:val="lowerLetter"/>
      <w:lvlText w:val="%4)"/>
      <w:lvlJc w:val="left"/>
      <w:pPr>
        <w:tabs>
          <w:tab w:val="num" w:pos="2880"/>
        </w:tabs>
        <w:ind w:left="2880" w:hanging="360"/>
      </w:pPr>
    </w:lvl>
    <w:lvl w:ilvl="4" w:tplc="EA462724" w:tentative="1">
      <w:start w:val="1"/>
      <w:numFmt w:val="lowerLetter"/>
      <w:lvlText w:val="%5)"/>
      <w:lvlJc w:val="left"/>
      <w:pPr>
        <w:tabs>
          <w:tab w:val="num" w:pos="3600"/>
        </w:tabs>
        <w:ind w:left="3600" w:hanging="360"/>
      </w:pPr>
    </w:lvl>
    <w:lvl w:ilvl="5" w:tplc="087A9BF4" w:tentative="1">
      <w:start w:val="1"/>
      <w:numFmt w:val="lowerLetter"/>
      <w:lvlText w:val="%6)"/>
      <w:lvlJc w:val="left"/>
      <w:pPr>
        <w:tabs>
          <w:tab w:val="num" w:pos="4320"/>
        </w:tabs>
        <w:ind w:left="4320" w:hanging="360"/>
      </w:pPr>
    </w:lvl>
    <w:lvl w:ilvl="6" w:tplc="6B122B40" w:tentative="1">
      <w:start w:val="1"/>
      <w:numFmt w:val="lowerLetter"/>
      <w:lvlText w:val="%7)"/>
      <w:lvlJc w:val="left"/>
      <w:pPr>
        <w:tabs>
          <w:tab w:val="num" w:pos="5040"/>
        </w:tabs>
        <w:ind w:left="5040" w:hanging="360"/>
      </w:pPr>
    </w:lvl>
    <w:lvl w:ilvl="7" w:tplc="8376A472" w:tentative="1">
      <w:start w:val="1"/>
      <w:numFmt w:val="lowerLetter"/>
      <w:lvlText w:val="%8)"/>
      <w:lvlJc w:val="left"/>
      <w:pPr>
        <w:tabs>
          <w:tab w:val="num" w:pos="5760"/>
        </w:tabs>
        <w:ind w:left="5760" w:hanging="360"/>
      </w:pPr>
    </w:lvl>
    <w:lvl w:ilvl="8" w:tplc="3C32BB6C" w:tentative="1">
      <w:start w:val="1"/>
      <w:numFmt w:val="lowerLetter"/>
      <w:lvlText w:val="%9)"/>
      <w:lvlJc w:val="left"/>
      <w:pPr>
        <w:tabs>
          <w:tab w:val="num" w:pos="6480"/>
        </w:tabs>
        <w:ind w:left="6480" w:hanging="360"/>
      </w:pPr>
    </w:lvl>
  </w:abstractNum>
  <w:abstractNum w:abstractNumId="56" w15:restartNumberingAfterBreak="0">
    <w:nsid w:val="4C54087E"/>
    <w:multiLevelType w:val="hybridMultilevel"/>
    <w:tmpl w:val="F6D4DC12"/>
    <w:lvl w:ilvl="0" w:tplc="E43EBC82">
      <w:start w:val="1"/>
      <w:numFmt w:val="lowerLetter"/>
      <w:lvlText w:val="%1."/>
      <w:lvlJc w:val="left"/>
      <w:pPr>
        <w:ind w:left="720" w:hanging="360"/>
      </w:pPr>
      <w:rPr>
        <w:rFonts w:asciiTheme="minorHAnsi" w:eastAsiaTheme="minorHAnsi" w:hAnsiTheme="minorHAnsi" w:cstheme="minorBidi" w:hint="default"/>
        <w:b/>
        <w:bCs w:val="0"/>
      </w:rPr>
    </w:lvl>
    <w:lvl w:ilvl="1" w:tplc="1409000B">
      <w:start w:val="1"/>
      <w:numFmt w:val="bullet"/>
      <w:lvlText w:val=""/>
      <w:lvlJc w:val="left"/>
      <w:pPr>
        <w:ind w:left="1440" w:hanging="360"/>
      </w:pPr>
      <w:rPr>
        <w:rFonts w:ascii="Wingdings" w:hAnsi="Wingding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4D4A674B"/>
    <w:multiLevelType w:val="hybridMultilevel"/>
    <w:tmpl w:val="616CFC12"/>
    <w:lvl w:ilvl="0" w:tplc="03041EB8">
      <w:start w:val="1"/>
      <w:numFmt w:val="lowerLetter"/>
      <w:lvlText w:val="%1)"/>
      <w:lvlJc w:val="left"/>
      <w:pPr>
        <w:tabs>
          <w:tab w:val="num" w:pos="720"/>
        </w:tabs>
        <w:ind w:left="720" w:hanging="360"/>
      </w:pPr>
    </w:lvl>
    <w:lvl w:ilvl="1" w:tplc="1409001B">
      <w:start w:val="1"/>
      <w:numFmt w:val="lowerRoman"/>
      <w:lvlText w:val="%2."/>
      <w:lvlJc w:val="right"/>
      <w:pPr>
        <w:tabs>
          <w:tab w:val="num" w:pos="1440"/>
        </w:tabs>
        <w:ind w:left="1440" w:hanging="360"/>
      </w:pPr>
      <w:rPr>
        <w:rFonts w:hint="default"/>
      </w:rPr>
    </w:lvl>
    <w:lvl w:ilvl="2" w:tplc="B2DE63D8" w:tentative="1">
      <w:start w:val="1"/>
      <w:numFmt w:val="lowerLetter"/>
      <w:lvlText w:val="%3)"/>
      <w:lvlJc w:val="left"/>
      <w:pPr>
        <w:tabs>
          <w:tab w:val="num" w:pos="2160"/>
        </w:tabs>
        <w:ind w:left="2160" w:hanging="360"/>
      </w:pPr>
    </w:lvl>
    <w:lvl w:ilvl="3" w:tplc="B254CB36" w:tentative="1">
      <w:start w:val="1"/>
      <w:numFmt w:val="lowerLetter"/>
      <w:lvlText w:val="%4)"/>
      <w:lvlJc w:val="left"/>
      <w:pPr>
        <w:tabs>
          <w:tab w:val="num" w:pos="2880"/>
        </w:tabs>
        <w:ind w:left="2880" w:hanging="360"/>
      </w:pPr>
    </w:lvl>
    <w:lvl w:ilvl="4" w:tplc="66A2C578" w:tentative="1">
      <w:start w:val="1"/>
      <w:numFmt w:val="lowerLetter"/>
      <w:lvlText w:val="%5)"/>
      <w:lvlJc w:val="left"/>
      <w:pPr>
        <w:tabs>
          <w:tab w:val="num" w:pos="3600"/>
        </w:tabs>
        <w:ind w:left="3600" w:hanging="360"/>
      </w:pPr>
    </w:lvl>
    <w:lvl w:ilvl="5" w:tplc="44724B64" w:tentative="1">
      <w:start w:val="1"/>
      <w:numFmt w:val="lowerLetter"/>
      <w:lvlText w:val="%6)"/>
      <w:lvlJc w:val="left"/>
      <w:pPr>
        <w:tabs>
          <w:tab w:val="num" w:pos="4320"/>
        </w:tabs>
        <w:ind w:left="4320" w:hanging="360"/>
      </w:pPr>
    </w:lvl>
    <w:lvl w:ilvl="6" w:tplc="CD8ACA7E" w:tentative="1">
      <w:start w:val="1"/>
      <w:numFmt w:val="lowerLetter"/>
      <w:lvlText w:val="%7)"/>
      <w:lvlJc w:val="left"/>
      <w:pPr>
        <w:tabs>
          <w:tab w:val="num" w:pos="5040"/>
        </w:tabs>
        <w:ind w:left="5040" w:hanging="360"/>
      </w:pPr>
    </w:lvl>
    <w:lvl w:ilvl="7" w:tplc="CA0E1234" w:tentative="1">
      <w:start w:val="1"/>
      <w:numFmt w:val="lowerLetter"/>
      <w:lvlText w:val="%8)"/>
      <w:lvlJc w:val="left"/>
      <w:pPr>
        <w:tabs>
          <w:tab w:val="num" w:pos="5760"/>
        </w:tabs>
        <w:ind w:left="5760" w:hanging="360"/>
      </w:pPr>
    </w:lvl>
    <w:lvl w:ilvl="8" w:tplc="BE0A1FD2" w:tentative="1">
      <w:start w:val="1"/>
      <w:numFmt w:val="lowerLetter"/>
      <w:lvlText w:val="%9)"/>
      <w:lvlJc w:val="left"/>
      <w:pPr>
        <w:tabs>
          <w:tab w:val="num" w:pos="6480"/>
        </w:tabs>
        <w:ind w:left="6480" w:hanging="360"/>
      </w:pPr>
    </w:lvl>
  </w:abstractNum>
  <w:abstractNum w:abstractNumId="58" w15:restartNumberingAfterBreak="0">
    <w:nsid w:val="4DC419B0"/>
    <w:multiLevelType w:val="hybridMultilevel"/>
    <w:tmpl w:val="3F96D38E"/>
    <w:lvl w:ilvl="0" w:tplc="14090011">
      <w:start w:val="1"/>
      <w:numFmt w:val="decimal"/>
      <w:lvlText w:val="%1)"/>
      <w:lvlJc w:val="left"/>
      <w:pPr>
        <w:ind w:left="1004" w:hanging="360"/>
      </w:pPr>
      <w:rPr>
        <w:rFonts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9" w15:restartNumberingAfterBreak="0">
    <w:nsid w:val="4ED50648"/>
    <w:multiLevelType w:val="hybridMultilevel"/>
    <w:tmpl w:val="6ED2EAFA"/>
    <w:lvl w:ilvl="0" w:tplc="7F8A450E">
      <w:start w:val="1"/>
      <w:numFmt w:val="bullet"/>
      <w:lvlText w:val=""/>
      <w:lvlJc w:val="left"/>
      <w:pPr>
        <w:ind w:left="720" w:hanging="360"/>
      </w:pPr>
      <w:rPr>
        <w:rFonts w:ascii="Symbol" w:hAnsi="Symbol"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50756343"/>
    <w:multiLevelType w:val="hybridMultilevel"/>
    <w:tmpl w:val="A6CEAA6E"/>
    <w:lvl w:ilvl="0" w:tplc="1409001B">
      <w:start w:val="1"/>
      <w:numFmt w:val="lowerRoman"/>
      <w:lvlText w:val="%1."/>
      <w:lvlJc w:val="righ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581A2711"/>
    <w:multiLevelType w:val="hybridMultilevel"/>
    <w:tmpl w:val="DA2ED3A6"/>
    <w:lvl w:ilvl="0" w:tplc="14090001">
      <w:start w:val="1"/>
      <w:numFmt w:val="bullet"/>
      <w:lvlText w:val=""/>
      <w:lvlJc w:val="left"/>
      <w:pPr>
        <w:ind w:left="720" w:hanging="360"/>
      </w:pPr>
      <w:rPr>
        <w:rFonts w:ascii="Symbol" w:hAnsi="Symbol" w:hint="default"/>
        <w:b/>
        <w:bCs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59ED3325"/>
    <w:multiLevelType w:val="hybridMultilevel"/>
    <w:tmpl w:val="9362B3B2"/>
    <w:lvl w:ilvl="0" w:tplc="E43EBC82">
      <w:start w:val="1"/>
      <w:numFmt w:val="lowerLetter"/>
      <w:lvlText w:val="%1."/>
      <w:lvlJc w:val="left"/>
      <w:pPr>
        <w:ind w:left="720" w:hanging="360"/>
      </w:pPr>
      <w:rPr>
        <w:rFonts w:asciiTheme="minorHAnsi" w:eastAsiaTheme="minorHAnsi" w:hAnsiTheme="minorHAnsi" w:cstheme="minorBidi" w:hint="default"/>
        <w:b/>
        <w:bCs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5B807646"/>
    <w:multiLevelType w:val="hybridMultilevel"/>
    <w:tmpl w:val="79DC8A32"/>
    <w:lvl w:ilvl="0" w:tplc="E43EBC82">
      <w:start w:val="1"/>
      <w:numFmt w:val="lowerLetter"/>
      <w:lvlText w:val="%1."/>
      <w:lvlJc w:val="left"/>
      <w:pPr>
        <w:tabs>
          <w:tab w:val="num" w:pos="720"/>
        </w:tabs>
        <w:ind w:left="720" w:hanging="360"/>
      </w:pPr>
      <w:rPr>
        <w:rFonts w:asciiTheme="minorHAnsi" w:eastAsiaTheme="minorHAnsi" w:hAnsiTheme="minorHAnsi" w:cstheme="minorBidi" w:hint="default"/>
        <w:b/>
        <w:bCs w:val="0"/>
      </w:rPr>
    </w:lvl>
    <w:lvl w:ilvl="1" w:tplc="3EB03566" w:tentative="1">
      <w:start w:val="1"/>
      <w:numFmt w:val="lowerLetter"/>
      <w:lvlText w:val="%2)"/>
      <w:lvlJc w:val="left"/>
      <w:pPr>
        <w:tabs>
          <w:tab w:val="num" w:pos="1440"/>
        </w:tabs>
        <w:ind w:left="1440" w:hanging="360"/>
      </w:pPr>
    </w:lvl>
    <w:lvl w:ilvl="2" w:tplc="E23CAEF8" w:tentative="1">
      <w:start w:val="1"/>
      <w:numFmt w:val="lowerLetter"/>
      <w:lvlText w:val="%3)"/>
      <w:lvlJc w:val="left"/>
      <w:pPr>
        <w:tabs>
          <w:tab w:val="num" w:pos="2160"/>
        </w:tabs>
        <w:ind w:left="2160" w:hanging="360"/>
      </w:pPr>
    </w:lvl>
    <w:lvl w:ilvl="3" w:tplc="F70C3F4E" w:tentative="1">
      <w:start w:val="1"/>
      <w:numFmt w:val="lowerLetter"/>
      <w:lvlText w:val="%4)"/>
      <w:lvlJc w:val="left"/>
      <w:pPr>
        <w:tabs>
          <w:tab w:val="num" w:pos="2880"/>
        </w:tabs>
        <w:ind w:left="2880" w:hanging="360"/>
      </w:pPr>
    </w:lvl>
    <w:lvl w:ilvl="4" w:tplc="0520DA9E" w:tentative="1">
      <w:start w:val="1"/>
      <w:numFmt w:val="lowerLetter"/>
      <w:lvlText w:val="%5)"/>
      <w:lvlJc w:val="left"/>
      <w:pPr>
        <w:tabs>
          <w:tab w:val="num" w:pos="3600"/>
        </w:tabs>
        <w:ind w:left="3600" w:hanging="360"/>
      </w:pPr>
    </w:lvl>
    <w:lvl w:ilvl="5" w:tplc="A1F81C4E" w:tentative="1">
      <w:start w:val="1"/>
      <w:numFmt w:val="lowerLetter"/>
      <w:lvlText w:val="%6)"/>
      <w:lvlJc w:val="left"/>
      <w:pPr>
        <w:tabs>
          <w:tab w:val="num" w:pos="4320"/>
        </w:tabs>
        <w:ind w:left="4320" w:hanging="360"/>
      </w:pPr>
    </w:lvl>
    <w:lvl w:ilvl="6" w:tplc="43521DB2" w:tentative="1">
      <w:start w:val="1"/>
      <w:numFmt w:val="lowerLetter"/>
      <w:lvlText w:val="%7)"/>
      <w:lvlJc w:val="left"/>
      <w:pPr>
        <w:tabs>
          <w:tab w:val="num" w:pos="5040"/>
        </w:tabs>
        <w:ind w:left="5040" w:hanging="360"/>
      </w:pPr>
    </w:lvl>
    <w:lvl w:ilvl="7" w:tplc="BF90696C" w:tentative="1">
      <w:start w:val="1"/>
      <w:numFmt w:val="lowerLetter"/>
      <w:lvlText w:val="%8)"/>
      <w:lvlJc w:val="left"/>
      <w:pPr>
        <w:tabs>
          <w:tab w:val="num" w:pos="5760"/>
        </w:tabs>
        <w:ind w:left="5760" w:hanging="360"/>
      </w:pPr>
    </w:lvl>
    <w:lvl w:ilvl="8" w:tplc="B94A035E" w:tentative="1">
      <w:start w:val="1"/>
      <w:numFmt w:val="lowerLetter"/>
      <w:lvlText w:val="%9)"/>
      <w:lvlJc w:val="left"/>
      <w:pPr>
        <w:tabs>
          <w:tab w:val="num" w:pos="6480"/>
        </w:tabs>
        <w:ind w:left="6480" w:hanging="360"/>
      </w:pPr>
    </w:lvl>
  </w:abstractNum>
  <w:abstractNum w:abstractNumId="64" w15:restartNumberingAfterBreak="0">
    <w:nsid w:val="5C283AC7"/>
    <w:multiLevelType w:val="hybridMultilevel"/>
    <w:tmpl w:val="5B3473E8"/>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5C8B03E8"/>
    <w:multiLevelType w:val="hybridMultilevel"/>
    <w:tmpl w:val="3B9891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5C8B7DA6"/>
    <w:multiLevelType w:val="hybridMultilevel"/>
    <w:tmpl w:val="54DA96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5CD05472"/>
    <w:multiLevelType w:val="hybridMultilevel"/>
    <w:tmpl w:val="B6BAB308"/>
    <w:lvl w:ilvl="0" w:tplc="B5306288">
      <w:start w:val="1"/>
      <w:numFmt w:val="lowerLetter"/>
      <w:lvlText w:val="%1."/>
      <w:lvlJc w:val="left"/>
      <w:pPr>
        <w:ind w:left="720" w:hanging="360"/>
      </w:pPr>
      <w:rPr>
        <w:rFonts w:hint="default"/>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8" w15:restartNumberingAfterBreak="0">
    <w:nsid w:val="5DD62D5A"/>
    <w:multiLevelType w:val="hybridMultilevel"/>
    <w:tmpl w:val="05BC43F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60265793"/>
    <w:multiLevelType w:val="hybridMultilevel"/>
    <w:tmpl w:val="C690FF74"/>
    <w:lvl w:ilvl="0" w:tplc="E43EBC82">
      <w:start w:val="1"/>
      <w:numFmt w:val="lowerLetter"/>
      <w:lvlText w:val="%1."/>
      <w:lvlJc w:val="left"/>
      <w:pPr>
        <w:ind w:left="720" w:hanging="360"/>
      </w:pPr>
      <w:rPr>
        <w:rFonts w:asciiTheme="minorHAnsi" w:eastAsiaTheme="minorHAnsi" w:hAnsiTheme="minorHAnsi" w:cstheme="minorBidi" w:hint="default"/>
        <w:b/>
        <w:bCs w:val="0"/>
      </w:rPr>
    </w:lvl>
    <w:lvl w:ilvl="1" w:tplc="1409000B">
      <w:start w:val="1"/>
      <w:numFmt w:val="bullet"/>
      <w:lvlText w:val=""/>
      <w:lvlJc w:val="left"/>
      <w:pPr>
        <w:ind w:left="1440" w:hanging="360"/>
      </w:pPr>
      <w:rPr>
        <w:rFonts w:ascii="Wingdings" w:hAnsi="Wingding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15:restartNumberingAfterBreak="0">
    <w:nsid w:val="60863770"/>
    <w:multiLevelType w:val="hybridMultilevel"/>
    <w:tmpl w:val="F5A8CC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61FF2EF6"/>
    <w:multiLevelType w:val="hybridMultilevel"/>
    <w:tmpl w:val="21F4D8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62686BCC"/>
    <w:multiLevelType w:val="hybridMultilevel"/>
    <w:tmpl w:val="96DE2F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63450848"/>
    <w:multiLevelType w:val="hybridMultilevel"/>
    <w:tmpl w:val="7A4E8FAC"/>
    <w:lvl w:ilvl="0" w:tplc="696CC6CC">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74" w15:restartNumberingAfterBreak="0">
    <w:nsid w:val="65DF6D63"/>
    <w:multiLevelType w:val="hybridMultilevel"/>
    <w:tmpl w:val="6082B5C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65F36A46"/>
    <w:multiLevelType w:val="hybridMultilevel"/>
    <w:tmpl w:val="48789998"/>
    <w:lvl w:ilvl="0" w:tplc="E43EBC82">
      <w:start w:val="1"/>
      <w:numFmt w:val="lowerLetter"/>
      <w:lvlText w:val="%1."/>
      <w:lvlJc w:val="left"/>
      <w:pPr>
        <w:ind w:left="720" w:hanging="360"/>
      </w:pPr>
      <w:rPr>
        <w:rFonts w:asciiTheme="minorHAnsi" w:eastAsiaTheme="minorHAnsi" w:hAnsiTheme="minorHAnsi" w:cstheme="minorBidi"/>
        <w:b/>
        <w:bCs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66AE699D"/>
    <w:multiLevelType w:val="hybridMultilevel"/>
    <w:tmpl w:val="E91A3E1A"/>
    <w:lvl w:ilvl="0" w:tplc="E43EBC82">
      <w:start w:val="1"/>
      <w:numFmt w:val="lowerLetter"/>
      <w:lvlText w:val="%1."/>
      <w:lvlJc w:val="left"/>
      <w:pPr>
        <w:ind w:left="720" w:hanging="360"/>
      </w:pPr>
      <w:rPr>
        <w:rFonts w:asciiTheme="minorHAnsi" w:eastAsiaTheme="minorHAnsi" w:hAnsiTheme="minorHAnsi" w:cstheme="minorBidi" w:hint="default"/>
        <w:b/>
        <w:bCs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66F0486D"/>
    <w:multiLevelType w:val="hybridMultilevel"/>
    <w:tmpl w:val="9CDE58DC"/>
    <w:lvl w:ilvl="0" w:tplc="E43EBC82">
      <w:start w:val="1"/>
      <w:numFmt w:val="lowerLetter"/>
      <w:lvlText w:val="%1."/>
      <w:lvlJc w:val="left"/>
      <w:pPr>
        <w:ind w:left="720" w:hanging="360"/>
      </w:pPr>
      <w:rPr>
        <w:rFonts w:asciiTheme="minorHAnsi" w:eastAsiaTheme="minorHAnsi" w:hAnsiTheme="minorHAnsi" w:cstheme="minorBidi" w:hint="default"/>
        <w:b/>
        <w:bCs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67672CA2"/>
    <w:multiLevelType w:val="hybridMultilevel"/>
    <w:tmpl w:val="EE62A6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6C6C2C71"/>
    <w:multiLevelType w:val="hybridMultilevel"/>
    <w:tmpl w:val="72A22C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6EB14EDF"/>
    <w:multiLevelType w:val="hybridMultilevel"/>
    <w:tmpl w:val="FA6801AA"/>
    <w:lvl w:ilvl="0" w:tplc="E43EBC82">
      <w:start w:val="1"/>
      <w:numFmt w:val="lowerLetter"/>
      <w:lvlText w:val="%1."/>
      <w:lvlJc w:val="left"/>
      <w:pPr>
        <w:ind w:left="720" w:hanging="360"/>
      </w:pPr>
      <w:rPr>
        <w:rFonts w:asciiTheme="minorHAnsi" w:eastAsiaTheme="minorHAnsi" w:hAnsiTheme="minorHAnsi" w:cstheme="minorBidi" w:hint="default"/>
        <w:b/>
        <w:bCs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6F352107"/>
    <w:multiLevelType w:val="hybridMultilevel"/>
    <w:tmpl w:val="F0A21E2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702A4B12"/>
    <w:multiLevelType w:val="hybridMultilevel"/>
    <w:tmpl w:val="4EAC845A"/>
    <w:lvl w:ilvl="0" w:tplc="14090017">
      <w:start w:val="1"/>
      <w:numFmt w:val="lowerLetter"/>
      <w:lvlText w:val="%1)"/>
      <w:lvlJc w:val="left"/>
      <w:pPr>
        <w:ind w:left="720" w:hanging="360"/>
      </w:pPr>
    </w:lvl>
    <w:lvl w:ilvl="1" w:tplc="1409001B">
      <w:start w:val="1"/>
      <w:numFmt w:val="lowerRoman"/>
      <w:lvlText w:val="%2."/>
      <w:lvlJc w:val="righ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3" w15:restartNumberingAfterBreak="0">
    <w:nsid w:val="70694141"/>
    <w:multiLevelType w:val="hybridMultilevel"/>
    <w:tmpl w:val="391C4272"/>
    <w:lvl w:ilvl="0" w:tplc="E43EBC82">
      <w:start w:val="1"/>
      <w:numFmt w:val="lowerLetter"/>
      <w:lvlText w:val="%1."/>
      <w:lvlJc w:val="left"/>
      <w:pPr>
        <w:ind w:left="720" w:hanging="360"/>
      </w:pPr>
      <w:rPr>
        <w:rFonts w:asciiTheme="minorHAnsi" w:eastAsiaTheme="minorHAnsi" w:hAnsiTheme="minorHAnsi" w:cstheme="minorBidi" w:hint="default"/>
        <w:b/>
        <w:bCs w:val="0"/>
      </w:rPr>
    </w:lvl>
    <w:lvl w:ilvl="1" w:tplc="1409000B">
      <w:start w:val="1"/>
      <w:numFmt w:val="bullet"/>
      <w:lvlText w:val=""/>
      <w:lvlJc w:val="left"/>
      <w:pPr>
        <w:ind w:left="1440" w:hanging="360"/>
      </w:pPr>
      <w:rPr>
        <w:rFonts w:ascii="Wingdings" w:hAnsi="Wingding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4" w15:restartNumberingAfterBreak="0">
    <w:nsid w:val="71F47BEA"/>
    <w:multiLevelType w:val="hybridMultilevel"/>
    <w:tmpl w:val="3E0A4FBA"/>
    <w:lvl w:ilvl="0" w:tplc="1C88E286">
      <w:start w:val="1"/>
      <w:numFmt w:val="lowerLetter"/>
      <w:lvlText w:val="%1."/>
      <w:lvlJc w:val="left"/>
      <w:pPr>
        <w:ind w:left="720" w:hanging="360"/>
      </w:pPr>
      <w:rPr>
        <w:rFonts w:asciiTheme="minorHAnsi" w:eastAsiaTheme="minorHAnsi" w:hAnsiTheme="minorHAnsi" w:cstheme="minorBidi"/>
        <w:b/>
        <w:bCs w:val="0"/>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721444AF"/>
    <w:multiLevelType w:val="hybridMultilevel"/>
    <w:tmpl w:val="719CE67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6" w15:restartNumberingAfterBreak="0">
    <w:nsid w:val="72D52051"/>
    <w:multiLevelType w:val="hybridMultilevel"/>
    <w:tmpl w:val="FAE60560"/>
    <w:lvl w:ilvl="0" w:tplc="E43EBC82">
      <w:start w:val="1"/>
      <w:numFmt w:val="lowerLetter"/>
      <w:lvlText w:val="%1."/>
      <w:lvlJc w:val="left"/>
      <w:pPr>
        <w:ind w:left="720" w:hanging="360"/>
      </w:pPr>
      <w:rPr>
        <w:rFonts w:asciiTheme="minorHAnsi" w:eastAsiaTheme="minorHAnsi" w:hAnsiTheme="minorHAnsi" w:cstheme="minorBidi" w:hint="default"/>
        <w:b/>
        <w:bCs w:val="0"/>
      </w:rPr>
    </w:lvl>
    <w:lvl w:ilvl="1" w:tplc="1409000B">
      <w:start w:val="1"/>
      <w:numFmt w:val="bullet"/>
      <w:lvlText w:val=""/>
      <w:lvlJc w:val="left"/>
      <w:pPr>
        <w:ind w:left="1440" w:hanging="360"/>
      </w:pPr>
      <w:rPr>
        <w:rFonts w:ascii="Wingdings" w:hAnsi="Wingding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7" w15:restartNumberingAfterBreak="0">
    <w:nsid w:val="73E31E62"/>
    <w:multiLevelType w:val="hybridMultilevel"/>
    <w:tmpl w:val="B0DA15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74855301"/>
    <w:multiLevelType w:val="hybridMultilevel"/>
    <w:tmpl w:val="B76638E8"/>
    <w:lvl w:ilvl="0" w:tplc="E43EBC82">
      <w:start w:val="1"/>
      <w:numFmt w:val="lowerLetter"/>
      <w:lvlText w:val="%1."/>
      <w:lvlJc w:val="left"/>
      <w:pPr>
        <w:tabs>
          <w:tab w:val="num" w:pos="720"/>
        </w:tabs>
        <w:ind w:left="720" w:hanging="360"/>
      </w:pPr>
      <w:rPr>
        <w:rFonts w:asciiTheme="minorHAnsi" w:eastAsiaTheme="minorHAnsi" w:hAnsiTheme="minorHAnsi" w:cstheme="minorBidi" w:hint="default"/>
        <w:b/>
        <w:bCs w:val="0"/>
      </w:rPr>
    </w:lvl>
    <w:lvl w:ilvl="1" w:tplc="5ADAB25A" w:tentative="1">
      <w:start w:val="1"/>
      <w:numFmt w:val="lowerLetter"/>
      <w:lvlText w:val="%2)"/>
      <w:lvlJc w:val="left"/>
      <w:pPr>
        <w:tabs>
          <w:tab w:val="num" w:pos="1440"/>
        </w:tabs>
        <w:ind w:left="1440" w:hanging="360"/>
      </w:pPr>
    </w:lvl>
    <w:lvl w:ilvl="2" w:tplc="D540A6EC" w:tentative="1">
      <w:start w:val="1"/>
      <w:numFmt w:val="lowerLetter"/>
      <w:lvlText w:val="%3)"/>
      <w:lvlJc w:val="left"/>
      <w:pPr>
        <w:tabs>
          <w:tab w:val="num" w:pos="2160"/>
        </w:tabs>
        <w:ind w:left="2160" w:hanging="360"/>
      </w:pPr>
    </w:lvl>
    <w:lvl w:ilvl="3" w:tplc="5EDC8EAE" w:tentative="1">
      <w:start w:val="1"/>
      <w:numFmt w:val="lowerLetter"/>
      <w:lvlText w:val="%4)"/>
      <w:lvlJc w:val="left"/>
      <w:pPr>
        <w:tabs>
          <w:tab w:val="num" w:pos="2880"/>
        </w:tabs>
        <w:ind w:left="2880" w:hanging="360"/>
      </w:pPr>
    </w:lvl>
    <w:lvl w:ilvl="4" w:tplc="310882DA" w:tentative="1">
      <w:start w:val="1"/>
      <w:numFmt w:val="lowerLetter"/>
      <w:lvlText w:val="%5)"/>
      <w:lvlJc w:val="left"/>
      <w:pPr>
        <w:tabs>
          <w:tab w:val="num" w:pos="3600"/>
        </w:tabs>
        <w:ind w:left="3600" w:hanging="360"/>
      </w:pPr>
    </w:lvl>
    <w:lvl w:ilvl="5" w:tplc="49300E56" w:tentative="1">
      <w:start w:val="1"/>
      <w:numFmt w:val="lowerLetter"/>
      <w:lvlText w:val="%6)"/>
      <w:lvlJc w:val="left"/>
      <w:pPr>
        <w:tabs>
          <w:tab w:val="num" w:pos="4320"/>
        </w:tabs>
        <w:ind w:left="4320" w:hanging="360"/>
      </w:pPr>
    </w:lvl>
    <w:lvl w:ilvl="6" w:tplc="676C2C0E" w:tentative="1">
      <w:start w:val="1"/>
      <w:numFmt w:val="lowerLetter"/>
      <w:lvlText w:val="%7)"/>
      <w:lvlJc w:val="left"/>
      <w:pPr>
        <w:tabs>
          <w:tab w:val="num" w:pos="5040"/>
        </w:tabs>
        <w:ind w:left="5040" w:hanging="360"/>
      </w:pPr>
    </w:lvl>
    <w:lvl w:ilvl="7" w:tplc="70060D6C" w:tentative="1">
      <w:start w:val="1"/>
      <w:numFmt w:val="lowerLetter"/>
      <w:lvlText w:val="%8)"/>
      <w:lvlJc w:val="left"/>
      <w:pPr>
        <w:tabs>
          <w:tab w:val="num" w:pos="5760"/>
        </w:tabs>
        <w:ind w:left="5760" w:hanging="360"/>
      </w:pPr>
    </w:lvl>
    <w:lvl w:ilvl="8" w:tplc="679064B8" w:tentative="1">
      <w:start w:val="1"/>
      <w:numFmt w:val="lowerLetter"/>
      <w:lvlText w:val="%9)"/>
      <w:lvlJc w:val="left"/>
      <w:pPr>
        <w:tabs>
          <w:tab w:val="num" w:pos="6480"/>
        </w:tabs>
        <w:ind w:left="6480" w:hanging="360"/>
      </w:pPr>
    </w:lvl>
  </w:abstractNum>
  <w:abstractNum w:abstractNumId="89" w15:restartNumberingAfterBreak="0">
    <w:nsid w:val="75516DA8"/>
    <w:multiLevelType w:val="hybridMultilevel"/>
    <w:tmpl w:val="1D50FA7E"/>
    <w:lvl w:ilvl="0" w:tplc="E43EBC82">
      <w:start w:val="1"/>
      <w:numFmt w:val="lowerLetter"/>
      <w:lvlText w:val="%1."/>
      <w:lvlJc w:val="left"/>
      <w:pPr>
        <w:tabs>
          <w:tab w:val="num" w:pos="720"/>
        </w:tabs>
        <w:ind w:left="720" w:hanging="360"/>
      </w:pPr>
      <w:rPr>
        <w:rFonts w:asciiTheme="minorHAnsi" w:eastAsiaTheme="minorHAnsi" w:hAnsiTheme="minorHAnsi" w:cstheme="minorBidi" w:hint="default"/>
        <w:b/>
        <w:bCs w:val="0"/>
      </w:rPr>
    </w:lvl>
    <w:lvl w:ilvl="1" w:tplc="8058521E" w:tentative="1">
      <w:start w:val="1"/>
      <w:numFmt w:val="lowerLetter"/>
      <w:lvlText w:val="%2)"/>
      <w:lvlJc w:val="left"/>
      <w:pPr>
        <w:tabs>
          <w:tab w:val="num" w:pos="1440"/>
        </w:tabs>
        <w:ind w:left="1440" w:hanging="360"/>
      </w:pPr>
    </w:lvl>
    <w:lvl w:ilvl="2" w:tplc="C644B444" w:tentative="1">
      <w:start w:val="1"/>
      <w:numFmt w:val="lowerLetter"/>
      <w:lvlText w:val="%3)"/>
      <w:lvlJc w:val="left"/>
      <w:pPr>
        <w:tabs>
          <w:tab w:val="num" w:pos="2160"/>
        </w:tabs>
        <w:ind w:left="2160" w:hanging="360"/>
      </w:pPr>
    </w:lvl>
    <w:lvl w:ilvl="3" w:tplc="2F623EC8" w:tentative="1">
      <w:start w:val="1"/>
      <w:numFmt w:val="lowerLetter"/>
      <w:lvlText w:val="%4)"/>
      <w:lvlJc w:val="left"/>
      <w:pPr>
        <w:tabs>
          <w:tab w:val="num" w:pos="2880"/>
        </w:tabs>
        <w:ind w:left="2880" w:hanging="360"/>
      </w:pPr>
    </w:lvl>
    <w:lvl w:ilvl="4" w:tplc="EA462724" w:tentative="1">
      <w:start w:val="1"/>
      <w:numFmt w:val="lowerLetter"/>
      <w:lvlText w:val="%5)"/>
      <w:lvlJc w:val="left"/>
      <w:pPr>
        <w:tabs>
          <w:tab w:val="num" w:pos="3600"/>
        </w:tabs>
        <w:ind w:left="3600" w:hanging="360"/>
      </w:pPr>
    </w:lvl>
    <w:lvl w:ilvl="5" w:tplc="087A9BF4" w:tentative="1">
      <w:start w:val="1"/>
      <w:numFmt w:val="lowerLetter"/>
      <w:lvlText w:val="%6)"/>
      <w:lvlJc w:val="left"/>
      <w:pPr>
        <w:tabs>
          <w:tab w:val="num" w:pos="4320"/>
        </w:tabs>
        <w:ind w:left="4320" w:hanging="360"/>
      </w:pPr>
    </w:lvl>
    <w:lvl w:ilvl="6" w:tplc="6B122B40" w:tentative="1">
      <w:start w:val="1"/>
      <w:numFmt w:val="lowerLetter"/>
      <w:lvlText w:val="%7)"/>
      <w:lvlJc w:val="left"/>
      <w:pPr>
        <w:tabs>
          <w:tab w:val="num" w:pos="5040"/>
        </w:tabs>
        <w:ind w:left="5040" w:hanging="360"/>
      </w:pPr>
    </w:lvl>
    <w:lvl w:ilvl="7" w:tplc="8376A472" w:tentative="1">
      <w:start w:val="1"/>
      <w:numFmt w:val="lowerLetter"/>
      <w:lvlText w:val="%8)"/>
      <w:lvlJc w:val="left"/>
      <w:pPr>
        <w:tabs>
          <w:tab w:val="num" w:pos="5760"/>
        </w:tabs>
        <w:ind w:left="5760" w:hanging="360"/>
      </w:pPr>
    </w:lvl>
    <w:lvl w:ilvl="8" w:tplc="3C32BB6C" w:tentative="1">
      <w:start w:val="1"/>
      <w:numFmt w:val="lowerLetter"/>
      <w:lvlText w:val="%9)"/>
      <w:lvlJc w:val="left"/>
      <w:pPr>
        <w:tabs>
          <w:tab w:val="num" w:pos="6480"/>
        </w:tabs>
        <w:ind w:left="6480" w:hanging="360"/>
      </w:pPr>
    </w:lvl>
  </w:abstractNum>
  <w:abstractNum w:abstractNumId="90" w15:restartNumberingAfterBreak="0">
    <w:nsid w:val="787F6F30"/>
    <w:multiLevelType w:val="hybridMultilevel"/>
    <w:tmpl w:val="B2B07E36"/>
    <w:lvl w:ilvl="0" w:tplc="E43EBC82">
      <w:start w:val="1"/>
      <w:numFmt w:val="lowerLetter"/>
      <w:lvlText w:val="%1."/>
      <w:lvlJc w:val="left"/>
      <w:pPr>
        <w:tabs>
          <w:tab w:val="num" w:pos="720"/>
        </w:tabs>
        <w:ind w:left="720" w:hanging="360"/>
      </w:pPr>
      <w:rPr>
        <w:rFonts w:asciiTheme="minorHAnsi" w:eastAsiaTheme="minorHAnsi" w:hAnsiTheme="minorHAnsi" w:cstheme="minorBidi" w:hint="default"/>
        <w:b/>
        <w:bCs w:val="0"/>
      </w:rPr>
    </w:lvl>
    <w:lvl w:ilvl="1" w:tplc="8058521E" w:tentative="1">
      <w:start w:val="1"/>
      <w:numFmt w:val="lowerLetter"/>
      <w:lvlText w:val="%2)"/>
      <w:lvlJc w:val="left"/>
      <w:pPr>
        <w:tabs>
          <w:tab w:val="num" w:pos="1440"/>
        </w:tabs>
        <w:ind w:left="1440" w:hanging="360"/>
      </w:pPr>
    </w:lvl>
    <w:lvl w:ilvl="2" w:tplc="C644B444" w:tentative="1">
      <w:start w:val="1"/>
      <w:numFmt w:val="lowerLetter"/>
      <w:lvlText w:val="%3)"/>
      <w:lvlJc w:val="left"/>
      <w:pPr>
        <w:tabs>
          <w:tab w:val="num" w:pos="2160"/>
        </w:tabs>
        <w:ind w:left="2160" w:hanging="360"/>
      </w:pPr>
    </w:lvl>
    <w:lvl w:ilvl="3" w:tplc="2F623EC8" w:tentative="1">
      <w:start w:val="1"/>
      <w:numFmt w:val="lowerLetter"/>
      <w:lvlText w:val="%4)"/>
      <w:lvlJc w:val="left"/>
      <w:pPr>
        <w:tabs>
          <w:tab w:val="num" w:pos="2880"/>
        </w:tabs>
        <w:ind w:left="2880" w:hanging="360"/>
      </w:pPr>
    </w:lvl>
    <w:lvl w:ilvl="4" w:tplc="EA462724" w:tentative="1">
      <w:start w:val="1"/>
      <w:numFmt w:val="lowerLetter"/>
      <w:lvlText w:val="%5)"/>
      <w:lvlJc w:val="left"/>
      <w:pPr>
        <w:tabs>
          <w:tab w:val="num" w:pos="3600"/>
        </w:tabs>
        <w:ind w:left="3600" w:hanging="360"/>
      </w:pPr>
    </w:lvl>
    <w:lvl w:ilvl="5" w:tplc="087A9BF4" w:tentative="1">
      <w:start w:val="1"/>
      <w:numFmt w:val="lowerLetter"/>
      <w:lvlText w:val="%6)"/>
      <w:lvlJc w:val="left"/>
      <w:pPr>
        <w:tabs>
          <w:tab w:val="num" w:pos="4320"/>
        </w:tabs>
        <w:ind w:left="4320" w:hanging="360"/>
      </w:pPr>
    </w:lvl>
    <w:lvl w:ilvl="6" w:tplc="6B122B40" w:tentative="1">
      <w:start w:val="1"/>
      <w:numFmt w:val="lowerLetter"/>
      <w:lvlText w:val="%7)"/>
      <w:lvlJc w:val="left"/>
      <w:pPr>
        <w:tabs>
          <w:tab w:val="num" w:pos="5040"/>
        </w:tabs>
        <w:ind w:left="5040" w:hanging="360"/>
      </w:pPr>
    </w:lvl>
    <w:lvl w:ilvl="7" w:tplc="8376A472" w:tentative="1">
      <w:start w:val="1"/>
      <w:numFmt w:val="lowerLetter"/>
      <w:lvlText w:val="%8)"/>
      <w:lvlJc w:val="left"/>
      <w:pPr>
        <w:tabs>
          <w:tab w:val="num" w:pos="5760"/>
        </w:tabs>
        <w:ind w:left="5760" w:hanging="360"/>
      </w:pPr>
    </w:lvl>
    <w:lvl w:ilvl="8" w:tplc="3C32BB6C" w:tentative="1">
      <w:start w:val="1"/>
      <w:numFmt w:val="lowerLetter"/>
      <w:lvlText w:val="%9)"/>
      <w:lvlJc w:val="left"/>
      <w:pPr>
        <w:tabs>
          <w:tab w:val="num" w:pos="6480"/>
        </w:tabs>
        <w:ind w:left="6480" w:hanging="360"/>
      </w:pPr>
    </w:lvl>
  </w:abstractNum>
  <w:abstractNum w:abstractNumId="91" w15:restartNumberingAfterBreak="0">
    <w:nsid w:val="797314EF"/>
    <w:multiLevelType w:val="hybridMultilevel"/>
    <w:tmpl w:val="9FA2AD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79AC19AD"/>
    <w:multiLevelType w:val="hybridMultilevel"/>
    <w:tmpl w:val="AED6F53E"/>
    <w:lvl w:ilvl="0" w:tplc="DBCA5154">
      <w:start w:val="1"/>
      <w:numFmt w:val="decimal"/>
      <w:pStyle w:val="Body"/>
      <w:lvlText w:val="%1."/>
      <w:lvlJc w:val="left"/>
      <w:pPr>
        <w:ind w:left="1080" w:hanging="360"/>
      </w:pPr>
      <w:rPr>
        <w:rFonts w:hint="default"/>
      </w:rPr>
    </w:lvl>
    <w:lvl w:ilvl="1" w:tplc="14090001">
      <w:start w:val="1"/>
      <w:numFmt w:val="bullet"/>
      <w:lvlText w:val=""/>
      <w:lvlJc w:val="left"/>
      <w:pPr>
        <w:ind w:left="1800" w:hanging="360"/>
      </w:pPr>
      <w:rPr>
        <w:rFonts w:ascii="Symbol" w:hAnsi="Symbol" w:cs="Symbol"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3" w15:restartNumberingAfterBreak="0">
    <w:nsid w:val="7C4362CB"/>
    <w:multiLevelType w:val="hybridMultilevel"/>
    <w:tmpl w:val="C8C22CC2"/>
    <w:lvl w:ilvl="0" w:tplc="E43EBC82">
      <w:start w:val="1"/>
      <w:numFmt w:val="lowerLetter"/>
      <w:lvlText w:val="%1."/>
      <w:lvlJc w:val="left"/>
      <w:pPr>
        <w:ind w:left="720" w:hanging="360"/>
      </w:pPr>
      <w:rPr>
        <w:rFonts w:asciiTheme="minorHAnsi" w:eastAsiaTheme="minorHAnsi" w:hAnsiTheme="minorHAnsi" w:cstheme="minorBidi" w:hint="default"/>
        <w:b/>
        <w:bCs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7EC50D5F"/>
    <w:multiLevelType w:val="hybridMultilevel"/>
    <w:tmpl w:val="32E020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15:restartNumberingAfterBreak="0">
    <w:nsid w:val="7FCA3F2B"/>
    <w:multiLevelType w:val="hybridMultilevel"/>
    <w:tmpl w:val="7658A2AC"/>
    <w:lvl w:ilvl="0" w:tplc="0F26A8A0">
      <w:start w:val="1"/>
      <w:numFmt w:val="bullet"/>
      <w:pStyle w:val="MOTKeypoints"/>
      <w:lvlText w:val=""/>
      <w:lvlJc w:val="left"/>
      <w:pPr>
        <w:ind w:left="36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33"/>
  </w:num>
  <w:num w:numId="4">
    <w:abstractNumId w:val="79"/>
  </w:num>
  <w:num w:numId="5">
    <w:abstractNumId w:val="28"/>
  </w:num>
  <w:num w:numId="6">
    <w:abstractNumId w:val="38"/>
  </w:num>
  <w:num w:numId="7">
    <w:abstractNumId w:val="7"/>
  </w:num>
  <w:num w:numId="8">
    <w:abstractNumId w:val="39"/>
  </w:num>
  <w:num w:numId="9">
    <w:abstractNumId w:val="71"/>
  </w:num>
  <w:num w:numId="10">
    <w:abstractNumId w:val="15"/>
  </w:num>
  <w:num w:numId="11">
    <w:abstractNumId w:val="54"/>
  </w:num>
  <w:num w:numId="12">
    <w:abstractNumId w:val="81"/>
  </w:num>
  <w:num w:numId="13">
    <w:abstractNumId w:val="46"/>
  </w:num>
  <w:num w:numId="14">
    <w:abstractNumId w:val="6"/>
  </w:num>
  <w:num w:numId="15">
    <w:abstractNumId w:val="78"/>
  </w:num>
  <w:num w:numId="16">
    <w:abstractNumId w:val="87"/>
  </w:num>
  <w:num w:numId="17">
    <w:abstractNumId w:val="50"/>
  </w:num>
  <w:num w:numId="18">
    <w:abstractNumId w:val="32"/>
  </w:num>
  <w:num w:numId="19">
    <w:abstractNumId w:val="65"/>
  </w:num>
  <w:num w:numId="20">
    <w:abstractNumId w:val="45"/>
  </w:num>
  <w:num w:numId="21">
    <w:abstractNumId w:val="23"/>
  </w:num>
  <w:num w:numId="22">
    <w:abstractNumId w:val="3"/>
  </w:num>
  <w:num w:numId="23">
    <w:abstractNumId w:val="84"/>
  </w:num>
  <w:num w:numId="24">
    <w:abstractNumId w:val="75"/>
  </w:num>
  <w:num w:numId="25">
    <w:abstractNumId w:val="47"/>
  </w:num>
  <w:num w:numId="26">
    <w:abstractNumId w:val="8"/>
  </w:num>
  <w:num w:numId="27">
    <w:abstractNumId w:val="60"/>
  </w:num>
  <w:num w:numId="28">
    <w:abstractNumId w:val="85"/>
  </w:num>
  <w:num w:numId="29">
    <w:abstractNumId w:val="68"/>
  </w:num>
  <w:num w:numId="30">
    <w:abstractNumId w:val="59"/>
  </w:num>
  <w:num w:numId="31">
    <w:abstractNumId w:val="37"/>
  </w:num>
  <w:num w:numId="32">
    <w:abstractNumId w:val="61"/>
  </w:num>
  <w:num w:numId="33">
    <w:abstractNumId w:val="95"/>
  </w:num>
  <w:num w:numId="34">
    <w:abstractNumId w:val="27"/>
  </w:num>
  <w:num w:numId="35">
    <w:abstractNumId w:val="92"/>
  </w:num>
  <w:num w:numId="36">
    <w:abstractNumId w:val="26"/>
  </w:num>
  <w:num w:numId="37">
    <w:abstractNumId w:val="88"/>
  </w:num>
  <w:num w:numId="38">
    <w:abstractNumId w:val="94"/>
  </w:num>
  <w:num w:numId="39">
    <w:abstractNumId w:val="91"/>
  </w:num>
  <w:num w:numId="40">
    <w:abstractNumId w:val="21"/>
  </w:num>
  <w:num w:numId="41">
    <w:abstractNumId w:val="82"/>
  </w:num>
  <w:num w:numId="42">
    <w:abstractNumId w:val="44"/>
  </w:num>
  <w:num w:numId="43">
    <w:abstractNumId w:val="0"/>
  </w:num>
  <w:num w:numId="44">
    <w:abstractNumId w:val="43"/>
  </w:num>
  <w:num w:numId="45">
    <w:abstractNumId w:val="57"/>
  </w:num>
  <w:num w:numId="46">
    <w:abstractNumId w:val="30"/>
  </w:num>
  <w:num w:numId="47">
    <w:abstractNumId w:val="66"/>
  </w:num>
  <w:num w:numId="48">
    <w:abstractNumId w:val="1"/>
  </w:num>
  <w:num w:numId="49">
    <w:abstractNumId w:val="22"/>
  </w:num>
  <w:num w:numId="5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num>
  <w:num w:numId="52">
    <w:abstractNumId w:val="51"/>
  </w:num>
  <w:num w:numId="53">
    <w:abstractNumId w:val="70"/>
  </w:num>
  <w:num w:numId="54">
    <w:abstractNumId w:val="19"/>
  </w:num>
  <w:num w:numId="55">
    <w:abstractNumId w:val="36"/>
  </w:num>
  <w:num w:numId="56">
    <w:abstractNumId w:val="62"/>
  </w:num>
  <w:num w:numId="57">
    <w:abstractNumId w:val="86"/>
  </w:num>
  <w:num w:numId="58">
    <w:abstractNumId w:val="83"/>
  </w:num>
  <w:num w:numId="59">
    <w:abstractNumId w:val="56"/>
  </w:num>
  <w:num w:numId="60">
    <w:abstractNumId w:val="41"/>
  </w:num>
  <w:num w:numId="61">
    <w:abstractNumId w:val="20"/>
  </w:num>
  <w:num w:numId="62">
    <w:abstractNumId w:val="11"/>
  </w:num>
  <w:num w:numId="63">
    <w:abstractNumId w:val="31"/>
  </w:num>
  <w:num w:numId="64">
    <w:abstractNumId w:val="29"/>
  </w:num>
  <w:num w:numId="65">
    <w:abstractNumId w:val="17"/>
  </w:num>
  <w:num w:numId="66">
    <w:abstractNumId w:val="90"/>
  </w:num>
  <w:num w:numId="67">
    <w:abstractNumId w:val="69"/>
  </w:num>
  <w:num w:numId="68">
    <w:abstractNumId w:val="77"/>
  </w:num>
  <w:num w:numId="69">
    <w:abstractNumId w:val="80"/>
  </w:num>
  <w:num w:numId="70">
    <w:abstractNumId w:val="16"/>
  </w:num>
  <w:num w:numId="71">
    <w:abstractNumId w:val="93"/>
  </w:num>
  <w:num w:numId="72">
    <w:abstractNumId w:val="76"/>
  </w:num>
  <w:num w:numId="73">
    <w:abstractNumId w:val="89"/>
  </w:num>
  <w:num w:numId="74">
    <w:abstractNumId w:val="55"/>
  </w:num>
  <w:num w:numId="75">
    <w:abstractNumId w:val="63"/>
  </w:num>
  <w:num w:numId="76">
    <w:abstractNumId w:val="42"/>
  </w:num>
  <w:num w:numId="77">
    <w:abstractNumId w:val="67"/>
  </w:num>
  <w:num w:numId="78">
    <w:abstractNumId w:val="48"/>
  </w:num>
  <w:num w:numId="79">
    <w:abstractNumId w:val="64"/>
  </w:num>
  <w:num w:numId="80">
    <w:abstractNumId w:val="53"/>
  </w:num>
  <w:num w:numId="81">
    <w:abstractNumId w:val="74"/>
  </w:num>
  <w:num w:numId="82">
    <w:abstractNumId w:val="72"/>
  </w:num>
  <w:num w:numId="83">
    <w:abstractNumId w:val="13"/>
  </w:num>
  <w:num w:numId="84">
    <w:abstractNumId w:val="18"/>
  </w:num>
  <w:num w:numId="85">
    <w:abstractNumId w:val="14"/>
  </w:num>
  <w:num w:numId="86">
    <w:abstractNumId w:val="10"/>
  </w:num>
  <w:num w:numId="87">
    <w:abstractNumId w:val="52"/>
  </w:num>
  <w:num w:numId="88">
    <w:abstractNumId w:val="58"/>
  </w:num>
  <w:num w:numId="89">
    <w:abstractNumId w:val="2"/>
  </w:num>
  <w:num w:numId="90">
    <w:abstractNumId w:val="35"/>
  </w:num>
  <w:num w:numId="91">
    <w:abstractNumId w:val="4"/>
  </w:num>
  <w:num w:numId="92">
    <w:abstractNumId w:val="73"/>
  </w:num>
  <w:num w:numId="93">
    <w:abstractNumId w:val="40"/>
  </w:num>
  <w:num w:numId="94">
    <w:abstractNumId w:val="9"/>
  </w:num>
  <w:num w:numId="95">
    <w:abstractNumId w:val="49"/>
  </w:num>
  <w:num w:numId="96">
    <w:abstractNumId w:val="3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649"/>
    <w:rsid w:val="0000004F"/>
    <w:rsid w:val="00000142"/>
    <w:rsid w:val="0000028A"/>
    <w:rsid w:val="000003D2"/>
    <w:rsid w:val="00000438"/>
    <w:rsid w:val="00000497"/>
    <w:rsid w:val="000004AD"/>
    <w:rsid w:val="000004F0"/>
    <w:rsid w:val="000005C1"/>
    <w:rsid w:val="0000067B"/>
    <w:rsid w:val="000006DF"/>
    <w:rsid w:val="000007EA"/>
    <w:rsid w:val="000008D2"/>
    <w:rsid w:val="000009F6"/>
    <w:rsid w:val="00000A3A"/>
    <w:rsid w:val="00000A72"/>
    <w:rsid w:val="00000B4C"/>
    <w:rsid w:val="00000B6E"/>
    <w:rsid w:val="00000B80"/>
    <w:rsid w:val="00000C06"/>
    <w:rsid w:val="00000C81"/>
    <w:rsid w:val="00000CBA"/>
    <w:rsid w:val="00000D23"/>
    <w:rsid w:val="00000D6B"/>
    <w:rsid w:val="00000F0F"/>
    <w:rsid w:val="00000F2B"/>
    <w:rsid w:val="00001217"/>
    <w:rsid w:val="0000127B"/>
    <w:rsid w:val="000012A9"/>
    <w:rsid w:val="0000142F"/>
    <w:rsid w:val="00001455"/>
    <w:rsid w:val="000014B1"/>
    <w:rsid w:val="00001501"/>
    <w:rsid w:val="000015B2"/>
    <w:rsid w:val="000015F1"/>
    <w:rsid w:val="00001915"/>
    <w:rsid w:val="00001994"/>
    <w:rsid w:val="00001A22"/>
    <w:rsid w:val="00001A6B"/>
    <w:rsid w:val="00001BBF"/>
    <w:rsid w:val="00001C26"/>
    <w:rsid w:val="00001C91"/>
    <w:rsid w:val="00001D94"/>
    <w:rsid w:val="00001DFD"/>
    <w:rsid w:val="00001F6D"/>
    <w:rsid w:val="00002067"/>
    <w:rsid w:val="00002104"/>
    <w:rsid w:val="0000212A"/>
    <w:rsid w:val="00002146"/>
    <w:rsid w:val="00002216"/>
    <w:rsid w:val="00002232"/>
    <w:rsid w:val="00002244"/>
    <w:rsid w:val="0000224E"/>
    <w:rsid w:val="000024B6"/>
    <w:rsid w:val="00002511"/>
    <w:rsid w:val="00002536"/>
    <w:rsid w:val="000025E2"/>
    <w:rsid w:val="00002666"/>
    <w:rsid w:val="000027DF"/>
    <w:rsid w:val="00002812"/>
    <w:rsid w:val="0000284C"/>
    <w:rsid w:val="000028E0"/>
    <w:rsid w:val="00002A39"/>
    <w:rsid w:val="00002BCB"/>
    <w:rsid w:val="00002C67"/>
    <w:rsid w:val="00002C90"/>
    <w:rsid w:val="00002C9B"/>
    <w:rsid w:val="00002CAB"/>
    <w:rsid w:val="00002D45"/>
    <w:rsid w:val="00002D5B"/>
    <w:rsid w:val="00002DFB"/>
    <w:rsid w:val="00002FA2"/>
    <w:rsid w:val="0000305D"/>
    <w:rsid w:val="00003084"/>
    <w:rsid w:val="000030E1"/>
    <w:rsid w:val="00003105"/>
    <w:rsid w:val="00003457"/>
    <w:rsid w:val="000034D2"/>
    <w:rsid w:val="0000351D"/>
    <w:rsid w:val="00003552"/>
    <w:rsid w:val="000036F5"/>
    <w:rsid w:val="0000393D"/>
    <w:rsid w:val="000039CC"/>
    <w:rsid w:val="00003A09"/>
    <w:rsid w:val="00003A7E"/>
    <w:rsid w:val="00003B51"/>
    <w:rsid w:val="00003B97"/>
    <w:rsid w:val="00003C62"/>
    <w:rsid w:val="00003EDA"/>
    <w:rsid w:val="00003FA5"/>
    <w:rsid w:val="00004022"/>
    <w:rsid w:val="0000407A"/>
    <w:rsid w:val="00004083"/>
    <w:rsid w:val="000040EE"/>
    <w:rsid w:val="000040F6"/>
    <w:rsid w:val="0000417B"/>
    <w:rsid w:val="000042B9"/>
    <w:rsid w:val="000042C9"/>
    <w:rsid w:val="0000438B"/>
    <w:rsid w:val="000043C6"/>
    <w:rsid w:val="000044DC"/>
    <w:rsid w:val="00004521"/>
    <w:rsid w:val="000045D2"/>
    <w:rsid w:val="00004613"/>
    <w:rsid w:val="0000463A"/>
    <w:rsid w:val="00004657"/>
    <w:rsid w:val="00004684"/>
    <w:rsid w:val="00004686"/>
    <w:rsid w:val="000049F8"/>
    <w:rsid w:val="00004A7D"/>
    <w:rsid w:val="00004AC1"/>
    <w:rsid w:val="00004B28"/>
    <w:rsid w:val="00004C01"/>
    <w:rsid w:val="00004C3E"/>
    <w:rsid w:val="00004C45"/>
    <w:rsid w:val="00004DE8"/>
    <w:rsid w:val="00004E3F"/>
    <w:rsid w:val="00004ED8"/>
    <w:rsid w:val="00005011"/>
    <w:rsid w:val="0000507E"/>
    <w:rsid w:val="0000518D"/>
    <w:rsid w:val="00005258"/>
    <w:rsid w:val="00005265"/>
    <w:rsid w:val="0000527E"/>
    <w:rsid w:val="00005286"/>
    <w:rsid w:val="000052F6"/>
    <w:rsid w:val="000054E9"/>
    <w:rsid w:val="000054FF"/>
    <w:rsid w:val="000055BA"/>
    <w:rsid w:val="000055D7"/>
    <w:rsid w:val="00005614"/>
    <w:rsid w:val="0000572C"/>
    <w:rsid w:val="000057CD"/>
    <w:rsid w:val="000057EE"/>
    <w:rsid w:val="00005869"/>
    <w:rsid w:val="00005A0E"/>
    <w:rsid w:val="00005AE8"/>
    <w:rsid w:val="00005BD2"/>
    <w:rsid w:val="00005D95"/>
    <w:rsid w:val="00005DA6"/>
    <w:rsid w:val="00005EFD"/>
    <w:rsid w:val="00006045"/>
    <w:rsid w:val="000061B7"/>
    <w:rsid w:val="00006293"/>
    <w:rsid w:val="00006407"/>
    <w:rsid w:val="000065B4"/>
    <w:rsid w:val="0000660F"/>
    <w:rsid w:val="00006778"/>
    <w:rsid w:val="000069B7"/>
    <w:rsid w:val="00006B61"/>
    <w:rsid w:val="00006C5D"/>
    <w:rsid w:val="00006D09"/>
    <w:rsid w:val="00006DC6"/>
    <w:rsid w:val="00006E05"/>
    <w:rsid w:val="00006E06"/>
    <w:rsid w:val="00006F15"/>
    <w:rsid w:val="00006F54"/>
    <w:rsid w:val="00006FA8"/>
    <w:rsid w:val="00007021"/>
    <w:rsid w:val="00007103"/>
    <w:rsid w:val="0000715D"/>
    <w:rsid w:val="0000717A"/>
    <w:rsid w:val="0000718E"/>
    <w:rsid w:val="00007196"/>
    <w:rsid w:val="00007354"/>
    <w:rsid w:val="000073F3"/>
    <w:rsid w:val="0000743D"/>
    <w:rsid w:val="00007482"/>
    <w:rsid w:val="00007636"/>
    <w:rsid w:val="00007639"/>
    <w:rsid w:val="00007654"/>
    <w:rsid w:val="000076DF"/>
    <w:rsid w:val="0000773F"/>
    <w:rsid w:val="000079B0"/>
    <w:rsid w:val="00007A5F"/>
    <w:rsid w:val="00007B04"/>
    <w:rsid w:val="00007B98"/>
    <w:rsid w:val="00007BBD"/>
    <w:rsid w:val="00007DDD"/>
    <w:rsid w:val="00010040"/>
    <w:rsid w:val="000100C6"/>
    <w:rsid w:val="0001020E"/>
    <w:rsid w:val="000102FA"/>
    <w:rsid w:val="0001031C"/>
    <w:rsid w:val="000103DD"/>
    <w:rsid w:val="000103E1"/>
    <w:rsid w:val="0001041E"/>
    <w:rsid w:val="00010521"/>
    <w:rsid w:val="00010580"/>
    <w:rsid w:val="0001058E"/>
    <w:rsid w:val="00010852"/>
    <w:rsid w:val="0001088B"/>
    <w:rsid w:val="000108B0"/>
    <w:rsid w:val="000108D8"/>
    <w:rsid w:val="000108ED"/>
    <w:rsid w:val="000108FC"/>
    <w:rsid w:val="00010982"/>
    <w:rsid w:val="00010BDA"/>
    <w:rsid w:val="00010CA3"/>
    <w:rsid w:val="00010DC9"/>
    <w:rsid w:val="00010EB0"/>
    <w:rsid w:val="00010FF7"/>
    <w:rsid w:val="00010FFF"/>
    <w:rsid w:val="00011065"/>
    <w:rsid w:val="00011096"/>
    <w:rsid w:val="000111E6"/>
    <w:rsid w:val="00011218"/>
    <w:rsid w:val="0001129E"/>
    <w:rsid w:val="0001139B"/>
    <w:rsid w:val="000114FB"/>
    <w:rsid w:val="00011599"/>
    <w:rsid w:val="00011769"/>
    <w:rsid w:val="00011802"/>
    <w:rsid w:val="0001186B"/>
    <w:rsid w:val="00011897"/>
    <w:rsid w:val="00011AA3"/>
    <w:rsid w:val="00011B35"/>
    <w:rsid w:val="00011B9B"/>
    <w:rsid w:val="00011D86"/>
    <w:rsid w:val="00011DBB"/>
    <w:rsid w:val="00011DDC"/>
    <w:rsid w:val="00011E52"/>
    <w:rsid w:val="00011ED3"/>
    <w:rsid w:val="000121E5"/>
    <w:rsid w:val="00012221"/>
    <w:rsid w:val="000122AE"/>
    <w:rsid w:val="000122C7"/>
    <w:rsid w:val="000122CE"/>
    <w:rsid w:val="000122F1"/>
    <w:rsid w:val="000123D3"/>
    <w:rsid w:val="0001241D"/>
    <w:rsid w:val="0001249C"/>
    <w:rsid w:val="0001254E"/>
    <w:rsid w:val="00012740"/>
    <w:rsid w:val="00012832"/>
    <w:rsid w:val="0001283C"/>
    <w:rsid w:val="00012888"/>
    <w:rsid w:val="00012B4C"/>
    <w:rsid w:val="00012DA1"/>
    <w:rsid w:val="00012E5A"/>
    <w:rsid w:val="00012F0F"/>
    <w:rsid w:val="00012FCA"/>
    <w:rsid w:val="0001332D"/>
    <w:rsid w:val="0001334E"/>
    <w:rsid w:val="0001334F"/>
    <w:rsid w:val="000133D3"/>
    <w:rsid w:val="0001342D"/>
    <w:rsid w:val="00013505"/>
    <w:rsid w:val="00013601"/>
    <w:rsid w:val="000136FF"/>
    <w:rsid w:val="00013784"/>
    <w:rsid w:val="000137F5"/>
    <w:rsid w:val="0001387A"/>
    <w:rsid w:val="000138F4"/>
    <w:rsid w:val="0001394D"/>
    <w:rsid w:val="00013ADF"/>
    <w:rsid w:val="00013AE3"/>
    <w:rsid w:val="00013B4B"/>
    <w:rsid w:val="00013BE6"/>
    <w:rsid w:val="00013C87"/>
    <w:rsid w:val="00013C9B"/>
    <w:rsid w:val="00014014"/>
    <w:rsid w:val="00014023"/>
    <w:rsid w:val="000141A5"/>
    <w:rsid w:val="000141BF"/>
    <w:rsid w:val="000142DF"/>
    <w:rsid w:val="00014387"/>
    <w:rsid w:val="0001440C"/>
    <w:rsid w:val="0001451D"/>
    <w:rsid w:val="0001486B"/>
    <w:rsid w:val="000148BE"/>
    <w:rsid w:val="000148E2"/>
    <w:rsid w:val="00014B18"/>
    <w:rsid w:val="00014B8A"/>
    <w:rsid w:val="00014B9E"/>
    <w:rsid w:val="00014C15"/>
    <w:rsid w:val="00014C6E"/>
    <w:rsid w:val="00014DC8"/>
    <w:rsid w:val="00014DFF"/>
    <w:rsid w:val="00014E3A"/>
    <w:rsid w:val="00014E92"/>
    <w:rsid w:val="00014F3D"/>
    <w:rsid w:val="00014F94"/>
    <w:rsid w:val="00015083"/>
    <w:rsid w:val="00015223"/>
    <w:rsid w:val="000152FA"/>
    <w:rsid w:val="00015479"/>
    <w:rsid w:val="000154A7"/>
    <w:rsid w:val="000157CB"/>
    <w:rsid w:val="00015949"/>
    <w:rsid w:val="00015A46"/>
    <w:rsid w:val="00015A81"/>
    <w:rsid w:val="00015A99"/>
    <w:rsid w:val="00015AA3"/>
    <w:rsid w:val="00015AE5"/>
    <w:rsid w:val="00015B82"/>
    <w:rsid w:val="00015BF1"/>
    <w:rsid w:val="00015D2D"/>
    <w:rsid w:val="00015D32"/>
    <w:rsid w:val="00015DDB"/>
    <w:rsid w:val="00015E35"/>
    <w:rsid w:val="00015F96"/>
    <w:rsid w:val="00015FA9"/>
    <w:rsid w:val="000162FA"/>
    <w:rsid w:val="000163ED"/>
    <w:rsid w:val="00016454"/>
    <w:rsid w:val="00016455"/>
    <w:rsid w:val="000164DD"/>
    <w:rsid w:val="00016728"/>
    <w:rsid w:val="00016796"/>
    <w:rsid w:val="000167F0"/>
    <w:rsid w:val="00016B1D"/>
    <w:rsid w:val="00016BD2"/>
    <w:rsid w:val="00016C94"/>
    <w:rsid w:val="00016CE7"/>
    <w:rsid w:val="00016DBD"/>
    <w:rsid w:val="00016EE4"/>
    <w:rsid w:val="0001707B"/>
    <w:rsid w:val="00017149"/>
    <w:rsid w:val="00017165"/>
    <w:rsid w:val="000171C5"/>
    <w:rsid w:val="000174CF"/>
    <w:rsid w:val="0001752D"/>
    <w:rsid w:val="00017533"/>
    <w:rsid w:val="0001771A"/>
    <w:rsid w:val="00017B68"/>
    <w:rsid w:val="00017C43"/>
    <w:rsid w:val="00017C8E"/>
    <w:rsid w:val="00017C92"/>
    <w:rsid w:val="00017CCE"/>
    <w:rsid w:val="00017DA1"/>
    <w:rsid w:val="00017DB2"/>
    <w:rsid w:val="00017DF6"/>
    <w:rsid w:val="00017F0C"/>
    <w:rsid w:val="00020031"/>
    <w:rsid w:val="000204A8"/>
    <w:rsid w:val="000204AD"/>
    <w:rsid w:val="00020513"/>
    <w:rsid w:val="000207B8"/>
    <w:rsid w:val="0002082A"/>
    <w:rsid w:val="00020858"/>
    <w:rsid w:val="000208D2"/>
    <w:rsid w:val="0002091A"/>
    <w:rsid w:val="00020A52"/>
    <w:rsid w:val="00020A5F"/>
    <w:rsid w:val="00020B26"/>
    <w:rsid w:val="00020BA4"/>
    <w:rsid w:val="00020D0C"/>
    <w:rsid w:val="00020D8E"/>
    <w:rsid w:val="00020E24"/>
    <w:rsid w:val="00020F03"/>
    <w:rsid w:val="00020F44"/>
    <w:rsid w:val="00020F7A"/>
    <w:rsid w:val="000211F3"/>
    <w:rsid w:val="00021228"/>
    <w:rsid w:val="00021273"/>
    <w:rsid w:val="00021332"/>
    <w:rsid w:val="000213B5"/>
    <w:rsid w:val="000213B8"/>
    <w:rsid w:val="00021404"/>
    <w:rsid w:val="00021541"/>
    <w:rsid w:val="000215C7"/>
    <w:rsid w:val="00021625"/>
    <w:rsid w:val="000216D6"/>
    <w:rsid w:val="0002172C"/>
    <w:rsid w:val="00021821"/>
    <w:rsid w:val="000219D6"/>
    <w:rsid w:val="00021A53"/>
    <w:rsid w:val="00021A86"/>
    <w:rsid w:val="00021D8E"/>
    <w:rsid w:val="00021EB4"/>
    <w:rsid w:val="00021F93"/>
    <w:rsid w:val="00022026"/>
    <w:rsid w:val="00022116"/>
    <w:rsid w:val="0002211F"/>
    <w:rsid w:val="00022167"/>
    <w:rsid w:val="000222B8"/>
    <w:rsid w:val="000223A9"/>
    <w:rsid w:val="00022458"/>
    <w:rsid w:val="00022480"/>
    <w:rsid w:val="0002248C"/>
    <w:rsid w:val="00022541"/>
    <w:rsid w:val="00022586"/>
    <w:rsid w:val="00022786"/>
    <w:rsid w:val="000227A5"/>
    <w:rsid w:val="00022887"/>
    <w:rsid w:val="000229FD"/>
    <w:rsid w:val="00022A67"/>
    <w:rsid w:val="00022A78"/>
    <w:rsid w:val="00022AAE"/>
    <w:rsid w:val="00022B58"/>
    <w:rsid w:val="00022C80"/>
    <w:rsid w:val="00022DEC"/>
    <w:rsid w:val="00022EC3"/>
    <w:rsid w:val="00022EFC"/>
    <w:rsid w:val="00022F5D"/>
    <w:rsid w:val="00023080"/>
    <w:rsid w:val="000230B5"/>
    <w:rsid w:val="00023133"/>
    <w:rsid w:val="000232DF"/>
    <w:rsid w:val="00023413"/>
    <w:rsid w:val="0002341F"/>
    <w:rsid w:val="0002342B"/>
    <w:rsid w:val="00023473"/>
    <w:rsid w:val="000235A0"/>
    <w:rsid w:val="000235A8"/>
    <w:rsid w:val="000236C3"/>
    <w:rsid w:val="000236FB"/>
    <w:rsid w:val="00023813"/>
    <w:rsid w:val="0002385C"/>
    <w:rsid w:val="00023B6C"/>
    <w:rsid w:val="00023B7E"/>
    <w:rsid w:val="00023B80"/>
    <w:rsid w:val="00023BB6"/>
    <w:rsid w:val="00023DD2"/>
    <w:rsid w:val="00023E81"/>
    <w:rsid w:val="00023E90"/>
    <w:rsid w:val="00023F24"/>
    <w:rsid w:val="000240AD"/>
    <w:rsid w:val="000240B8"/>
    <w:rsid w:val="00024132"/>
    <w:rsid w:val="000242A4"/>
    <w:rsid w:val="00024624"/>
    <w:rsid w:val="000248CF"/>
    <w:rsid w:val="00024946"/>
    <w:rsid w:val="00024963"/>
    <w:rsid w:val="00024A30"/>
    <w:rsid w:val="00024A7D"/>
    <w:rsid w:val="00024BE8"/>
    <w:rsid w:val="00024C44"/>
    <w:rsid w:val="00024CE9"/>
    <w:rsid w:val="00024D23"/>
    <w:rsid w:val="00024E2C"/>
    <w:rsid w:val="00024E42"/>
    <w:rsid w:val="00024EC8"/>
    <w:rsid w:val="00024FEB"/>
    <w:rsid w:val="00025003"/>
    <w:rsid w:val="00025004"/>
    <w:rsid w:val="0002518C"/>
    <w:rsid w:val="0002520B"/>
    <w:rsid w:val="00025261"/>
    <w:rsid w:val="000254C6"/>
    <w:rsid w:val="000254F6"/>
    <w:rsid w:val="000255A6"/>
    <w:rsid w:val="00025679"/>
    <w:rsid w:val="00025684"/>
    <w:rsid w:val="000256F9"/>
    <w:rsid w:val="000257B8"/>
    <w:rsid w:val="0002594F"/>
    <w:rsid w:val="00025B6E"/>
    <w:rsid w:val="00025C08"/>
    <w:rsid w:val="00025D00"/>
    <w:rsid w:val="00025D10"/>
    <w:rsid w:val="00025D78"/>
    <w:rsid w:val="00025D79"/>
    <w:rsid w:val="00025ED2"/>
    <w:rsid w:val="00025F24"/>
    <w:rsid w:val="00025F2F"/>
    <w:rsid w:val="00025F59"/>
    <w:rsid w:val="00025F69"/>
    <w:rsid w:val="00026050"/>
    <w:rsid w:val="00026159"/>
    <w:rsid w:val="00026192"/>
    <w:rsid w:val="000261A5"/>
    <w:rsid w:val="000263FC"/>
    <w:rsid w:val="0002641D"/>
    <w:rsid w:val="00026484"/>
    <w:rsid w:val="000265CB"/>
    <w:rsid w:val="00026658"/>
    <w:rsid w:val="00026963"/>
    <w:rsid w:val="0002696A"/>
    <w:rsid w:val="00026998"/>
    <w:rsid w:val="00026A9F"/>
    <w:rsid w:val="00026ABA"/>
    <w:rsid w:val="00026B93"/>
    <w:rsid w:val="00026B9C"/>
    <w:rsid w:val="00026BAB"/>
    <w:rsid w:val="00026C67"/>
    <w:rsid w:val="00026E0D"/>
    <w:rsid w:val="00026E6B"/>
    <w:rsid w:val="00026EE5"/>
    <w:rsid w:val="00026EF4"/>
    <w:rsid w:val="00026FD0"/>
    <w:rsid w:val="00027001"/>
    <w:rsid w:val="0002704A"/>
    <w:rsid w:val="0002708D"/>
    <w:rsid w:val="000270D1"/>
    <w:rsid w:val="000271C0"/>
    <w:rsid w:val="000273D5"/>
    <w:rsid w:val="0002747B"/>
    <w:rsid w:val="0002755A"/>
    <w:rsid w:val="0002757C"/>
    <w:rsid w:val="00027666"/>
    <w:rsid w:val="0002785F"/>
    <w:rsid w:val="00027886"/>
    <w:rsid w:val="000278F1"/>
    <w:rsid w:val="000279FF"/>
    <w:rsid w:val="00027B4C"/>
    <w:rsid w:val="00027BD4"/>
    <w:rsid w:val="00027C23"/>
    <w:rsid w:val="00027C61"/>
    <w:rsid w:val="00027CAF"/>
    <w:rsid w:val="00027CBA"/>
    <w:rsid w:val="00027CDD"/>
    <w:rsid w:val="00027D0C"/>
    <w:rsid w:val="00027D61"/>
    <w:rsid w:val="00027E12"/>
    <w:rsid w:val="00027E59"/>
    <w:rsid w:val="0002F3BD"/>
    <w:rsid w:val="000300F4"/>
    <w:rsid w:val="00030110"/>
    <w:rsid w:val="0003017C"/>
    <w:rsid w:val="00030391"/>
    <w:rsid w:val="000303EE"/>
    <w:rsid w:val="000306DB"/>
    <w:rsid w:val="000308DD"/>
    <w:rsid w:val="00030928"/>
    <w:rsid w:val="0003099D"/>
    <w:rsid w:val="00030AB4"/>
    <w:rsid w:val="00030C2F"/>
    <w:rsid w:val="00030CC1"/>
    <w:rsid w:val="00030CDD"/>
    <w:rsid w:val="00030CF4"/>
    <w:rsid w:val="00030D77"/>
    <w:rsid w:val="00030F1F"/>
    <w:rsid w:val="00030F52"/>
    <w:rsid w:val="00030F75"/>
    <w:rsid w:val="00031288"/>
    <w:rsid w:val="000312EF"/>
    <w:rsid w:val="000313C2"/>
    <w:rsid w:val="00031484"/>
    <w:rsid w:val="000315E9"/>
    <w:rsid w:val="0003160C"/>
    <w:rsid w:val="000316B9"/>
    <w:rsid w:val="00031750"/>
    <w:rsid w:val="00031774"/>
    <w:rsid w:val="00031806"/>
    <w:rsid w:val="00031873"/>
    <w:rsid w:val="00031931"/>
    <w:rsid w:val="00031A80"/>
    <w:rsid w:val="00031C31"/>
    <w:rsid w:val="00031C3F"/>
    <w:rsid w:val="00031C62"/>
    <w:rsid w:val="00031D76"/>
    <w:rsid w:val="00031EA1"/>
    <w:rsid w:val="00031F80"/>
    <w:rsid w:val="000321B8"/>
    <w:rsid w:val="0003229F"/>
    <w:rsid w:val="000326D7"/>
    <w:rsid w:val="00032769"/>
    <w:rsid w:val="00032783"/>
    <w:rsid w:val="00032810"/>
    <w:rsid w:val="0003298E"/>
    <w:rsid w:val="00032A77"/>
    <w:rsid w:val="00032AEC"/>
    <w:rsid w:val="00032AF7"/>
    <w:rsid w:val="00032B44"/>
    <w:rsid w:val="00032B8F"/>
    <w:rsid w:val="00032C1B"/>
    <w:rsid w:val="00032D95"/>
    <w:rsid w:val="00032E79"/>
    <w:rsid w:val="00033096"/>
    <w:rsid w:val="0003316A"/>
    <w:rsid w:val="0003319A"/>
    <w:rsid w:val="0003324C"/>
    <w:rsid w:val="00033425"/>
    <w:rsid w:val="00033774"/>
    <w:rsid w:val="000337B2"/>
    <w:rsid w:val="00033817"/>
    <w:rsid w:val="00033B1B"/>
    <w:rsid w:val="00033B9F"/>
    <w:rsid w:val="00033CF2"/>
    <w:rsid w:val="000340CA"/>
    <w:rsid w:val="000340D0"/>
    <w:rsid w:val="000340D7"/>
    <w:rsid w:val="000340ED"/>
    <w:rsid w:val="000341A9"/>
    <w:rsid w:val="000341CD"/>
    <w:rsid w:val="0003436A"/>
    <w:rsid w:val="0003443D"/>
    <w:rsid w:val="00034462"/>
    <w:rsid w:val="000346E2"/>
    <w:rsid w:val="00034874"/>
    <w:rsid w:val="000348E4"/>
    <w:rsid w:val="0003497A"/>
    <w:rsid w:val="00034A60"/>
    <w:rsid w:val="00034B49"/>
    <w:rsid w:val="00034CA0"/>
    <w:rsid w:val="00034CA7"/>
    <w:rsid w:val="00034CB4"/>
    <w:rsid w:val="00034D14"/>
    <w:rsid w:val="00034D40"/>
    <w:rsid w:val="00034E38"/>
    <w:rsid w:val="00034F6A"/>
    <w:rsid w:val="0003508E"/>
    <w:rsid w:val="00035130"/>
    <w:rsid w:val="00035198"/>
    <w:rsid w:val="0003527D"/>
    <w:rsid w:val="000355F5"/>
    <w:rsid w:val="0003571B"/>
    <w:rsid w:val="000358CE"/>
    <w:rsid w:val="000358EF"/>
    <w:rsid w:val="00035901"/>
    <w:rsid w:val="00035954"/>
    <w:rsid w:val="000359FE"/>
    <w:rsid w:val="00035AE3"/>
    <w:rsid w:val="00035B59"/>
    <w:rsid w:val="00035C53"/>
    <w:rsid w:val="00035C5A"/>
    <w:rsid w:val="00035C64"/>
    <w:rsid w:val="00035C87"/>
    <w:rsid w:val="00035C9C"/>
    <w:rsid w:val="00035DA0"/>
    <w:rsid w:val="00035EF1"/>
    <w:rsid w:val="00035F27"/>
    <w:rsid w:val="00035F81"/>
    <w:rsid w:val="00035F82"/>
    <w:rsid w:val="00035FEE"/>
    <w:rsid w:val="0003628B"/>
    <w:rsid w:val="000363D4"/>
    <w:rsid w:val="000363FB"/>
    <w:rsid w:val="00036407"/>
    <w:rsid w:val="000366EB"/>
    <w:rsid w:val="000367C8"/>
    <w:rsid w:val="000367E3"/>
    <w:rsid w:val="000367F9"/>
    <w:rsid w:val="0003682A"/>
    <w:rsid w:val="000368AA"/>
    <w:rsid w:val="00036953"/>
    <w:rsid w:val="00036A29"/>
    <w:rsid w:val="00036C40"/>
    <w:rsid w:val="00036C99"/>
    <w:rsid w:val="00036D39"/>
    <w:rsid w:val="00036E86"/>
    <w:rsid w:val="00037001"/>
    <w:rsid w:val="00037190"/>
    <w:rsid w:val="00037236"/>
    <w:rsid w:val="0003746A"/>
    <w:rsid w:val="00037493"/>
    <w:rsid w:val="000376A7"/>
    <w:rsid w:val="000376AD"/>
    <w:rsid w:val="000377B4"/>
    <w:rsid w:val="00037828"/>
    <w:rsid w:val="00037862"/>
    <w:rsid w:val="0003786D"/>
    <w:rsid w:val="0003796E"/>
    <w:rsid w:val="000379A1"/>
    <w:rsid w:val="00037A68"/>
    <w:rsid w:val="00037B07"/>
    <w:rsid w:val="00037B41"/>
    <w:rsid w:val="00037CEE"/>
    <w:rsid w:val="00037E48"/>
    <w:rsid w:val="00037E5C"/>
    <w:rsid w:val="00037F7E"/>
    <w:rsid w:val="000401DE"/>
    <w:rsid w:val="000401FB"/>
    <w:rsid w:val="0004029C"/>
    <w:rsid w:val="000402CE"/>
    <w:rsid w:val="0004038B"/>
    <w:rsid w:val="00040496"/>
    <w:rsid w:val="0004056F"/>
    <w:rsid w:val="000405A6"/>
    <w:rsid w:val="000405E9"/>
    <w:rsid w:val="0004062C"/>
    <w:rsid w:val="000406EE"/>
    <w:rsid w:val="00040733"/>
    <w:rsid w:val="00040807"/>
    <w:rsid w:val="0004088D"/>
    <w:rsid w:val="0004093C"/>
    <w:rsid w:val="000409FC"/>
    <w:rsid w:val="00040CF5"/>
    <w:rsid w:val="00040D78"/>
    <w:rsid w:val="00040F1A"/>
    <w:rsid w:val="00040FCD"/>
    <w:rsid w:val="0004104C"/>
    <w:rsid w:val="000411CD"/>
    <w:rsid w:val="000411EB"/>
    <w:rsid w:val="00041380"/>
    <w:rsid w:val="000413D5"/>
    <w:rsid w:val="00041409"/>
    <w:rsid w:val="000414C7"/>
    <w:rsid w:val="0004158F"/>
    <w:rsid w:val="000415A1"/>
    <w:rsid w:val="00041837"/>
    <w:rsid w:val="0004186B"/>
    <w:rsid w:val="00041A45"/>
    <w:rsid w:val="00041ADD"/>
    <w:rsid w:val="00041B7B"/>
    <w:rsid w:val="00041CB8"/>
    <w:rsid w:val="00041CC1"/>
    <w:rsid w:val="00041E59"/>
    <w:rsid w:val="00041FB9"/>
    <w:rsid w:val="000420F5"/>
    <w:rsid w:val="000422AE"/>
    <w:rsid w:val="000423A8"/>
    <w:rsid w:val="000423F2"/>
    <w:rsid w:val="000424B2"/>
    <w:rsid w:val="000427C1"/>
    <w:rsid w:val="00042856"/>
    <w:rsid w:val="0004285B"/>
    <w:rsid w:val="000428B7"/>
    <w:rsid w:val="00042A7A"/>
    <w:rsid w:val="00042B3D"/>
    <w:rsid w:val="00042B46"/>
    <w:rsid w:val="00042B5C"/>
    <w:rsid w:val="00042B5F"/>
    <w:rsid w:val="00042B7A"/>
    <w:rsid w:val="00042BED"/>
    <w:rsid w:val="00042C3A"/>
    <w:rsid w:val="00042DCE"/>
    <w:rsid w:val="00042E27"/>
    <w:rsid w:val="00042E74"/>
    <w:rsid w:val="00043034"/>
    <w:rsid w:val="0004305B"/>
    <w:rsid w:val="0004314E"/>
    <w:rsid w:val="00043196"/>
    <w:rsid w:val="0004319B"/>
    <w:rsid w:val="0004327D"/>
    <w:rsid w:val="00043394"/>
    <w:rsid w:val="000433AA"/>
    <w:rsid w:val="00043489"/>
    <w:rsid w:val="000434F9"/>
    <w:rsid w:val="000436A2"/>
    <w:rsid w:val="00043996"/>
    <w:rsid w:val="00043A36"/>
    <w:rsid w:val="00043A4A"/>
    <w:rsid w:val="00043A4B"/>
    <w:rsid w:val="00043AC4"/>
    <w:rsid w:val="00043BA1"/>
    <w:rsid w:val="00043C2C"/>
    <w:rsid w:val="00043CC5"/>
    <w:rsid w:val="00043D60"/>
    <w:rsid w:val="00043FC8"/>
    <w:rsid w:val="0004400E"/>
    <w:rsid w:val="0004415F"/>
    <w:rsid w:val="0004427F"/>
    <w:rsid w:val="000442A0"/>
    <w:rsid w:val="000442F3"/>
    <w:rsid w:val="000443EE"/>
    <w:rsid w:val="00044499"/>
    <w:rsid w:val="000444A7"/>
    <w:rsid w:val="0004456C"/>
    <w:rsid w:val="0004485D"/>
    <w:rsid w:val="0004496A"/>
    <w:rsid w:val="00044A69"/>
    <w:rsid w:val="00044B5B"/>
    <w:rsid w:val="00044BC8"/>
    <w:rsid w:val="00044C1A"/>
    <w:rsid w:val="00044C8F"/>
    <w:rsid w:val="00044CBC"/>
    <w:rsid w:val="00044E37"/>
    <w:rsid w:val="00044F42"/>
    <w:rsid w:val="00044F7A"/>
    <w:rsid w:val="000450B5"/>
    <w:rsid w:val="000450D1"/>
    <w:rsid w:val="0004510D"/>
    <w:rsid w:val="00045217"/>
    <w:rsid w:val="000453CA"/>
    <w:rsid w:val="0004541D"/>
    <w:rsid w:val="0004546D"/>
    <w:rsid w:val="000454AD"/>
    <w:rsid w:val="000454D6"/>
    <w:rsid w:val="00045547"/>
    <w:rsid w:val="0004578D"/>
    <w:rsid w:val="000457D0"/>
    <w:rsid w:val="000457F3"/>
    <w:rsid w:val="0004588E"/>
    <w:rsid w:val="00045953"/>
    <w:rsid w:val="00045980"/>
    <w:rsid w:val="00045AF9"/>
    <w:rsid w:val="00045BEE"/>
    <w:rsid w:val="00045CF1"/>
    <w:rsid w:val="00045D53"/>
    <w:rsid w:val="00045DD7"/>
    <w:rsid w:val="00045ED8"/>
    <w:rsid w:val="00045EE8"/>
    <w:rsid w:val="00045FA1"/>
    <w:rsid w:val="000462B7"/>
    <w:rsid w:val="00046480"/>
    <w:rsid w:val="00046575"/>
    <w:rsid w:val="00046577"/>
    <w:rsid w:val="000467EF"/>
    <w:rsid w:val="00046838"/>
    <w:rsid w:val="00046850"/>
    <w:rsid w:val="000468DF"/>
    <w:rsid w:val="00046950"/>
    <w:rsid w:val="000469F4"/>
    <w:rsid w:val="00046A03"/>
    <w:rsid w:val="00046B8A"/>
    <w:rsid w:val="00046BA5"/>
    <w:rsid w:val="00046C04"/>
    <w:rsid w:val="00046C45"/>
    <w:rsid w:val="00046CF7"/>
    <w:rsid w:val="00046DB0"/>
    <w:rsid w:val="00046DDD"/>
    <w:rsid w:val="00046E66"/>
    <w:rsid w:val="00047223"/>
    <w:rsid w:val="000473BA"/>
    <w:rsid w:val="00047509"/>
    <w:rsid w:val="0004776C"/>
    <w:rsid w:val="00047987"/>
    <w:rsid w:val="00047BF8"/>
    <w:rsid w:val="00047C24"/>
    <w:rsid w:val="00047C66"/>
    <w:rsid w:val="00047DC7"/>
    <w:rsid w:val="00047DCC"/>
    <w:rsid w:val="00047E9A"/>
    <w:rsid w:val="00047FD1"/>
    <w:rsid w:val="0005018A"/>
    <w:rsid w:val="000501AD"/>
    <w:rsid w:val="000501BF"/>
    <w:rsid w:val="0005022B"/>
    <w:rsid w:val="00050319"/>
    <w:rsid w:val="000503B3"/>
    <w:rsid w:val="0005048D"/>
    <w:rsid w:val="0005056F"/>
    <w:rsid w:val="00050654"/>
    <w:rsid w:val="00050655"/>
    <w:rsid w:val="000506C9"/>
    <w:rsid w:val="000506DC"/>
    <w:rsid w:val="000508D0"/>
    <w:rsid w:val="000509C4"/>
    <w:rsid w:val="00050AE3"/>
    <w:rsid w:val="00050C9D"/>
    <w:rsid w:val="00050DF5"/>
    <w:rsid w:val="00050E01"/>
    <w:rsid w:val="00050F57"/>
    <w:rsid w:val="00050F63"/>
    <w:rsid w:val="00050FC3"/>
    <w:rsid w:val="000510BD"/>
    <w:rsid w:val="00051226"/>
    <w:rsid w:val="00051434"/>
    <w:rsid w:val="00051465"/>
    <w:rsid w:val="000514B7"/>
    <w:rsid w:val="0005157C"/>
    <w:rsid w:val="000515C9"/>
    <w:rsid w:val="000515E2"/>
    <w:rsid w:val="000516EC"/>
    <w:rsid w:val="00051706"/>
    <w:rsid w:val="00051733"/>
    <w:rsid w:val="00051906"/>
    <w:rsid w:val="00051B6E"/>
    <w:rsid w:val="00051D3B"/>
    <w:rsid w:val="00051D56"/>
    <w:rsid w:val="00051D6E"/>
    <w:rsid w:val="00051F37"/>
    <w:rsid w:val="00052098"/>
    <w:rsid w:val="000520E6"/>
    <w:rsid w:val="000520E8"/>
    <w:rsid w:val="0005223B"/>
    <w:rsid w:val="00052252"/>
    <w:rsid w:val="00052281"/>
    <w:rsid w:val="000522FF"/>
    <w:rsid w:val="0005230B"/>
    <w:rsid w:val="000524B2"/>
    <w:rsid w:val="0005263E"/>
    <w:rsid w:val="000526C0"/>
    <w:rsid w:val="000526FA"/>
    <w:rsid w:val="00052781"/>
    <w:rsid w:val="0005285B"/>
    <w:rsid w:val="000528A5"/>
    <w:rsid w:val="000529E3"/>
    <w:rsid w:val="000529E7"/>
    <w:rsid w:val="00052BE0"/>
    <w:rsid w:val="00052DBF"/>
    <w:rsid w:val="00052DE3"/>
    <w:rsid w:val="00052F3C"/>
    <w:rsid w:val="00052F8E"/>
    <w:rsid w:val="00052FBA"/>
    <w:rsid w:val="000531CB"/>
    <w:rsid w:val="000531D0"/>
    <w:rsid w:val="00053229"/>
    <w:rsid w:val="000532E2"/>
    <w:rsid w:val="00053369"/>
    <w:rsid w:val="0005341A"/>
    <w:rsid w:val="000534D8"/>
    <w:rsid w:val="000534F4"/>
    <w:rsid w:val="000535AC"/>
    <w:rsid w:val="00053647"/>
    <w:rsid w:val="0005382D"/>
    <w:rsid w:val="0005399D"/>
    <w:rsid w:val="00053A68"/>
    <w:rsid w:val="00053AA5"/>
    <w:rsid w:val="00053AB1"/>
    <w:rsid w:val="00053B84"/>
    <w:rsid w:val="00053B94"/>
    <w:rsid w:val="00053BE1"/>
    <w:rsid w:val="00053C25"/>
    <w:rsid w:val="00053C93"/>
    <w:rsid w:val="00053CF8"/>
    <w:rsid w:val="00053D66"/>
    <w:rsid w:val="00053E09"/>
    <w:rsid w:val="00053EDD"/>
    <w:rsid w:val="00053F26"/>
    <w:rsid w:val="00053F29"/>
    <w:rsid w:val="00053FAC"/>
    <w:rsid w:val="00054082"/>
    <w:rsid w:val="000540A6"/>
    <w:rsid w:val="00054289"/>
    <w:rsid w:val="000543BF"/>
    <w:rsid w:val="0005442F"/>
    <w:rsid w:val="0005458B"/>
    <w:rsid w:val="00054748"/>
    <w:rsid w:val="00054A45"/>
    <w:rsid w:val="00054A62"/>
    <w:rsid w:val="00054B67"/>
    <w:rsid w:val="00054B82"/>
    <w:rsid w:val="00054E89"/>
    <w:rsid w:val="00054E8E"/>
    <w:rsid w:val="00054EB9"/>
    <w:rsid w:val="00054F69"/>
    <w:rsid w:val="0005510A"/>
    <w:rsid w:val="00055182"/>
    <w:rsid w:val="00055271"/>
    <w:rsid w:val="00055331"/>
    <w:rsid w:val="000553FF"/>
    <w:rsid w:val="00055433"/>
    <w:rsid w:val="00055692"/>
    <w:rsid w:val="0005580E"/>
    <w:rsid w:val="00055823"/>
    <w:rsid w:val="000559DC"/>
    <w:rsid w:val="000559E4"/>
    <w:rsid w:val="00055A16"/>
    <w:rsid w:val="00055A33"/>
    <w:rsid w:val="00055B52"/>
    <w:rsid w:val="00055BB4"/>
    <w:rsid w:val="00055C12"/>
    <w:rsid w:val="00055C9F"/>
    <w:rsid w:val="00055EE0"/>
    <w:rsid w:val="00055F03"/>
    <w:rsid w:val="00055FD3"/>
    <w:rsid w:val="00056003"/>
    <w:rsid w:val="00056017"/>
    <w:rsid w:val="0005614E"/>
    <w:rsid w:val="000562D1"/>
    <w:rsid w:val="000563CA"/>
    <w:rsid w:val="000565E2"/>
    <w:rsid w:val="00056702"/>
    <w:rsid w:val="000568B1"/>
    <w:rsid w:val="0005699B"/>
    <w:rsid w:val="00056A7A"/>
    <w:rsid w:val="00056A8C"/>
    <w:rsid w:val="00056BF4"/>
    <w:rsid w:val="00056D12"/>
    <w:rsid w:val="00056D80"/>
    <w:rsid w:val="00057003"/>
    <w:rsid w:val="00057035"/>
    <w:rsid w:val="000570AF"/>
    <w:rsid w:val="00057199"/>
    <w:rsid w:val="00057206"/>
    <w:rsid w:val="00057254"/>
    <w:rsid w:val="00057283"/>
    <w:rsid w:val="00057372"/>
    <w:rsid w:val="000574D9"/>
    <w:rsid w:val="00057588"/>
    <w:rsid w:val="00057694"/>
    <w:rsid w:val="000577D7"/>
    <w:rsid w:val="0005785E"/>
    <w:rsid w:val="0005791F"/>
    <w:rsid w:val="0005798B"/>
    <w:rsid w:val="000579F8"/>
    <w:rsid w:val="00057A2E"/>
    <w:rsid w:val="00057A71"/>
    <w:rsid w:val="00057A83"/>
    <w:rsid w:val="00057B3C"/>
    <w:rsid w:val="00057CD2"/>
    <w:rsid w:val="000600F9"/>
    <w:rsid w:val="00060167"/>
    <w:rsid w:val="000601CC"/>
    <w:rsid w:val="000601EB"/>
    <w:rsid w:val="000602BD"/>
    <w:rsid w:val="00060324"/>
    <w:rsid w:val="0006036A"/>
    <w:rsid w:val="00060402"/>
    <w:rsid w:val="0006050B"/>
    <w:rsid w:val="00060726"/>
    <w:rsid w:val="00060769"/>
    <w:rsid w:val="00060882"/>
    <w:rsid w:val="00060A50"/>
    <w:rsid w:val="00060ACF"/>
    <w:rsid w:val="00060B12"/>
    <w:rsid w:val="00060BA7"/>
    <w:rsid w:val="00060D18"/>
    <w:rsid w:val="00060DC9"/>
    <w:rsid w:val="00060DCB"/>
    <w:rsid w:val="00060E7E"/>
    <w:rsid w:val="00060F8E"/>
    <w:rsid w:val="00060FDF"/>
    <w:rsid w:val="00061072"/>
    <w:rsid w:val="000610EA"/>
    <w:rsid w:val="000613D9"/>
    <w:rsid w:val="000614AB"/>
    <w:rsid w:val="000614EE"/>
    <w:rsid w:val="000614FA"/>
    <w:rsid w:val="00061543"/>
    <w:rsid w:val="000615CD"/>
    <w:rsid w:val="00061632"/>
    <w:rsid w:val="00061681"/>
    <w:rsid w:val="0006173C"/>
    <w:rsid w:val="00061A06"/>
    <w:rsid w:val="00061A90"/>
    <w:rsid w:val="00061AEB"/>
    <w:rsid w:val="00061B79"/>
    <w:rsid w:val="00061C20"/>
    <w:rsid w:val="00061C8D"/>
    <w:rsid w:val="00061DAD"/>
    <w:rsid w:val="00061EF8"/>
    <w:rsid w:val="00061F30"/>
    <w:rsid w:val="000620AD"/>
    <w:rsid w:val="000620B6"/>
    <w:rsid w:val="000620BC"/>
    <w:rsid w:val="00062219"/>
    <w:rsid w:val="0006222B"/>
    <w:rsid w:val="00062291"/>
    <w:rsid w:val="00062370"/>
    <w:rsid w:val="00062420"/>
    <w:rsid w:val="00062557"/>
    <w:rsid w:val="000625B4"/>
    <w:rsid w:val="000625DD"/>
    <w:rsid w:val="000625EC"/>
    <w:rsid w:val="00062836"/>
    <w:rsid w:val="00062873"/>
    <w:rsid w:val="00062893"/>
    <w:rsid w:val="000629F4"/>
    <w:rsid w:val="00062B10"/>
    <w:rsid w:val="00062C41"/>
    <w:rsid w:val="00062C4E"/>
    <w:rsid w:val="00062CC5"/>
    <w:rsid w:val="00062D40"/>
    <w:rsid w:val="00062D82"/>
    <w:rsid w:val="00062DF1"/>
    <w:rsid w:val="00062E28"/>
    <w:rsid w:val="00062EC8"/>
    <w:rsid w:val="00062F08"/>
    <w:rsid w:val="0006300E"/>
    <w:rsid w:val="00063051"/>
    <w:rsid w:val="000632C5"/>
    <w:rsid w:val="000633B1"/>
    <w:rsid w:val="000634AE"/>
    <w:rsid w:val="000634F6"/>
    <w:rsid w:val="00063558"/>
    <w:rsid w:val="0006363E"/>
    <w:rsid w:val="000636DD"/>
    <w:rsid w:val="00063728"/>
    <w:rsid w:val="00063774"/>
    <w:rsid w:val="00063793"/>
    <w:rsid w:val="00063982"/>
    <w:rsid w:val="00063A3E"/>
    <w:rsid w:val="00063C91"/>
    <w:rsid w:val="00063D86"/>
    <w:rsid w:val="00063DB8"/>
    <w:rsid w:val="00063E24"/>
    <w:rsid w:val="000640BB"/>
    <w:rsid w:val="0006422D"/>
    <w:rsid w:val="00064361"/>
    <w:rsid w:val="000644CC"/>
    <w:rsid w:val="000644EC"/>
    <w:rsid w:val="000644F3"/>
    <w:rsid w:val="00064526"/>
    <w:rsid w:val="00064752"/>
    <w:rsid w:val="0006492C"/>
    <w:rsid w:val="00064A27"/>
    <w:rsid w:val="00064B10"/>
    <w:rsid w:val="00064B55"/>
    <w:rsid w:val="00064C00"/>
    <w:rsid w:val="00064C4D"/>
    <w:rsid w:val="00064D44"/>
    <w:rsid w:val="00064DF9"/>
    <w:rsid w:val="00064E09"/>
    <w:rsid w:val="00064EAA"/>
    <w:rsid w:val="00064F76"/>
    <w:rsid w:val="00065094"/>
    <w:rsid w:val="000651B4"/>
    <w:rsid w:val="0006539F"/>
    <w:rsid w:val="00065430"/>
    <w:rsid w:val="000655B0"/>
    <w:rsid w:val="00065775"/>
    <w:rsid w:val="000657AD"/>
    <w:rsid w:val="00065A04"/>
    <w:rsid w:val="00065A45"/>
    <w:rsid w:val="00065A8A"/>
    <w:rsid w:val="00065C98"/>
    <w:rsid w:val="00065CF2"/>
    <w:rsid w:val="00065D51"/>
    <w:rsid w:val="00065D5B"/>
    <w:rsid w:val="00065E5F"/>
    <w:rsid w:val="00065EC5"/>
    <w:rsid w:val="00065F01"/>
    <w:rsid w:val="00065F6B"/>
    <w:rsid w:val="00066030"/>
    <w:rsid w:val="00066048"/>
    <w:rsid w:val="000660BF"/>
    <w:rsid w:val="0006624D"/>
    <w:rsid w:val="0006628F"/>
    <w:rsid w:val="00066299"/>
    <w:rsid w:val="0006633B"/>
    <w:rsid w:val="00066353"/>
    <w:rsid w:val="00066356"/>
    <w:rsid w:val="0006638C"/>
    <w:rsid w:val="000663A6"/>
    <w:rsid w:val="00066419"/>
    <w:rsid w:val="00066557"/>
    <w:rsid w:val="000666DB"/>
    <w:rsid w:val="000668B9"/>
    <w:rsid w:val="0006697A"/>
    <w:rsid w:val="0006697C"/>
    <w:rsid w:val="00066A84"/>
    <w:rsid w:val="00066A9F"/>
    <w:rsid w:val="00066AD4"/>
    <w:rsid w:val="00066B09"/>
    <w:rsid w:val="00066B51"/>
    <w:rsid w:val="00066C2C"/>
    <w:rsid w:val="00066C64"/>
    <w:rsid w:val="00066C8C"/>
    <w:rsid w:val="00066CF5"/>
    <w:rsid w:val="00066E66"/>
    <w:rsid w:val="00066E7F"/>
    <w:rsid w:val="00067140"/>
    <w:rsid w:val="00067258"/>
    <w:rsid w:val="0006728E"/>
    <w:rsid w:val="000672E2"/>
    <w:rsid w:val="00067493"/>
    <w:rsid w:val="000674E4"/>
    <w:rsid w:val="000675A9"/>
    <w:rsid w:val="000675E3"/>
    <w:rsid w:val="000676E3"/>
    <w:rsid w:val="000677D1"/>
    <w:rsid w:val="000678A8"/>
    <w:rsid w:val="00067C8E"/>
    <w:rsid w:val="00067E83"/>
    <w:rsid w:val="00067ED7"/>
    <w:rsid w:val="00067F20"/>
    <w:rsid w:val="00067FAD"/>
    <w:rsid w:val="00067FE9"/>
    <w:rsid w:val="000700BB"/>
    <w:rsid w:val="0007013B"/>
    <w:rsid w:val="00070173"/>
    <w:rsid w:val="000701CB"/>
    <w:rsid w:val="000701E0"/>
    <w:rsid w:val="00070337"/>
    <w:rsid w:val="0007049A"/>
    <w:rsid w:val="000705BF"/>
    <w:rsid w:val="00070768"/>
    <w:rsid w:val="00070804"/>
    <w:rsid w:val="000708A1"/>
    <w:rsid w:val="0007090F"/>
    <w:rsid w:val="00070979"/>
    <w:rsid w:val="00070A1C"/>
    <w:rsid w:val="00070B2B"/>
    <w:rsid w:val="00070B70"/>
    <w:rsid w:val="00070D14"/>
    <w:rsid w:val="00070E9C"/>
    <w:rsid w:val="00070F16"/>
    <w:rsid w:val="00070F95"/>
    <w:rsid w:val="00071043"/>
    <w:rsid w:val="000710B8"/>
    <w:rsid w:val="000710D5"/>
    <w:rsid w:val="000710F8"/>
    <w:rsid w:val="00071227"/>
    <w:rsid w:val="00071292"/>
    <w:rsid w:val="00071305"/>
    <w:rsid w:val="00071397"/>
    <w:rsid w:val="000713B7"/>
    <w:rsid w:val="000713D2"/>
    <w:rsid w:val="000714EE"/>
    <w:rsid w:val="000714FA"/>
    <w:rsid w:val="000714FE"/>
    <w:rsid w:val="00071614"/>
    <w:rsid w:val="00071666"/>
    <w:rsid w:val="00071725"/>
    <w:rsid w:val="0007173A"/>
    <w:rsid w:val="00071784"/>
    <w:rsid w:val="00071839"/>
    <w:rsid w:val="000718B6"/>
    <w:rsid w:val="00071AC3"/>
    <w:rsid w:val="00071CAA"/>
    <w:rsid w:val="00071CBF"/>
    <w:rsid w:val="00071CC8"/>
    <w:rsid w:val="00071DD1"/>
    <w:rsid w:val="00071DE0"/>
    <w:rsid w:val="00071E2A"/>
    <w:rsid w:val="0007202F"/>
    <w:rsid w:val="00072167"/>
    <w:rsid w:val="000722CC"/>
    <w:rsid w:val="00072393"/>
    <w:rsid w:val="00072670"/>
    <w:rsid w:val="000726F7"/>
    <w:rsid w:val="000727B1"/>
    <w:rsid w:val="00072881"/>
    <w:rsid w:val="00072883"/>
    <w:rsid w:val="00072906"/>
    <w:rsid w:val="00072997"/>
    <w:rsid w:val="00072AEB"/>
    <w:rsid w:val="00072B3E"/>
    <w:rsid w:val="00072D5D"/>
    <w:rsid w:val="00072D70"/>
    <w:rsid w:val="00072D7B"/>
    <w:rsid w:val="00072DC3"/>
    <w:rsid w:val="00072F2D"/>
    <w:rsid w:val="00072FE1"/>
    <w:rsid w:val="0007301E"/>
    <w:rsid w:val="0007310F"/>
    <w:rsid w:val="000731B4"/>
    <w:rsid w:val="000731EC"/>
    <w:rsid w:val="0007321D"/>
    <w:rsid w:val="000733CF"/>
    <w:rsid w:val="00073424"/>
    <w:rsid w:val="00073453"/>
    <w:rsid w:val="000734B5"/>
    <w:rsid w:val="000734D6"/>
    <w:rsid w:val="000734E3"/>
    <w:rsid w:val="0007365E"/>
    <w:rsid w:val="00073675"/>
    <w:rsid w:val="000737E1"/>
    <w:rsid w:val="00073823"/>
    <w:rsid w:val="000738B5"/>
    <w:rsid w:val="000738BA"/>
    <w:rsid w:val="0007390C"/>
    <w:rsid w:val="000739D2"/>
    <w:rsid w:val="00073A4B"/>
    <w:rsid w:val="00073A4D"/>
    <w:rsid w:val="00073ACF"/>
    <w:rsid w:val="00073B25"/>
    <w:rsid w:val="00073B38"/>
    <w:rsid w:val="00073B4C"/>
    <w:rsid w:val="00073D8A"/>
    <w:rsid w:val="00073DEA"/>
    <w:rsid w:val="00073E70"/>
    <w:rsid w:val="00073EAF"/>
    <w:rsid w:val="00073EE2"/>
    <w:rsid w:val="00073F6D"/>
    <w:rsid w:val="00074114"/>
    <w:rsid w:val="0007413D"/>
    <w:rsid w:val="00074404"/>
    <w:rsid w:val="0007448D"/>
    <w:rsid w:val="00074688"/>
    <w:rsid w:val="0007482D"/>
    <w:rsid w:val="00074A49"/>
    <w:rsid w:val="00074A9E"/>
    <w:rsid w:val="00074AA9"/>
    <w:rsid w:val="00074ABE"/>
    <w:rsid w:val="00074BAC"/>
    <w:rsid w:val="00074F94"/>
    <w:rsid w:val="00074FBF"/>
    <w:rsid w:val="0007526D"/>
    <w:rsid w:val="000753F7"/>
    <w:rsid w:val="000754AC"/>
    <w:rsid w:val="00075604"/>
    <w:rsid w:val="0007570D"/>
    <w:rsid w:val="00075764"/>
    <w:rsid w:val="0007586F"/>
    <w:rsid w:val="00075AC1"/>
    <w:rsid w:val="00075B88"/>
    <w:rsid w:val="00075E56"/>
    <w:rsid w:val="00075E69"/>
    <w:rsid w:val="00076031"/>
    <w:rsid w:val="000763BB"/>
    <w:rsid w:val="00076485"/>
    <w:rsid w:val="000764A9"/>
    <w:rsid w:val="000764B6"/>
    <w:rsid w:val="00076517"/>
    <w:rsid w:val="00076587"/>
    <w:rsid w:val="00076652"/>
    <w:rsid w:val="00076708"/>
    <w:rsid w:val="00076775"/>
    <w:rsid w:val="000767E8"/>
    <w:rsid w:val="00076AC2"/>
    <w:rsid w:val="00076B69"/>
    <w:rsid w:val="00076BBF"/>
    <w:rsid w:val="00076BF0"/>
    <w:rsid w:val="00076C40"/>
    <w:rsid w:val="00076CD3"/>
    <w:rsid w:val="00076E7E"/>
    <w:rsid w:val="00076EC7"/>
    <w:rsid w:val="00076FAB"/>
    <w:rsid w:val="00076FF6"/>
    <w:rsid w:val="00077087"/>
    <w:rsid w:val="00077204"/>
    <w:rsid w:val="0007725A"/>
    <w:rsid w:val="0007737C"/>
    <w:rsid w:val="000774B2"/>
    <w:rsid w:val="000775B7"/>
    <w:rsid w:val="00077661"/>
    <w:rsid w:val="000776FF"/>
    <w:rsid w:val="00077726"/>
    <w:rsid w:val="00077830"/>
    <w:rsid w:val="00077A04"/>
    <w:rsid w:val="00077A77"/>
    <w:rsid w:val="00077AB4"/>
    <w:rsid w:val="00077ACE"/>
    <w:rsid w:val="00077B0A"/>
    <w:rsid w:val="00077B26"/>
    <w:rsid w:val="00077B75"/>
    <w:rsid w:val="00077C11"/>
    <w:rsid w:val="00077C76"/>
    <w:rsid w:val="00077D54"/>
    <w:rsid w:val="00077D78"/>
    <w:rsid w:val="00077DDB"/>
    <w:rsid w:val="00077E01"/>
    <w:rsid w:val="00077E29"/>
    <w:rsid w:val="00077E3B"/>
    <w:rsid w:val="00077F9C"/>
    <w:rsid w:val="0008007F"/>
    <w:rsid w:val="000800F2"/>
    <w:rsid w:val="000804D5"/>
    <w:rsid w:val="0008056B"/>
    <w:rsid w:val="00080623"/>
    <w:rsid w:val="00080646"/>
    <w:rsid w:val="000806EF"/>
    <w:rsid w:val="00080738"/>
    <w:rsid w:val="000808BB"/>
    <w:rsid w:val="00080AB3"/>
    <w:rsid w:val="00080B28"/>
    <w:rsid w:val="00080BC6"/>
    <w:rsid w:val="00080CD4"/>
    <w:rsid w:val="00080D56"/>
    <w:rsid w:val="00080D84"/>
    <w:rsid w:val="00080E45"/>
    <w:rsid w:val="00080F85"/>
    <w:rsid w:val="00080FA6"/>
    <w:rsid w:val="00081097"/>
    <w:rsid w:val="000810AA"/>
    <w:rsid w:val="00081107"/>
    <w:rsid w:val="0008118A"/>
    <w:rsid w:val="00081220"/>
    <w:rsid w:val="0008129C"/>
    <w:rsid w:val="00081326"/>
    <w:rsid w:val="0008134F"/>
    <w:rsid w:val="0008135C"/>
    <w:rsid w:val="00081453"/>
    <w:rsid w:val="000814BB"/>
    <w:rsid w:val="000815C5"/>
    <w:rsid w:val="0008161B"/>
    <w:rsid w:val="0008163D"/>
    <w:rsid w:val="00081673"/>
    <w:rsid w:val="00081686"/>
    <w:rsid w:val="00081689"/>
    <w:rsid w:val="000816A1"/>
    <w:rsid w:val="000816D7"/>
    <w:rsid w:val="00081790"/>
    <w:rsid w:val="000817BA"/>
    <w:rsid w:val="000818A2"/>
    <w:rsid w:val="000819C6"/>
    <w:rsid w:val="00081CBB"/>
    <w:rsid w:val="00081D57"/>
    <w:rsid w:val="00081D97"/>
    <w:rsid w:val="00081DBA"/>
    <w:rsid w:val="00081E02"/>
    <w:rsid w:val="00081EA6"/>
    <w:rsid w:val="00081ED1"/>
    <w:rsid w:val="00081F52"/>
    <w:rsid w:val="00081FA7"/>
    <w:rsid w:val="00081FAF"/>
    <w:rsid w:val="00081FBC"/>
    <w:rsid w:val="00082150"/>
    <w:rsid w:val="000821F2"/>
    <w:rsid w:val="00082208"/>
    <w:rsid w:val="00082318"/>
    <w:rsid w:val="00082350"/>
    <w:rsid w:val="000824C1"/>
    <w:rsid w:val="000825A6"/>
    <w:rsid w:val="0008260E"/>
    <w:rsid w:val="0008273D"/>
    <w:rsid w:val="0008286F"/>
    <w:rsid w:val="000828DE"/>
    <w:rsid w:val="00082A24"/>
    <w:rsid w:val="00082AE8"/>
    <w:rsid w:val="00082B2D"/>
    <w:rsid w:val="00082C65"/>
    <w:rsid w:val="00082CBB"/>
    <w:rsid w:val="00082D04"/>
    <w:rsid w:val="00082DC6"/>
    <w:rsid w:val="00082FFA"/>
    <w:rsid w:val="00083085"/>
    <w:rsid w:val="00083089"/>
    <w:rsid w:val="00083260"/>
    <w:rsid w:val="00083313"/>
    <w:rsid w:val="00083458"/>
    <w:rsid w:val="00083497"/>
    <w:rsid w:val="000835D7"/>
    <w:rsid w:val="00083679"/>
    <w:rsid w:val="0008367A"/>
    <w:rsid w:val="000836AD"/>
    <w:rsid w:val="000837F6"/>
    <w:rsid w:val="0008389B"/>
    <w:rsid w:val="00083C03"/>
    <w:rsid w:val="00083D04"/>
    <w:rsid w:val="00083D63"/>
    <w:rsid w:val="00083F6E"/>
    <w:rsid w:val="00083FF9"/>
    <w:rsid w:val="00084128"/>
    <w:rsid w:val="00084174"/>
    <w:rsid w:val="000843C0"/>
    <w:rsid w:val="00084443"/>
    <w:rsid w:val="000844BD"/>
    <w:rsid w:val="000844C8"/>
    <w:rsid w:val="000847F0"/>
    <w:rsid w:val="000847F7"/>
    <w:rsid w:val="00084805"/>
    <w:rsid w:val="000848FF"/>
    <w:rsid w:val="0008491C"/>
    <w:rsid w:val="00084926"/>
    <w:rsid w:val="00084958"/>
    <w:rsid w:val="00084997"/>
    <w:rsid w:val="0008499F"/>
    <w:rsid w:val="000849A4"/>
    <w:rsid w:val="000849B7"/>
    <w:rsid w:val="00084A62"/>
    <w:rsid w:val="00084A63"/>
    <w:rsid w:val="00084B63"/>
    <w:rsid w:val="00084B70"/>
    <w:rsid w:val="00084BC0"/>
    <w:rsid w:val="00084C25"/>
    <w:rsid w:val="00084C47"/>
    <w:rsid w:val="00084C53"/>
    <w:rsid w:val="00084CF1"/>
    <w:rsid w:val="00084D39"/>
    <w:rsid w:val="00084D54"/>
    <w:rsid w:val="00084D97"/>
    <w:rsid w:val="00084E32"/>
    <w:rsid w:val="00084E69"/>
    <w:rsid w:val="00084E73"/>
    <w:rsid w:val="00084F71"/>
    <w:rsid w:val="00085070"/>
    <w:rsid w:val="00085146"/>
    <w:rsid w:val="00085154"/>
    <w:rsid w:val="000851DF"/>
    <w:rsid w:val="00085282"/>
    <w:rsid w:val="0008530B"/>
    <w:rsid w:val="00085315"/>
    <w:rsid w:val="000853A5"/>
    <w:rsid w:val="0008572D"/>
    <w:rsid w:val="000858A1"/>
    <w:rsid w:val="00085A37"/>
    <w:rsid w:val="00085ADB"/>
    <w:rsid w:val="00085B39"/>
    <w:rsid w:val="00085BD8"/>
    <w:rsid w:val="00085D63"/>
    <w:rsid w:val="00085E80"/>
    <w:rsid w:val="00085F45"/>
    <w:rsid w:val="0008603B"/>
    <w:rsid w:val="00086144"/>
    <w:rsid w:val="00086253"/>
    <w:rsid w:val="0008642C"/>
    <w:rsid w:val="000865ED"/>
    <w:rsid w:val="000865F0"/>
    <w:rsid w:val="00086658"/>
    <w:rsid w:val="0008665C"/>
    <w:rsid w:val="000867C4"/>
    <w:rsid w:val="00086886"/>
    <w:rsid w:val="000868A0"/>
    <w:rsid w:val="000868A1"/>
    <w:rsid w:val="00086982"/>
    <w:rsid w:val="00086988"/>
    <w:rsid w:val="00086B71"/>
    <w:rsid w:val="00086C07"/>
    <w:rsid w:val="00086C95"/>
    <w:rsid w:val="00086D0F"/>
    <w:rsid w:val="00086DCE"/>
    <w:rsid w:val="00086DD1"/>
    <w:rsid w:val="00086F0B"/>
    <w:rsid w:val="00086F12"/>
    <w:rsid w:val="00086F9B"/>
    <w:rsid w:val="00087065"/>
    <w:rsid w:val="000870FD"/>
    <w:rsid w:val="000871E7"/>
    <w:rsid w:val="000872F6"/>
    <w:rsid w:val="0008736D"/>
    <w:rsid w:val="00087412"/>
    <w:rsid w:val="0008743E"/>
    <w:rsid w:val="0008775A"/>
    <w:rsid w:val="00087820"/>
    <w:rsid w:val="00087948"/>
    <w:rsid w:val="00087A59"/>
    <w:rsid w:val="00087A79"/>
    <w:rsid w:val="00087AEB"/>
    <w:rsid w:val="00087B1E"/>
    <w:rsid w:val="00087B34"/>
    <w:rsid w:val="00087BB5"/>
    <w:rsid w:val="00087BBA"/>
    <w:rsid w:val="00087C8C"/>
    <w:rsid w:val="00087D1A"/>
    <w:rsid w:val="00087E44"/>
    <w:rsid w:val="00087EBB"/>
    <w:rsid w:val="00087EC5"/>
    <w:rsid w:val="00090002"/>
    <w:rsid w:val="00090062"/>
    <w:rsid w:val="00090159"/>
    <w:rsid w:val="00090167"/>
    <w:rsid w:val="000901C3"/>
    <w:rsid w:val="00090289"/>
    <w:rsid w:val="000902BF"/>
    <w:rsid w:val="000902EF"/>
    <w:rsid w:val="0009033E"/>
    <w:rsid w:val="0009038C"/>
    <w:rsid w:val="00090489"/>
    <w:rsid w:val="000904C4"/>
    <w:rsid w:val="000904F7"/>
    <w:rsid w:val="00090555"/>
    <w:rsid w:val="0009060A"/>
    <w:rsid w:val="00090629"/>
    <w:rsid w:val="0009079C"/>
    <w:rsid w:val="00090828"/>
    <w:rsid w:val="000909EA"/>
    <w:rsid w:val="00090A5A"/>
    <w:rsid w:val="00090ACD"/>
    <w:rsid w:val="00090AF3"/>
    <w:rsid w:val="00090BA6"/>
    <w:rsid w:val="00090BD8"/>
    <w:rsid w:val="00090C63"/>
    <w:rsid w:val="00090CE4"/>
    <w:rsid w:val="00090D97"/>
    <w:rsid w:val="00090DCD"/>
    <w:rsid w:val="00090E7B"/>
    <w:rsid w:val="0009106F"/>
    <w:rsid w:val="00091104"/>
    <w:rsid w:val="0009116C"/>
    <w:rsid w:val="0009116D"/>
    <w:rsid w:val="00091210"/>
    <w:rsid w:val="00091225"/>
    <w:rsid w:val="000912BF"/>
    <w:rsid w:val="000912D1"/>
    <w:rsid w:val="0009139B"/>
    <w:rsid w:val="0009139F"/>
    <w:rsid w:val="00091503"/>
    <w:rsid w:val="00091529"/>
    <w:rsid w:val="00091550"/>
    <w:rsid w:val="00091568"/>
    <w:rsid w:val="000915FA"/>
    <w:rsid w:val="0009160C"/>
    <w:rsid w:val="000917E2"/>
    <w:rsid w:val="00091897"/>
    <w:rsid w:val="000918F9"/>
    <w:rsid w:val="000919A7"/>
    <w:rsid w:val="00091B07"/>
    <w:rsid w:val="00091B12"/>
    <w:rsid w:val="00091B3A"/>
    <w:rsid w:val="00091D28"/>
    <w:rsid w:val="00091D58"/>
    <w:rsid w:val="00091E7B"/>
    <w:rsid w:val="00091E8B"/>
    <w:rsid w:val="00091F41"/>
    <w:rsid w:val="00092052"/>
    <w:rsid w:val="00092148"/>
    <w:rsid w:val="000921AD"/>
    <w:rsid w:val="00092243"/>
    <w:rsid w:val="00092310"/>
    <w:rsid w:val="00092321"/>
    <w:rsid w:val="0009246F"/>
    <w:rsid w:val="00092790"/>
    <w:rsid w:val="00092795"/>
    <w:rsid w:val="0009281C"/>
    <w:rsid w:val="000929AE"/>
    <w:rsid w:val="000929D3"/>
    <w:rsid w:val="000929E5"/>
    <w:rsid w:val="00092A80"/>
    <w:rsid w:val="00092C23"/>
    <w:rsid w:val="00092ED2"/>
    <w:rsid w:val="00092FB4"/>
    <w:rsid w:val="00093050"/>
    <w:rsid w:val="00093374"/>
    <w:rsid w:val="0009355B"/>
    <w:rsid w:val="00093606"/>
    <w:rsid w:val="0009362B"/>
    <w:rsid w:val="0009362E"/>
    <w:rsid w:val="0009363C"/>
    <w:rsid w:val="000937D6"/>
    <w:rsid w:val="00093937"/>
    <w:rsid w:val="00093990"/>
    <w:rsid w:val="000939A6"/>
    <w:rsid w:val="00093A20"/>
    <w:rsid w:val="00093A2B"/>
    <w:rsid w:val="00093AD5"/>
    <w:rsid w:val="00093BE0"/>
    <w:rsid w:val="00093CA7"/>
    <w:rsid w:val="00093DCA"/>
    <w:rsid w:val="00093E52"/>
    <w:rsid w:val="00093F5D"/>
    <w:rsid w:val="00094129"/>
    <w:rsid w:val="0009413D"/>
    <w:rsid w:val="000941D8"/>
    <w:rsid w:val="000941E2"/>
    <w:rsid w:val="0009425F"/>
    <w:rsid w:val="0009427E"/>
    <w:rsid w:val="0009429B"/>
    <w:rsid w:val="000943A1"/>
    <w:rsid w:val="00094414"/>
    <w:rsid w:val="0009443D"/>
    <w:rsid w:val="00094456"/>
    <w:rsid w:val="0009459B"/>
    <w:rsid w:val="000945D9"/>
    <w:rsid w:val="00094833"/>
    <w:rsid w:val="000948E8"/>
    <w:rsid w:val="00094ADA"/>
    <w:rsid w:val="00094B58"/>
    <w:rsid w:val="00094DA9"/>
    <w:rsid w:val="00094DBB"/>
    <w:rsid w:val="00094E6C"/>
    <w:rsid w:val="0009504E"/>
    <w:rsid w:val="00095056"/>
    <w:rsid w:val="0009522E"/>
    <w:rsid w:val="000952F0"/>
    <w:rsid w:val="0009530E"/>
    <w:rsid w:val="000953D8"/>
    <w:rsid w:val="000953EE"/>
    <w:rsid w:val="00095450"/>
    <w:rsid w:val="000955A3"/>
    <w:rsid w:val="000955BF"/>
    <w:rsid w:val="00095653"/>
    <w:rsid w:val="000956F6"/>
    <w:rsid w:val="00095799"/>
    <w:rsid w:val="000957AD"/>
    <w:rsid w:val="0009580A"/>
    <w:rsid w:val="00095891"/>
    <w:rsid w:val="00095951"/>
    <w:rsid w:val="00095A48"/>
    <w:rsid w:val="00095A9F"/>
    <w:rsid w:val="00095B7D"/>
    <w:rsid w:val="00095D0D"/>
    <w:rsid w:val="00095DDA"/>
    <w:rsid w:val="00095FD3"/>
    <w:rsid w:val="000960F9"/>
    <w:rsid w:val="00096146"/>
    <w:rsid w:val="00096299"/>
    <w:rsid w:val="0009631C"/>
    <w:rsid w:val="0009640E"/>
    <w:rsid w:val="000964B9"/>
    <w:rsid w:val="0009653A"/>
    <w:rsid w:val="00096547"/>
    <w:rsid w:val="0009668E"/>
    <w:rsid w:val="00096885"/>
    <w:rsid w:val="0009699D"/>
    <w:rsid w:val="00096A4B"/>
    <w:rsid w:val="00096A72"/>
    <w:rsid w:val="00096A98"/>
    <w:rsid w:val="00096A9A"/>
    <w:rsid w:val="00096ADD"/>
    <w:rsid w:val="00096BF3"/>
    <w:rsid w:val="00096D69"/>
    <w:rsid w:val="00096E34"/>
    <w:rsid w:val="00096E47"/>
    <w:rsid w:val="00096F69"/>
    <w:rsid w:val="00096FBD"/>
    <w:rsid w:val="00096FD9"/>
    <w:rsid w:val="00096FFB"/>
    <w:rsid w:val="00097320"/>
    <w:rsid w:val="00097335"/>
    <w:rsid w:val="0009740D"/>
    <w:rsid w:val="0009744E"/>
    <w:rsid w:val="000974D6"/>
    <w:rsid w:val="000974E7"/>
    <w:rsid w:val="0009751E"/>
    <w:rsid w:val="00097540"/>
    <w:rsid w:val="00097635"/>
    <w:rsid w:val="000976DF"/>
    <w:rsid w:val="00097B19"/>
    <w:rsid w:val="00097B2E"/>
    <w:rsid w:val="00097B87"/>
    <w:rsid w:val="00097BF4"/>
    <w:rsid w:val="00097C05"/>
    <w:rsid w:val="00097C54"/>
    <w:rsid w:val="00097D80"/>
    <w:rsid w:val="00097E10"/>
    <w:rsid w:val="00097EDD"/>
    <w:rsid w:val="00097F2D"/>
    <w:rsid w:val="00097FC1"/>
    <w:rsid w:val="0009A47B"/>
    <w:rsid w:val="000A0062"/>
    <w:rsid w:val="000A0098"/>
    <w:rsid w:val="000A014C"/>
    <w:rsid w:val="000A01AC"/>
    <w:rsid w:val="000A01B7"/>
    <w:rsid w:val="000A0279"/>
    <w:rsid w:val="000A0290"/>
    <w:rsid w:val="000A0385"/>
    <w:rsid w:val="000A04C2"/>
    <w:rsid w:val="000A0545"/>
    <w:rsid w:val="000A0647"/>
    <w:rsid w:val="000A084B"/>
    <w:rsid w:val="000A084E"/>
    <w:rsid w:val="000A089D"/>
    <w:rsid w:val="000A08BF"/>
    <w:rsid w:val="000A08C0"/>
    <w:rsid w:val="000A0921"/>
    <w:rsid w:val="000A09D1"/>
    <w:rsid w:val="000A0AC7"/>
    <w:rsid w:val="000A0B31"/>
    <w:rsid w:val="000A0B3F"/>
    <w:rsid w:val="000A0B69"/>
    <w:rsid w:val="000A0C6F"/>
    <w:rsid w:val="000A0CA8"/>
    <w:rsid w:val="000A0E19"/>
    <w:rsid w:val="000A0FE4"/>
    <w:rsid w:val="000A1078"/>
    <w:rsid w:val="000A1112"/>
    <w:rsid w:val="000A1301"/>
    <w:rsid w:val="000A14B9"/>
    <w:rsid w:val="000A14FD"/>
    <w:rsid w:val="000A15CC"/>
    <w:rsid w:val="000A15FE"/>
    <w:rsid w:val="000A1666"/>
    <w:rsid w:val="000A1761"/>
    <w:rsid w:val="000A1813"/>
    <w:rsid w:val="000A18BC"/>
    <w:rsid w:val="000A1902"/>
    <w:rsid w:val="000A192C"/>
    <w:rsid w:val="000A1A38"/>
    <w:rsid w:val="000A1A9E"/>
    <w:rsid w:val="000A1AF5"/>
    <w:rsid w:val="000A1B42"/>
    <w:rsid w:val="000A1D39"/>
    <w:rsid w:val="000A1DB0"/>
    <w:rsid w:val="000A1E4A"/>
    <w:rsid w:val="000A1E78"/>
    <w:rsid w:val="000A2042"/>
    <w:rsid w:val="000A21E3"/>
    <w:rsid w:val="000A2229"/>
    <w:rsid w:val="000A2313"/>
    <w:rsid w:val="000A231A"/>
    <w:rsid w:val="000A231D"/>
    <w:rsid w:val="000A2423"/>
    <w:rsid w:val="000A2484"/>
    <w:rsid w:val="000A260B"/>
    <w:rsid w:val="000A2691"/>
    <w:rsid w:val="000A280F"/>
    <w:rsid w:val="000A28D8"/>
    <w:rsid w:val="000A2B84"/>
    <w:rsid w:val="000A2C14"/>
    <w:rsid w:val="000A2C20"/>
    <w:rsid w:val="000A2D8B"/>
    <w:rsid w:val="000A2E05"/>
    <w:rsid w:val="000A2E8E"/>
    <w:rsid w:val="000A2F05"/>
    <w:rsid w:val="000A2FB9"/>
    <w:rsid w:val="000A30A4"/>
    <w:rsid w:val="000A3140"/>
    <w:rsid w:val="000A3382"/>
    <w:rsid w:val="000A340E"/>
    <w:rsid w:val="000A3462"/>
    <w:rsid w:val="000A354F"/>
    <w:rsid w:val="000A369D"/>
    <w:rsid w:val="000A3860"/>
    <w:rsid w:val="000A3995"/>
    <w:rsid w:val="000A3A81"/>
    <w:rsid w:val="000A3A87"/>
    <w:rsid w:val="000A3BDF"/>
    <w:rsid w:val="000A3C29"/>
    <w:rsid w:val="000A3C92"/>
    <w:rsid w:val="000A3E8C"/>
    <w:rsid w:val="000A41BB"/>
    <w:rsid w:val="000A421F"/>
    <w:rsid w:val="000A422C"/>
    <w:rsid w:val="000A42AA"/>
    <w:rsid w:val="000A4471"/>
    <w:rsid w:val="000A44A2"/>
    <w:rsid w:val="000A44C3"/>
    <w:rsid w:val="000A4601"/>
    <w:rsid w:val="000A4626"/>
    <w:rsid w:val="000A47CE"/>
    <w:rsid w:val="000A4852"/>
    <w:rsid w:val="000A48E4"/>
    <w:rsid w:val="000A49F5"/>
    <w:rsid w:val="000A49F7"/>
    <w:rsid w:val="000A4B94"/>
    <w:rsid w:val="000A4CE6"/>
    <w:rsid w:val="000A4D6F"/>
    <w:rsid w:val="000A4E29"/>
    <w:rsid w:val="000A4F75"/>
    <w:rsid w:val="000A500C"/>
    <w:rsid w:val="000A5047"/>
    <w:rsid w:val="000A5053"/>
    <w:rsid w:val="000A507E"/>
    <w:rsid w:val="000A50C4"/>
    <w:rsid w:val="000A51D7"/>
    <w:rsid w:val="000A52FA"/>
    <w:rsid w:val="000A54AB"/>
    <w:rsid w:val="000A5559"/>
    <w:rsid w:val="000A55F8"/>
    <w:rsid w:val="000A55FE"/>
    <w:rsid w:val="000A5654"/>
    <w:rsid w:val="000A569D"/>
    <w:rsid w:val="000A5841"/>
    <w:rsid w:val="000A588D"/>
    <w:rsid w:val="000A5894"/>
    <w:rsid w:val="000A58CF"/>
    <w:rsid w:val="000A58EA"/>
    <w:rsid w:val="000A594B"/>
    <w:rsid w:val="000A5ABF"/>
    <w:rsid w:val="000A5AE9"/>
    <w:rsid w:val="000A5C67"/>
    <w:rsid w:val="000A5DB7"/>
    <w:rsid w:val="000A5EC2"/>
    <w:rsid w:val="000A5F31"/>
    <w:rsid w:val="000A6164"/>
    <w:rsid w:val="000A62F0"/>
    <w:rsid w:val="000A6568"/>
    <w:rsid w:val="000A659B"/>
    <w:rsid w:val="000A6651"/>
    <w:rsid w:val="000A68B1"/>
    <w:rsid w:val="000A694C"/>
    <w:rsid w:val="000A69DC"/>
    <w:rsid w:val="000A6ADC"/>
    <w:rsid w:val="000A6CC1"/>
    <w:rsid w:val="000A6E2B"/>
    <w:rsid w:val="000A6F2A"/>
    <w:rsid w:val="000A6F9F"/>
    <w:rsid w:val="000A6FD7"/>
    <w:rsid w:val="000A7044"/>
    <w:rsid w:val="000A705C"/>
    <w:rsid w:val="000A708B"/>
    <w:rsid w:val="000A708F"/>
    <w:rsid w:val="000A70AE"/>
    <w:rsid w:val="000A714F"/>
    <w:rsid w:val="000A7547"/>
    <w:rsid w:val="000A755D"/>
    <w:rsid w:val="000A75AC"/>
    <w:rsid w:val="000A7744"/>
    <w:rsid w:val="000A789F"/>
    <w:rsid w:val="000A78CA"/>
    <w:rsid w:val="000A7966"/>
    <w:rsid w:val="000A7A80"/>
    <w:rsid w:val="000A7A82"/>
    <w:rsid w:val="000A7B6B"/>
    <w:rsid w:val="000A7B86"/>
    <w:rsid w:val="000A7BCC"/>
    <w:rsid w:val="000A7CFB"/>
    <w:rsid w:val="000A7D16"/>
    <w:rsid w:val="000A7D4C"/>
    <w:rsid w:val="000A7DC5"/>
    <w:rsid w:val="000B0217"/>
    <w:rsid w:val="000B0266"/>
    <w:rsid w:val="000B02D5"/>
    <w:rsid w:val="000B0307"/>
    <w:rsid w:val="000B033C"/>
    <w:rsid w:val="000B03AB"/>
    <w:rsid w:val="000B03E2"/>
    <w:rsid w:val="000B0468"/>
    <w:rsid w:val="000B04E7"/>
    <w:rsid w:val="000B04F0"/>
    <w:rsid w:val="000B0560"/>
    <w:rsid w:val="000B058F"/>
    <w:rsid w:val="000B05A8"/>
    <w:rsid w:val="000B05F4"/>
    <w:rsid w:val="000B072B"/>
    <w:rsid w:val="000B07CF"/>
    <w:rsid w:val="000B082D"/>
    <w:rsid w:val="000B0868"/>
    <w:rsid w:val="000B090F"/>
    <w:rsid w:val="000B0982"/>
    <w:rsid w:val="000B0A19"/>
    <w:rsid w:val="000B0A41"/>
    <w:rsid w:val="000B0A64"/>
    <w:rsid w:val="000B0A89"/>
    <w:rsid w:val="000B0B00"/>
    <w:rsid w:val="000B0BC3"/>
    <w:rsid w:val="000B0CCE"/>
    <w:rsid w:val="000B0DA0"/>
    <w:rsid w:val="000B0E2E"/>
    <w:rsid w:val="000B0E82"/>
    <w:rsid w:val="000B0F64"/>
    <w:rsid w:val="000B0F9C"/>
    <w:rsid w:val="000B0FDF"/>
    <w:rsid w:val="000B1277"/>
    <w:rsid w:val="000B12E2"/>
    <w:rsid w:val="000B147E"/>
    <w:rsid w:val="000B1497"/>
    <w:rsid w:val="000B1534"/>
    <w:rsid w:val="000B1565"/>
    <w:rsid w:val="000B1582"/>
    <w:rsid w:val="000B162A"/>
    <w:rsid w:val="000B16C1"/>
    <w:rsid w:val="000B1935"/>
    <w:rsid w:val="000B193C"/>
    <w:rsid w:val="000B19E0"/>
    <w:rsid w:val="000B1A09"/>
    <w:rsid w:val="000B1AE9"/>
    <w:rsid w:val="000B1FBE"/>
    <w:rsid w:val="000B1FFA"/>
    <w:rsid w:val="000B2002"/>
    <w:rsid w:val="000B2071"/>
    <w:rsid w:val="000B218E"/>
    <w:rsid w:val="000B221D"/>
    <w:rsid w:val="000B2251"/>
    <w:rsid w:val="000B22B8"/>
    <w:rsid w:val="000B23CB"/>
    <w:rsid w:val="000B23D5"/>
    <w:rsid w:val="000B2424"/>
    <w:rsid w:val="000B258C"/>
    <w:rsid w:val="000B25AE"/>
    <w:rsid w:val="000B271A"/>
    <w:rsid w:val="000B2739"/>
    <w:rsid w:val="000B27FE"/>
    <w:rsid w:val="000B2832"/>
    <w:rsid w:val="000B2876"/>
    <w:rsid w:val="000B2895"/>
    <w:rsid w:val="000B28AD"/>
    <w:rsid w:val="000B28FC"/>
    <w:rsid w:val="000B2C8A"/>
    <w:rsid w:val="000B2C96"/>
    <w:rsid w:val="000B2E02"/>
    <w:rsid w:val="000B2E6B"/>
    <w:rsid w:val="000B2EF5"/>
    <w:rsid w:val="000B307A"/>
    <w:rsid w:val="000B3173"/>
    <w:rsid w:val="000B331B"/>
    <w:rsid w:val="000B3357"/>
    <w:rsid w:val="000B33D0"/>
    <w:rsid w:val="000B33E8"/>
    <w:rsid w:val="000B34ED"/>
    <w:rsid w:val="000B35F1"/>
    <w:rsid w:val="000B35F9"/>
    <w:rsid w:val="000B36C9"/>
    <w:rsid w:val="000B36F6"/>
    <w:rsid w:val="000B3722"/>
    <w:rsid w:val="000B3723"/>
    <w:rsid w:val="000B3753"/>
    <w:rsid w:val="000B3914"/>
    <w:rsid w:val="000B3A19"/>
    <w:rsid w:val="000B3B2D"/>
    <w:rsid w:val="000B3B42"/>
    <w:rsid w:val="000B3B7E"/>
    <w:rsid w:val="000B3B80"/>
    <w:rsid w:val="000B3E13"/>
    <w:rsid w:val="000B3F5B"/>
    <w:rsid w:val="000B4072"/>
    <w:rsid w:val="000B4125"/>
    <w:rsid w:val="000B414D"/>
    <w:rsid w:val="000B418C"/>
    <w:rsid w:val="000B419E"/>
    <w:rsid w:val="000B41C9"/>
    <w:rsid w:val="000B41EB"/>
    <w:rsid w:val="000B420C"/>
    <w:rsid w:val="000B4354"/>
    <w:rsid w:val="000B45B5"/>
    <w:rsid w:val="000B46C6"/>
    <w:rsid w:val="000B46DD"/>
    <w:rsid w:val="000B4741"/>
    <w:rsid w:val="000B48CA"/>
    <w:rsid w:val="000B491F"/>
    <w:rsid w:val="000B49E1"/>
    <w:rsid w:val="000B49F2"/>
    <w:rsid w:val="000B4A48"/>
    <w:rsid w:val="000B4AAB"/>
    <w:rsid w:val="000B4AC8"/>
    <w:rsid w:val="000B4BF1"/>
    <w:rsid w:val="000B4CC0"/>
    <w:rsid w:val="000B4D1A"/>
    <w:rsid w:val="000B4DC5"/>
    <w:rsid w:val="000B4FCC"/>
    <w:rsid w:val="000B50D4"/>
    <w:rsid w:val="000B51D5"/>
    <w:rsid w:val="000B52F6"/>
    <w:rsid w:val="000B53D3"/>
    <w:rsid w:val="000B5442"/>
    <w:rsid w:val="000B5443"/>
    <w:rsid w:val="000B546B"/>
    <w:rsid w:val="000B55CC"/>
    <w:rsid w:val="000B55E7"/>
    <w:rsid w:val="000B568D"/>
    <w:rsid w:val="000B56FF"/>
    <w:rsid w:val="000B57FB"/>
    <w:rsid w:val="000B581F"/>
    <w:rsid w:val="000B5834"/>
    <w:rsid w:val="000B5957"/>
    <w:rsid w:val="000B597E"/>
    <w:rsid w:val="000B59FE"/>
    <w:rsid w:val="000B5A3D"/>
    <w:rsid w:val="000B5ACF"/>
    <w:rsid w:val="000B5B7C"/>
    <w:rsid w:val="000B5C30"/>
    <w:rsid w:val="000B5C7F"/>
    <w:rsid w:val="000B5D27"/>
    <w:rsid w:val="000B5D6D"/>
    <w:rsid w:val="000B5D75"/>
    <w:rsid w:val="000B5F88"/>
    <w:rsid w:val="000B603B"/>
    <w:rsid w:val="000B605A"/>
    <w:rsid w:val="000B6097"/>
    <w:rsid w:val="000B61EC"/>
    <w:rsid w:val="000B6220"/>
    <w:rsid w:val="000B62DD"/>
    <w:rsid w:val="000B6371"/>
    <w:rsid w:val="000B64F6"/>
    <w:rsid w:val="000B654E"/>
    <w:rsid w:val="000B65A0"/>
    <w:rsid w:val="000B65A5"/>
    <w:rsid w:val="000B66A2"/>
    <w:rsid w:val="000B675F"/>
    <w:rsid w:val="000B682E"/>
    <w:rsid w:val="000B6972"/>
    <w:rsid w:val="000B69EE"/>
    <w:rsid w:val="000B6B3A"/>
    <w:rsid w:val="000B6B62"/>
    <w:rsid w:val="000B6DD4"/>
    <w:rsid w:val="000B6DF7"/>
    <w:rsid w:val="000B6FFD"/>
    <w:rsid w:val="000B70C0"/>
    <w:rsid w:val="000B70D6"/>
    <w:rsid w:val="000B71EF"/>
    <w:rsid w:val="000B7245"/>
    <w:rsid w:val="000B72AC"/>
    <w:rsid w:val="000B72F4"/>
    <w:rsid w:val="000B748B"/>
    <w:rsid w:val="000B756C"/>
    <w:rsid w:val="000B7659"/>
    <w:rsid w:val="000B7773"/>
    <w:rsid w:val="000B7837"/>
    <w:rsid w:val="000B78A0"/>
    <w:rsid w:val="000B7AA0"/>
    <w:rsid w:val="000B7B12"/>
    <w:rsid w:val="000B7B74"/>
    <w:rsid w:val="000B7BAE"/>
    <w:rsid w:val="000B7C35"/>
    <w:rsid w:val="000B7D7B"/>
    <w:rsid w:val="000B7DC6"/>
    <w:rsid w:val="000B7DD7"/>
    <w:rsid w:val="000B7E3F"/>
    <w:rsid w:val="000B7F51"/>
    <w:rsid w:val="000B7FBA"/>
    <w:rsid w:val="000C01E8"/>
    <w:rsid w:val="000C0227"/>
    <w:rsid w:val="000C027B"/>
    <w:rsid w:val="000C0320"/>
    <w:rsid w:val="000C03DA"/>
    <w:rsid w:val="000C0568"/>
    <w:rsid w:val="000C0578"/>
    <w:rsid w:val="000C05C0"/>
    <w:rsid w:val="000C05E2"/>
    <w:rsid w:val="000C062E"/>
    <w:rsid w:val="000C070D"/>
    <w:rsid w:val="000C07A0"/>
    <w:rsid w:val="000C0810"/>
    <w:rsid w:val="000C093D"/>
    <w:rsid w:val="000C0CE1"/>
    <w:rsid w:val="000C0D18"/>
    <w:rsid w:val="000C0D93"/>
    <w:rsid w:val="000C0E38"/>
    <w:rsid w:val="000C0EC1"/>
    <w:rsid w:val="000C0F2A"/>
    <w:rsid w:val="000C0F7F"/>
    <w:rsid w:val="000C0F92"/>
    <w:rsid w:val="000C1141"/>
    <w:rsid w:val="000C1161"/>
    <w:rsid w:val="000C1196"/>
    <w:rsid w:val="000C1250"/>
    <w:rsid w:val="000C128F"/>
    <w:rsid w:val="000C12A3"/>
    <w:rsid w:val="000C1377"/>
    <w:rsid w:val="000C13FF"/>
    <w:rsid w:val="000C141C"/>
    <w:rsid w:val="000C1515"/>
    <w:rsid w:val="000C16FD"/>
    <w:rsid w:val="000C17DA"/>
    <w:rsid w:val="000C1A0B"/>
    <w:rsid w:val="000C1AEB"/>
    <w:rsid w:val="000C1BE9"/>
    <w:rsid w:val="000C1BFF"/>
    <w:rsid w:val="000C1C6C"/>
    <w:rsid w:val="000C1CAA"/>
    <w:rsid w:val="000C1DE7"/>
    <w:rsid w:val="000C1E54"/>
    <w:rsid w:val="000C1F08"/>
    <w:rsid w:val="000C1F2E"/>
    <w:rsid w:val="000C1F89"/>
    <w:rsid w:val="000C2065"/>
    <w:rsid w:val="000C20A0"/>
    <w:rsid w:val="000C214A"/>
    <w:rsid w:val="000C2214"/>
    <w:rsid w:val="000C2238"/>
    <w:rsid w:val="000C225A"/>
    <w:rsid w:val="000C227E"/>
    <w:rsid w:val="000C228B"/>
    <w:rsid w:val="000C22F8"/>
    <w:rsid w:val="000C2362"/>
    <w:rsid w:val="000C236B"/>
    <w:rsid w:val="000C236F"/>
    <w:rsid w:val="000C23F6"/>
    <w:rsid w:val="000C2579"/>
    <w:rsid w:val="000C2613"/>
    <w:rsid w:val="000C2978"/>
    <w:rsid w:val="000C29C3"/>
    <w:rsid w:val="000C2A8D"/>
    <w:rsid w:val="000C2AF9"/>
    <w:rsid w:val="000C2B30"/>
    <w:rsid w:val="000C2BBB"/>
    <w:rsid w:val="000C2C24"/>
    <w:rsid w:val="000C2C36"/>
    <w:rsid w:val="000C2C81"/>
    <w:rsid w:val="000C2DED"/>
    <w:rsid w:val="000C3041"/>
    <w:rsid w:val="000C30AF"/>
    <w:rsid w:val="000C30DA"/>
    <w:rsid w:val="000C3142"/>
    <w:rsid w:val="000C31B4"/>
    <w:rsid w:val="000C31C4"/>
    <w:rsid w:val="000C3269"/>
    <w:rsid w:val="000C367C"/>
    <w:rsid w:val="000C36A3"/>
    <w:rsid w:val="000C36BB"/>
    <w:rsid w:val="000C3815"/>
    <w:rsid w:val="000C3A12"/>
    <w:rsid w:val="000C3A3D"/>
    <w:rsid w:val="000C3AA1"/>
    <w:rsid w:val="000C3B35"/>
    <w:rsid w:val="000C3B8C"/>
    <w:rsid w:val="000C3B92"/>
    <w:rsid w:val="000C3C1F"/>
    <w:rsid w:val="000C3C7A"/>
    <w:rsid w:val="000C3D85"/>
    <w:rsid w:val="000C3EA7"/>
    <w:rsid w:val="000C3F00"/>
    <w:rsid w:val="000C3F5B"/>
    <w:rsid w:val="000C4082"/>
    <w:rsid w:val="000C4085"/>
    <w:rsid w:val="000C4164"/>
    <w:rsid w:val="000C4170"/>
    <w:rsid w:val="000C4609"/>
    <w:rsid w:val="000C4770"/>
    <w:rsid w:val="000C499F"/>
    <w:rsid w:val="000C4A91"/>
    <w:rsid w:val="000C4AD0"/>
    <w:rsid w:val="000C4C09"/>
    <w:rsid w:val="000C4C5D"/>
    <w:rsid w:val="000C4D72"/>
    <w:rsid w:val="000C4DC4"/>
    <w:rsid w:val="000C4DDA"/>
    <w:rsid w:val="000C4EF3"/>
    <w:rsid w:val="000C4F0F"/>
    <w:rsid w:val="000C4F87"/>
    <w:rsid w:val="000C514D"/>
    <w:rsid w:val="000C528D"/>
    <w:rsid w:val="000C5546"/>
    <w:rsid w:val="000C555E"/>
    <w:rsid w:val="000C5643"/>
    <w:rsid w:val="000C5678"/>
    <w:rsid w:val="000C56DA"/>
    <w:rsid w:val="000C57E3"/>
    <w:rsid w:val="000C585B"/>
    <w:rsid w:val="000C5874"/>
    <w:rsid w:val="000C5933"/>
    <w:rsid w:val="000C598F"/>
    <w:rsid w:val="000C59A3"/>
    <w:rsid w:val="000C5A31"/>
    <w:rsid w:val="000C5A81"/>
    <w:rsid w:val="000C5B6B"/>
    <w:rsid w:val="000C5B85"/>
    <w:rsid w:val="000C5CD4"/>
    <w:rsid w:val="000C5E05"/>
    <w:rsid w:val="000C5F80"/>
    <w:rsid w:val="000C60AB"/>
    <w:rsid w:val="000C60BA"/>
    <w:rsid w:val="000C60C9"/>
    <w:rsid w:val="000C62D4"/>
    <w:rsid w:val="000C63CE"/>
    <w:rsid w:val="000C6609"/>
    <w:rsid w:val="000C6675"/>
    <w:rsid w:val="000C676A"/>
    <w:rsid w:val="000C6772"/>
    <w:rsid w:val="000C6948"/>
    <w:rsid w:val="000C694E"/>
    <w:rsid w:val="000C69DB"/>
    <w:rsid w:val="000C69ED"/>
    <w:rsid w:val="000C6A15"/>
    <w:rsid w:val="000C6AA7"/>
    <w:rsid w:val="000C6BAE"/>
    <w:rsid w:val="000C6C32"/>
    <w:rsid w:val="000C6C3D"/>
    <w:rsid w:val="000C6C78"/>
    <w:rsid w:val="000C6D15"/>
    <w:rsid w:val="000C6E4F"/>
    <w:rsid w:val="000C6EBF"/>
    <w:rsid w:val="000C6EC7"/>
    <w:rsid w:val="000C7103"/>
    <w:rsid w:val="000C7131"/>
    <w:rsid w:val="000C7309"/>
    <w:rsid w:val="000C7374"/>
    <w:rsid w:val="000C73C8"/>
    <w:rsid w:val="000C7405"/>
    <w:rsid w:val="000C7435"/>
    <w:rsid w:val="000C7479"/>
    <w:rsid w:val="000C74B3"/>
    <w:rsid w:val="000C74F8"/>
    <w:rsid w:val="000C7574"/>
    <w:rsid w:val="000C757C"/>
    <w:rsid w:val="000C758B"/>
    <w:rsid w:val="000C799E"/>
    <w:rsid w:val="000C79E2"/>
    <w:rsid w:val="000C7A7C"/>
    <w:rsid w:val="000C7AD2"/>
    <w:rsid w:val="000C7AE2"/>
    <w:rsid w:val="000C7B44"/>
    <w:rsid w:val="000C7C8C"/>
    <w:rsid w:val="000C7D35"/>
    <w:rsid w:val="000C7DD2"/>
    <w:rsid w:val="000C7E69"/>
    <w:rsid w:val="000C7F62"/>
    <w:rsid w:val="000D0037"/>
    <w:rsid w:val="000D0154"/>
    <w:rsid w:val="000D0174"/>
    <w:rsid w:val="000D0232"/>
    <w:rsid w:val="000D06C0"/>
    <w:rsid w:val="000D073E"/>
    <w:rsid w:val="000D0741"/>
    <w:rsid w:val="000D0868"/>
    <w:rsid w:val="000D08E0"/>
    <w:rsid w:val="000D098D"/>
    <w:rsid w:val="000D09E8"/>
    <w:rsid w:val="000D0A11"/>
    <w:rsid w:val="000D0AAA"/>
    <w:rsid w:val="000D0C04"/>
    <w:rsid w:val="000D0C0A"/>
    <w:rsid w:val="000D0E22"/>
    <w:rsid w:val="000D0EC4"/>
    <w:rsid w:val="000D0FA4"/>
    <w:rsid w:val="000D103C"/>
    <w:rsid w:val="000D10C7"/>
    <w:rsid w:val="000D10F6"/>
    <w:rsid w:val="000D10FE"/>
    <w:rsid w:val="000D1171"/>
    <w:rsid w:val="000D12B8"/>
    <w:rsid w:val="000D12DE"/>
    <w:rsid w:val="000D12EA"/>
    <w:rsid w:val="000D14EA"/>
    <w:rsid w:val="000D1574"/>
    <w:rsid w:val="000D1772"/>
    <w:rsid w:val="000D183F"/>
    <w:rsid w:val="000D1A4C"/>
    <w:rsid w:val="000D1B3C"/>
    <w:rsid w:val="000D1BAD"/>
    <w:rsid w:val="000D1CA3"/>
    <w:rsid w:val="000D1CAA"/>
    <w:rsid w:val="000D1CDB"/>
    <w:rsid w:val="000D1F63"/>
    <w:rsid w:val="000D1FB2"/>
    <w:rsid w:val="000D202E"/>
    <w:rsid w:val="000D216C"/>
    <w:rsid w:val="000D2231"/>
    <w:rsid w:val="000D249F"/>
    <w:rsid w:val="000D2670"/>
    <w:rsid w:val="000D2954"/>
    <w:rsid w:val="000D2A15"/>
    <w:rsid w:val="000D2BEF"/>
    <w:rsid w:val="000D2D37"/>
    <w:rsid w:val="000D2E0F"/>
    <w:rsid w:val="000D2E91"/>
    <w:rsid w:val="000D2FA3"/>
    <w:rsid w:val="000D30CA"/>
    <w:rsid w:val="000D30FA"/>
    <w:rsid w:val="000D31FE"/>
    <w:rsid w:val="000D3403"/>
    <w:rsid w:val="000D343C"/>
    <w:rsid w:val="000D344E"/>
    <w:rsid w:val="000D34FF"/>
    <w:rsid w:val="000D3687"/>
    <w:rsid w:val="000D3968"/>
    <w:rsid w:val="000D3A2F"/>
    <w:rsid w:val="000D3A9D"/>
    <w:rsid w:val="000D3B21"/>
    <w:rsid w:val="000D3C6E"/>
    <w:rsid w:val="000D3C76"/>
    <w:rsid w:val="000D3CC0"/>
    <w:rsid w:val="000D3F2D"/>
    <w:rsid w:val="000D40B9"/>
    <w:rsid w:val="000D41B0"/>
    <w:rsid w:val="000D41D6"/>
    <w:rsid w:val="000D4203"/>
    <w:rsid w:val="000D428C"/>
    <w:rsid w:val="000D42F5"/>
    <w:rsid w:val="000D4335"/>
    <w:rsid w:val="000D4346"/>
    <w:rsid w:val="000D44C5"/>
    <w:rsid w:val="000D452C"/>
    <w:rsid w:val="000D453D"/>
    <w:rsid w:val="000D4587"/>
    <w:rsid w:val="000D48C0"/>
    <w:rsid w:val="000D4941"/>
    <w:rsid w:val="000D4A7B"/>
    <w:rsid w:val="000D4BE3"/>
    <w:rsid w:val="000D4C10"/>
    <w:rsid w:val="000D4C19"/>
    <w:rsid w:val="000D4CE3"/>
    <w:rsid w:val="000D4D5A"/>
    <w:rsid w:val="000D4D64"/>
    <w:rsid w:val="000D4E70"/>
    <w:rsid w:val="000D50F1"/>
    <w:rsid w:val="000D5169"/>
    <w:rsid w:val="000D52DB"/>
    <w:rsid w:val="000D5318"/>
    <w:rsid w:val="000D5345"/>
    <w:rsid w:val="000D535D"/>
    <w:rsid w:val="000D536A"/>
    <w:rsid w:val="000D5484"/>
    <w:rsid w:val="000D54BB"/>
    <w:rsid w:val="000D5667"/>
    <w:rsid w:val="000D56FA"/>
    <w:rsid w:val="000D5728"/>
    <w:rsid w:val="000D57C2"/>
    <w:rsid w:val="000D57CC"/>
    <w:rsid w:val="000D57E3"/>
    <w:rsid w:val="000D5870"/>
    <w:rsid w:val="000D599A"/>
    <w:rsid w:val="000D5C4C"/>
    <w:rsid w:val="000D5CB9"/>
    <w:rsid w:val="000D5CC9"/>
    <w:rsid w:val="000D5D9B"/>
    <w:rsid w:val="000D5DB2"/>
    <w:rsid w:val="000D5E0F"/>
    <w:rsid w:val="000D5E6D"/>
    <w:rsid w:val="000D5F09"/>
    <w:rsid w:val="000D5F1E"/>
    <w:rsid w:val="000D609C"/>
    <w:rsid w:val="000D618E"/>
    <w:rsid w:val="000D631C"/>
    <w:rsid w:val="000D63FB"/>
    <w:rsid w:val="000D6543"/>
    <w:rsid w:val="000D662C"/>
    <w:rsid w:val="000D66EE"/>
    <w:rsid w:val="000D684D"/>
    <w:rsid w:val="000D68E4"/>
    <w:rsid w:val="000D690E"/>
    <w:rsid w:val="000D69B1"/>
    <w:rsid w:val="000D69D3"/>
    <w:rsid w:val="000D69E7"/>
    <w:rsid w:val="000D6A0D"/>
    <w:rsid w:val="000D6A35"/>
    <w:rsid w:val="000D6A3A"/>
    <w:rsid w:val="000D6B87"/>
    <w:rsid w:val="000D6B98"/>
    <w:rsid w:val="000D6D1D"/>
    <w:rsid w:val="000D6D8D"/>
    <w:rsid w:val="000D6E6D"/>
    <w:rsid w:val="000D6F53"/>
    <w:rsid w:val="000D70F8"/>
    <w:rsid w:val="000D7106"/>
    <w:rsid w:val="000D7289"/>
    <w:rsid w:val="000D7316"/>
    <w:rsid w:val="000D733B"/>
    <w:rsid w:val="000D735D"/>
    <w:rsid w:val="000D7367"/>
    <w:rsid w:val="000D75B7"/>
    <w:rsid w:val="000D7680"/>
    <w:rsid w:val="000D76BD"/>
    <w:rsid w:val="000D770D"/>
    <w:rsid w:val="000D7756"/>
    <w:rsid w:val="000D7801"/>
    <w:rsid w:val="000D7951"/>
    <w:rsid w:val="000D79A9"/>
    <w:rsid w:val="000D7A4A"/>
    <w:rsid w:val="000D7B25"/>
    <w:rsid w:val="000D7B89"/>
    <w:rsid w:val="000D7C70"/>
    <w:rsid w:val="000D7D9E"/>
    <w:rsid w:val="000D7E10"/>
    <w:rsid w:val="000E002F"/>
    <w:rsid w:val="000E007D"/>
    <w:rsid w:val="000E0151"/>
    <w:rsid w:val="000E026A"/>
    <w:rsid w:val="000E02C0"/>
    <w:rsid w:val="000E02F6"/>
    <w:rsid w:val="000E0334"/>
    <w:rsid w:val="000E0449"/>
    <w:rsid w:val="000E0505"/>
    <w:rsid w:val="000E0519"/>
    <w:rsid w:val="000E0524"/>
    <w:rsid w:val="000E05EF"/>
    <w:rsid w:val="000E0617"/>
    <w:rsid w:val="000E0723"/>
    <w:rsid w:val="000E087B"/>
    <w:rsid w:val="000E0953"/>
    <w:rsid w:val="000E0B19"/>
    <w:rsid w:val="000E0BAC"/>
    <w:rsid w:val="000E0BD7"/>
    <w:rsid w:val="000E0C75"/>
    <w:rsid w:val="000E0CE6"/>
    <w:rsid w:val="000E0D37"/>
    <w:rsid w:val="000E0E8D"/>
    <w:rsid w:val="000E0F0B"/>
    <w:rsid w:val="000E0FC3"/>
    <w:rsid w:val="000E0FEA"/>
    <w:rsid w:val="000E10CC"/>
    <w:rsid w:val="000E10E9"/>
    <w:rsid w:val="000E1231"/>
    <w:rsid w:val="000E1255"/>
    <w:rsid w:val="000E1351"/>
    <w:rsid w:val="000E143A"/>
    <w:rsid w:val="000E15AA"/>
    <w:rsid w:val="000E15D9"/>
    <w:rsid w:val="000E15EC"/>
    <w:rsid w:val="000E1694"/>
    <w:rsid w:val="000E1741"/>
    <w:rsid w:val="000E1752"/>
    <w:rsid w:val="000E1860"/>
    <w:rsid w:val="000E18EC"/>
    <w:rsid w:val="000E195B"/>
    <w:rsid w:val="000E1A68"/>
    <w:rsid w:val="000E1B27"/>
    <w:rsid w:val="000E1B56"/>
    <w:rsid w:val="000E1BBF"/>
    <w:rsid w:val="000E1CE0"/>
    <w:rsid w:val="000E1DCA"/>
    <w:rsid w:val="000E1E64"/>
    <w:rsid w:val="000E1FCD"/>
    <w:rsid w:val="000E200F"/>
    <w:rsid w:val="000E2090"/>
    <w:rsid w:val="000E232F"/>
    <w:rsid w:val="000E24B7"/>
    <w:rsid w:val="000E25F7"/>
    <w:rsid w:val="000E26A9"/>
    <w:rsid w:val="000E26E7"/>
    <w:rsid w:val="000E2827"/>
    <w:rsid w:val="000E2ACA"/>
    <w:rsid w:val="000E2D24"/>
    <w:rsid w:val="000E2F0E"/>
    <w:rsid w:val="000E2F20"/>
    <w:rsid w:val="000E2FF6"/>
    <w:rsid w:val="000E3097"/>
    <w:rsid w:val="000E3118"/>
    <w:rsid w:val="000E318C"/>
    <w:rsid w:val="000E3294"/>
    <w:rsid w:val="000E32F3"/>
    <w:rsid w:val="000E3346"/>
    <w:rsid w:val="000E3585"/>
    <w:rsid w:val="000E363A"/>
    <w:rsid w:val="000E368B"/>
    <w:rsid w:val="000E3701"/>
    <w:rsid w:val="000E383B"/>
    <w:rsid w:val="000E38BE"/>
    <w:rsid w:val="000E38F6"/>
    <w:rsid w:val="000E395A"/>
    <w:rsid w:val="000E3A1D"/>
    <w:rsid w:val="000E3A6E"/>
    <w:rsid w:val="000E3B01"/>
    <w:rsid w:val="000E3B78"/>
    <w:rsid w:val="000E3C27"/>
    <w:rsid w:val="000E3C81"/>
    <w:rsid w:val="000E3D2D"/>
    <w:rsid w:val="000E3D31"/>
    <w:rsid w:val="000E3DA2"/>
    <w:rsid w:val="000E3EA8"/>
    <w:rsid w:val="000E3F47"/>
    <w:rsid w:val="000E3F65"/>
    <w:rsid w:val="000E4057"/>
    <w:rsid w:val="000E40F2"/>
    <w:rsid w:val="000E4110"/>
    <w:rsid w:val="000E4147"/>
    <w:rsid w:val="000E4160"/>
    <w:rsid w:val="000E4165"/>
    <w:rsid w:val="000E41BC"/>
    <w:rsid w:val="000E41E6"/>
    <w:rsid w:val="000E42AB"/>
    <w:rsid w:val="000E42B2"/>
    <w:rsid w:val="000E450C"/>
    <w:rsid w:val="000E4541"/>
    <w:rsid w:val="000E45A9"/>
    <w:rsid w:val="000E45D8"/>
    <w:rsid w:val="000E4617"/>
    <w:rsid w:val="000E4630"/>
    <w:rsid w:val="000E4788"/>
    <w:rsid w:val="000E47AF"/>
    <w:rsid w:val="000E4840"/>
    <w:rsid w:val="000E49EA"/>
    <w:rsid w:val="000E49FA"/>
    <w:rsid w:val="000E4AA1"/>
    <w:rsid w:val="000E4B16"/>
    <w:rsid w:val="000E4BD9"/>
    <w:rsid w:val="000E4C5B"/>
    <w:rsid w:val="000E4CBB"/>
    <w:rsid w:val="000E4CDF"/>
    <w:rsid w:val="000E4F53"/>
    <w:rsid w:val="000E4F60"/>
    <w:rsid w:val="000E4F79"/>
    <w:rsid w:val="000E50B8"/>
    <w:rsid w:val="000E50DD"/>
    <w:rsid w:val="000E51E4"/>
    <w:rsid w:val="000E521E"/>
    <w:rsid w:val="000E54C7"/>
    <w:rsid w:val="000E5508"/>
    <w:rsid w:val="000E553B"/>
    <w:rsid w:val="000E5751"/>
    <w:rsid w:val="000E579A"/>
    <w:rsid w:val="000E58C3"/>
    <w:rsid w:val="000E5980"/>
    <w:rsid w:val="000E5A5B"/>
    <w:rsid w:val="000E5A5F"/>
    <w:rsid w:val="000E5B1C"/>
    <w:rsid w:val="000E5B2C"/>
    <w:rsid w:val="000E5B4C"/>
    <w:rsid w:val="000E5B9C"/>
    <w:rsid w:val="000E5D9D"/>
    <w:rsid w:val="000E5F15"/>
    <w:rsid w:val="000E5F88"/>
    <w:rsid w:val="000E6227"/>
    <w:rsid w:val="000E63DB"/>
    <w:rsid w:val="000E6443"/>
    <w:rsid w:val="000E6486"/>
    <w:rsid w:val="000E64DA"/>
    <w:rsid w:val="000E652A"/>
    <w:rsid w:val="000E66DD"/>
    <w:rsid w:val="000E6781"/>
    <w:rsid w:val="000E695C"/>
    <w:rsid w:val="000E6980"/>
    <w:rsid w:val="000E6A95"/>
    <w:rsid w:val="000E6B67"/>
    <w:rsid w:val="000E6B74"/>
    <w:rsid w:val="000E6B79"/>
    <w:rsid w:val="000E6C19"/>
    <w:rsid w:val="000E6C1D"/>
    <w:rsid w:val="000E6D98"/>
    <w:rsid w:val="000E6DB2"/>
    <w:rsid w:val="000E6E82"/>
    <w:rsid w:val="000E6EC6"/>
    <w:rsid w:val="000E6EC9"/>
    <w:rsid w:val="000E6EFF"/>
    <w:rsid w:val="000E6FC3"/>
    <w:rsid w:val="000E7089"/>
    <w:rsid w:val="000E70EA"/>
    <w:rsid w:val="000E7606"/>
    <w:rsid w:val="000E76E0"/>
    <w:rsid w:val="000E7722"/>
    <w:rsid w:val="000E78D5"/>
    <w:rsid w:val="000E7925"/>
    <w:rsid w:val="000E7ACC"/>
    <w:rsid w:val="000E7B19"/>
    <w:rsid w:val="000E7C33"/>
    <w:rsid w:val="000E7CF0"/>
    <w:rsid w:val="000E7E0C"/>
    <w:rsid w:val="000E7EE8"/>
    <w:rsid w:val="000E7FEA"/>
    <w:rsid w:val="000F01EF"/>
    <w:rsid w:val="000F02A9"/>
    <w:rsid w:val="000F0387"/>
    <w:rsid w:val="000F0408"/>
    <w:rsid w:val="000F0433"/>
    <w:rsid w:val="000F04A3"/>
    <w:rsid w:val="000F0580"/>
    <w:rsid w:val="000F05AD"/>
    <w:rsid w:val="000F05B7"/>
    <w:rsid w:val="000F0614"/>
    <w:rsid w:val="000F077E"/>
    <w:rsid w:val="000F0821"/>
    <w:rsid w:val="000F08C2"/>
    <w:rsid w:val="000F0948"/>
    <w:rsid w:val="000F0AD8"/>
    <w:rsid w:val="000F0B0B"/>
    <w:rsid w:val="000F0B75"/>
    <w:rsid w:val="000F0D7C"/>
    <w:rsid w:val="000F0EAE"/>
    <w:rsid w:val="000F0F4B"/>
    <w:rsid w:val="000F0FC0"/>
    <w:rsid w:val="000F0FD8"/>
    <w:rsid w:val="000F1020"/>
    <w:rsid w:val="000F1084"/>
    <w:rsid w:val="000F115F"/>
    <w:rsid w:val="000F11D2"/>
    <w:rsid w:val="000F15B2"/>
    <w:rsid w:val="000F1646"/>
    <w:rsid w:val="000F1796"/>
    <w:rsid w:val="000F1C20"/>
    <w:rsid w:val="000F1C38"/>
    <w:rsid w:val="000F1C56"/>
    <w:rsid w:val="000F1C92"/>
    <w:rsid w:val="000F1D43"/>
    <w:rsid w:val="000F1E51"/>
    <w:rsid w:val="000F1E58"/>
    <w:rsid w:val="000F1EAB"/>
    <w:rsid w:val="000F21FB"/>
    <w:rsid w:val="000F25D0"/>
    <w:rsid w:val="000F274E"/>
    <w:rsid w:val="000F2779"/>
    <w:rsid w:val="000F281C"/>
    <w:rsid w:val="000F2825"/>
    <w:rsid w:val="000F2971"/>
    <w:rsid w:val="000F2A01"/>
    <w:rsid w:val="000F2B21"/>
    <w:rsid w:val="000F2CDA"/>
    <w:rsid w:val="000F2EC3"/>
    <w:rsid w:val="000F2FC1"/>
    <w:rsid w:val="000F2FDC"/>
    <w:rsid w:val="000F30CD"/>
    <w:rsid w:val="000F3166"/>
    <w:rsid w:val="000F3180"/>
    <w:rsid w:val="000F324C"/>
    <w:rsid w:val="000F3338"/>
    <w:rsid w:val="000F351E"/>
    <w:rsid w:val="000F357A"/>
    <w:rsid w:val="000F35B2"/>
    <w:rsid w:val="000F371A"/>
    <w:rsid w:val="000F3766"/>
    <w:rsid w:val="000F3842"/>
    <w:rsid w:val="000F3865"/>
    <w:rsid w:val="000F38BD"/>
    <w:rsid w:val="000F3B26"/>
    <w:rsid w:val="000F3B33"/>
    <w:rsid w:val="000F3B5C"/>
    <w:rsid w:val="000F3BF6"/>
    <w:rsid w:val="000F3C01"/>
    <w:rsid w:val="000F3C03"/>
    <w:rsid w:val="000F3C81"/>
    <w:rsid w:val="000F3CB5"/>
    <w:rsid w:val="000F3CDD"/>
    <w:rsid w:val="000F3EF1"/>
    <w:rsid w:val="000F40D0"/>
    <w:rsid w:val="000F41D2"/>
    <w:rsid w:val="000F4201"/>
    <w:rsid w:val="000F4463"/>
    <w:rsid w:val="000F4570"/>
    <w:rsid w:val="000F460B"/>
    <w:rsid w:val="000F4680"/>
    <w:rsid w:val="000F4772"/>
    <w:rsid w:val="000F47E3"/>
    <w:rsid w:val="000F480F"/>
    <w:rsid w:val="000F4946"/>
    <w:rsid w:val="000F4A4A"/>
    <w:rsid w:val="000F4B6D"/>
    <w:rsid w:val="000F4C1B"/>
    <w:rsid w:val="000F4C2F"/>
    <w:rsid w:val="000F4CB9"/>
    <w:rsid w:val="000F4CBE"/>
    <w:rsid w:val="000F4CDB"/>
    <w:rsid w:val="000F4D69"/>
    <w:rsid w:val="000F4DB4"/>
    <w:rsid w:val="000F4E86"/>
    <w:rsid w:val="000F4FE8"/>
    <w:rsid w:val="000F5089"/>
    <w:rsid w:val="000F5102"/>
    <w:rsid w:val="000F5199"/>
    <w:rsid w:val="000F52A3"/>
    <w:rsid w:val="000F52BD"/>
    <w:rsid w:val="000F5326"/>
    <w:rsid w:val="000F5348"/>
    <w:rsid w:val="000F552E"/>
    <w:rsid w:val="000F5633"/>
    <w:rsid w:val="000F574A"/>
    <w:rsid w:val="000F57F9"/>
    <w:rsid w:val="000F58C8"/>
    <w:rsid w:val="000F5964"/>
    <w:rsid w:val="000F5A34"/>
    <w:rsid w:val="000F5E9D"/>
    <w:rsid w:val="000F60B7"/>
    <w:rsid w:val="000F620C"/>
    <w:rsid w:val="000F620F"/>
    <w:rsid w:val="000F6339"/>
    <w:rsid w:val="000F63C7"/>
    <w:rsid w:val="000F645F"/>
    <w:rsid w:val="000F64AD"/>
    <w:rsid w:val="000F650C"/>
    <w:rsid w:val="000F6536"/>
    <w:rsid w:val="000F654F"/>
    <w:rsid w:val="000F65A8"/>
    <w:rsid w:val="000F6611"/>
    <w:rsid w:val="000F6688"/>
    <w:rsid w:val="000F6819"/>
    <w:rsid w:val="000F68C7"/>
    <w:rsid w:val="000F691F"/>
    <w:rsid w:val="000F6926"/>
    <w:rsid w:val="000F6933"/>
    <w:rsid w:val="000F69B0"/>
    <w:rsid w:val="000F69C3"/>
    <w:rsid w:val="000F69F7"/>
    <w:rsid w:val="000F6AA1"/>
    <w:rsid w:val="000F6AB5"/>
    <w:rsid w:val="000F6BF1"/>
    <w:rsid w:val="000F6D7B"/>
    <w:rsid w:val="000F6D86"/>
    <w:rsid w:val="000F6E82"/>
    <w:rsid w:val="000F6EB5"/>
    <w:rsid w:val="000F6F17"/>
    <w:rsid w:val="000F6FD5"/>
    <w:rsid w:val="000F716E"/>
    <w:rsid w:val="000F71B6"/>
    <w:rsid w:val="000F7286"/>
    <w:rsid w:val="000F7367"/>
    <w:rsid w:val="000F7652"/>
    <w:rsid w:val="000F767A"/>
    <w:rsid w:val="000F7762"/>
    <w:rsid w:val="000F784A"/>
    <w:rsid w:val="000F796F"/>
    <w:rsid w:val="000F799E"/>
    <w:rsid w:val="000F7A68"/>
    <w:rsid w:val="000F7A76"/>
    <w:rsid w:val="000F7ACC"/>
    <w:rsid w:val="000F7B62"/>
    <w:rsid w:val="000F7C59"/>
    <w:rsid w:val="000F7CAF"/>
    <w:rsid w:val="000F7CB3"/>
    <w:rsid w:val="000F7CE0"/>
    <w:rsid w:val="000F7DC5"/>
    <w:rsid w:val="000F7E04"/>
    <w:rsid w:val="000F7EE8"/>
    <w:rsid w:val="000F7F05"/>
    <w:rsid w:val="000F7F91"/>
    <w:rsid w:val="000FCA7B"/>
    <w:rsid w:val="00100063"/>
    <w:rsid w:val="00100142"/>
    <w:rsid w:val="00100248"/>
    <w:rsid w:val="001002D2"/>
    <w:rsid w:val="00100306"/>
    <w:rsid w:val="001003CB"/>
    <w:rsid w:val="001003F0"/>
    <w:rsid w:val="00100450"/>
    <w:rsid w:val="001004CA"/>
    <w:rsid w:val="0010057E"/>
    <w:rsid w:val="00100584"/>
    <w:rsid w:val="001005D9"/>
    <w:rsid w:val="00100651"/>
    <w:rsid w:val="001006DA"/>
    <w:rsid w:val="00100704"/>
    <w:rsid w:val="00100814"/>
    <w:rsid w:val="0010088F"/>
    <w:rsid w:val="001009D8"/>
    <w:rsid w:val="00100B23"/>
    <w:rsid w:val="00100B8B"/>
    <w:rsid w:val="00100C39"/>
    <w:rsid w:val="00100C8F"/>
    <w:rsid w:val="00100D45"/>
    <w:rsid w:val="00100D78"/>
    <w:rsid w:val="00100E1D"/>
    <w:rsid w:val="00100ECB"/>
    <w:rsid w:val="00100F5B"/>
    <w:rsid w:val="0010104F"/>
    <w:rsid w:val="0010106F"/>
    <w:rsid w:val="00101152"/>
    <w:rsid w:val="001012AF"/>
    <w:rsid w:val="00101502"/>
    <w:rsid w:val="00101509"/>
    <w:rsid w:val="00101580"/>
    <w:rsid w:val="0010162E"/>
    <w:rsid w:val="00101651"/>
    <w:rsid w:val="00101657"/>
    <w:rsid w:val="001019DA"/>
    <w:rsid w:val="00101A1B"/>
    <w:rsid w:val="00101AA6"/>
    <w:rsid w:val="00101ABD"/>
    <w:rsid w:val="00101AD4"/>
    <w:rsid w:val="00101AEA"/>
    <w:rsid w:val="00101B3C"/>
    <w:rsid w:val="00101B7F"/>
    <w:rsid w:val="00101D3B"/>
    <w:rsid w:val="00101D46"/>
    <w:rsid w:val="00101E35"/>
    <w:rsid w:val="00101E72"/>
    <w:rsid w:val="00101EFE"/>
    <w:rsid w:val="00101F01"/>
    <w:rsid w:val="00102149"/>
    <w:rsid w:val="00102253"/>
    <w:rsid w:val="00102307"/>
    <w:rsid w:val="0010230D"/>
    <w:rsid w:val="001025BB"/>
    <w:rsid w:val="0010274A"/>
    <w:rsid w:val="00102775"/>
    <w:rsid w:val="001028C4"/>
    <w:rsid w:val="00102A85"/>
    <w:rsid w:val="00102AA3"/>
    <w:rsid w:val="00102ACF"/>
    <w:rsid w:val="00102CC8"/>
    <w:rsid w:val="00102DD0"/>
    <w:rsid w:val="00102E32"/>
    <w:rsid w:val="001031FA"/>
    <w:rsid w:val="001033A6"/>
    <w:rsid w:val="001033AC"/>
    <w:rsid w:val="001033C7"/>
    <w:rsid w:val="0010356A"/>
    <w:rsid w:val="001036DC"/>
    <w:rsid w:val="00103703"/>
    <w:rsid w:val="00103776"/>
    <w:rsid w:val="001037AF"/>
    <w:rsid w:val="001037F7"/>
    <w:rsid w:val="001037FF"/>
    <w:rsid w:val="0010380E"/>
    <w:rsid w:val="0010396A"/>
    <w:rsid w:val="001039BF"/>
    <w:rsid w:val="00103A7A"/>
    <w:rsid w:val="00103D1A"/>
    <w:rsid w:val="00103D31"/>
    <w:rsid w:val="00103DEF"/>
    <w:rsid w:val="00103E49"/>
    <w:rsid w:val="00103F13"/>
    <w:rsid w:val="00103F44"/>
    <w:rsid w:val="00103F5E"/>
    <w:rsid w:val="0010403B"/>
    <w:rsid w:val="00104065"/>
    <w:rsid w:val="0010416D"/>
    <w:rsid w:val="001041FA"/>
    <w:rsid w:val="00104297"/>
    <w:rsid w:val="0010435C"/>
    <w:rsid w:val="001043C5"/>
    <w:rsid w:val="001043FE"/>
    <w:rsid w:val="00104405"/>
    <w:rsid w:val="00104492"/>
    <w:rsid w:val="00104513"/>
    <w:rsid w:val="001045CD"/>
    <w:rsid w:val="001045FA"/>
    <w:rsid w:val="0010467A"/>
    <w:rsid w:val="0010473C"/>
    <w:rsid w:val="001047E9"/>
    <w:rsid w:val="00104884"/>
    <w:rsid w:val="0010490D"/>
    <w:rsid w:val="00104A31"/>
    <w:rsid w:val="00104A5F"/>
    <w:rsid w:val="00104AAB"/>
    <w:rsid w:val="00104AC6"/>
    <w:rsid w:val="00104BBD"/>
    <w:rsid w:val="00104C72"/>
    <w:rsid w:val="00104C96"/>
    <w:rsid w:val="00104D35"/>
    <w:rsid w:val="00104DB0"/>
    <w:rsid w:val="00104E95"/>
    <w:rsid w:val="00104EE0"/>
    <w:rsid w:val="00105020"/>
    <w:rsid w:val="00105032"/>
    <w:rsid w:val="001050EE"/>
    <w:rsid w:val="001052C2"/>
    <w:rsid w:val="001052E5"/>
    <w:rsid w:val="00105382"/>
    <w:rsid w:val="001054E7"/>
    <w:rsid w:val="00105641"/>
    <w:rsid w:val="00105882"/>
    <w:rsid w:val="001058FE"/>
    <w:rsid w:val="0010596B"/>
    <w:rsid w:val="00105A8E"/>
    <w:rsid w:val="00105B59"/>
    <w:rsid w:val="00105B81"/>
    <w:rsid w:val="00105CBB"/>
    <w:rsid w:val="00105D42"/>
    <w:rsid w:val="00105D8D"/>
    <w:rsid w:val="00105DBA"/>
    <w:rsid w:val="00105E37"/>
    <w:rsid w:val="0010601B"/>
    <w:rsid w:val="00106079"/>
    <w:rsid w:val="001060B5"/>
    <w:rsid w:val="001060FD"/>
    <w:rsid w:val="001061F0"/>
    <w:rsid w:val="00106251"/>
    <w:rsid w:val="0010626A"/>
    <w:rsid w:val="001062D2"/>
    <w:rsid w:val="00106335"/>
    <w:rsid w:val="001063C3"/>
    <w:rsid w:val="0010640F"/>
    <w:rsid w:val="00106472"/>
    <w:rsid w:val="0010649D"/>
    <w:rsid w:val="0010654B"/>
    <w:rsid w:val="0010657A"/>
    <w:rsid w:val="00106670"/>
    <w:rsid w:val="001067A9"/>
    <w:rsid w:val="001067BB"/>
    <w:rsid w:val="00106965"/>
    <w:rsid w:val="0010699D"/>
    <w:rsid w:val="001069C3"/>
    <w:rsid w:val="00106A55"/>
    <w:rsid w:val="00106AC7"/>
    <w:rsid w:val="00106D20"/>
    <w:rsid w:val="00106E76"/>
    <w:rsid w:val="00106F57"/>
    <w:rsid w:val="00106FAE"/>
    <w:rsid w:val="00106FD8"/>
    <w:rsid w:val="00107109"/>
    <w:rsid w:val="0010715A"/>
    <w:rsid w:val="00107318"/>
    <w:rsid w:val="00107405"/>
    <w:rsid w:val="00107452"/>
    <w:rsid w:val="00107529"/>
    <w:rsid w:val="001076A4"/>
    <w:rsid w:val="001077E6"/>
    <w:rsid w:val="001079AD"/>
    <w:rsid w:val="00107B6A"/>
    <w:rsid w:val="00107B6F"/>
    <w:rsid w:val="00107B75"/>
    <w:rsid w:val="00110192"/>
    <w:rsid w:val="0011031C"/>
    <w:rsid w:val="001104EA"/>
    <w:rsid w:val="0011056F"/>
    <w:rsid w:val="001105D7"/>
    <w:rsid w:val="0011060A"/>
    <w:rsid w:val="001106C7"/>
    <w:rsid w:val="001106F1"/>
    <w:rsid w:val="00110720"/>
    <w:rsid w:val="001107A9"/>
    <w:rsid w:val="0011081D"/>
    <w:rsid w:val="001108F3"/>
    <w:rsid w:val="0011094F"/>
    <w:rsid w:val="00110BA9"/>
    <w:rsid w:val="00110C82"/>
    <w:rsid w:val="00110D0C"/>
    <w:rsid w:val="00110E12"/>
    <w:rsid w:val="00110E13"/>
    <w:rsid w:val="00110FF4"/>
    <w:rsid w:val="0011100A"/>
    <w:rsid w:val="00111137"/>
    <w:rsid w:val="001111CB"/>
    <w:rsid w:val="00111218"/>
    <w:rsid w:val="0011124A"/>
    <w:rsid w:val="0011128E"/>
    <w:rsid w:val="001112D8"/>
    <w:rsid w:val="001113A9"/>
    <w:rsid w:val="001113C9"/>
    <w:rsid w:val="001115B2"/>
    <w:rsid w:val="0011163E"/>
    <w:rsid w:val="0011168B"/>
    <w:rsid w:val="0011172A"/>
    <w:rsid w:val="00111791"/>
    <w:rsid w:val="001117D8"/>
    <w:rsid w:val="00111817"/>
    <w:rsid w:val="00111948"/>
    <w:rsid w:val="00111999"/>
    <w:rsid w:val="001119C4"/>
    <w:rsid w:val="00111A22"/>
    <w:rsid w:val="00111AAB"/>
    <w:rsid w:val="00111AEA"/>
    <w:rsid w:val="00111B7D"/>
    <w:rsid w:val="00111BD8"/>
    <w:rsid w:val="00111C1B"/>
    <w:rsid w:val="00111C2A"/>
    <w:rsid w:val="00111D42"/>
    <w:rsid w:val="00111DE7"/>
    <w:rsid w:val="00111E55"/>
    <w:rsid w:val="00111E83"/>
    <w:rsid w:val="00112097"/>
    <w:rsid w:val="0011242F"/>
    <w:rsid w:val="00112449"/>
    <w:rsid w:val="0011246C"/>
    <w:rsid w:val="001124F7"/>
    <w:rsid w:val="001125AE"/>
    <w:rsid w:val="001125E1"/>
    <w:rsid w:val="001126B7"/>
    <w:rsid w:val="0011271C"/>
    <w:rsid w:val="001127F1"/>
    <w:rsid w:val="001128D9"/>
    <w:rsid w:val="00112AA0"/>
    <w:rsid w:val="00112B66"/>
    <w:rsid w:val="00112B8C"/>
    <w:rsid w:val="00112E0B"/>
    <w:rsid w:val="001130E6"/>
    <w:rsid w:val="001132CF"/>
    <w:rsid w:val="00113567"/>
    <w:rsid w:val="00113594"/>
    <w:rsid w:val="00113620"/>
    <w:rsid w:val="00113674"/>
    <w:rsid w:val="001136D9"/>
    <w:rsid w:val="0011371A"/>
    <w:rsid w:val="0011373F"/>
    <w:rsid w:val="00113741"/>
    <w:rsid w:val="0011379F"/>
    <w:rsid w:val="00113804"/>
    <w:rsid w:val="0011386A"/>
    <w:rsid w:val="0011390E"/>
    <w:rsid w:val="001139C6"/>
    <w:rsid w:val="00113A41"/>
    <w:rsid w:val="00113A7D"/>
    <w:rsid w:val="00113BFA"/>
    <w:rsid w:val="00113C3F"/>
    <w:rsid w:val="00113C48"/>
    <w:rsid w:val="00113DD3"/>
    <w:rsid w:val="00113E97"/>
    <w:rsid w:val="00113EC5"/>
    <w:rsid w:val="00113FE7"/>
    <w:rsid w:val="00114069"/>
    <w:rsid w:val="0011418A"/>
    <w:rsid w:val="001141FD"/>
    <w:rsid w:val="001143DA"/>
    <w:rsid w:val="0011441A"/>
    <w:rsid w:val="00114542"/>
    <w:rsid w:val="001145BA"/>
    <w:rsid w:val="0011487A"/>
    <w:rsid w:val="00114976"/>
    <w:rsid w:val="00114989"/>
    <w:rsid w:val="00114D5E"/>
    <w:rsid w:val="00114D99"/>
    <w:rsid w:val="00114E37"/>
    <w:rsid w:val="00114E3C"/>
    <w:rsid w:val="00114E7A"/>
    <w:rsid w:val="00114EC8"/>
    <w:rsid w:val="00114F65"/>
    <w:rsid w:val="001150BF"/>
    <w:rsid w:val="00115150"/>
    <w:rsid w:val="00115285"/>
    <w:rsid w:val="0011529E"/>
    <w:rsid w:val="0011537E"/>
    <w:rsid w:val="001153ED"/>
    <w:rsid w:val="00115445"/>
    <w:rsid w:val="001154A6"/>
    <w:rsid w:val="001154DB"/>
    <w:rsid w:val="00115533"/>
    <w:rsid w:val="0011557E"/>
    <w:rsid w:val="001155BC"/>
    <w:rsid w:val="001156DE"/>
    <w:rsid w:val="001157BF"/>
    <w:rsid w:val="001159EA"/>
    <w:rsid w:val="00115B02"/>
    <w:rsid w:val="00115B9A"/>
    <w:rsid w:val="00115C31"/>
    <w:rsid w:val="00115D0C"/>
    <w:rsid w:val="00115DE6"/>
    <w:rsid w:val="00115F1A"/>
    <w:rsid w:val="001160AD"/>
    <w:rsid w:val="001161B8"/>
    <w:rsid w:val="001162A6"/>
    <w:rsid w:val="00116372"/>
    <w:rsid w:val="00116378"/>
    <w:rsid w:val="0011637E"/>
    <w:rsid w:val="001164BC"/>
    <w:rsid w:val="001165F1"/>
    <w:rsid w:val="001165F6"/>
    <w:rsid w:val="001167F3"/>
    <w:rsid w:val="0011689B"/>
    <w:rsid w:val="00116983"/>
    <w:rsid w:val="001169E3"/>
    <w:rsid w:val="00116B8D"/>
    <w:rsid w:val="00116E3B"/>
    <w:rsid w:val="00116F19"/>
    <w:rsid w:val="00116F53"/>
    <w:rsid w:val="00116F93"/>
    <w:rsid w:val="0011705A"/>
    <w:rsid w:val="00117087"/>
    <w:rsid w:val="001171AA"/>
    <w:rsid w:val="001171DD"/>
    <w:rsid w:val="0011746F"/>
    <w:rsid w:val="00117630"/>
    <w:rsid w:val="0011769A"/>
    <w:rsid w:val="001176A7"/>
    <w:rsid w:val="001177ED"/>
    <w:rsid w:val="00117887"/>
    <w:rsid w:val="00117911"/>
    <w:rsid w:val="00117949"/>
    <w:rsid w:val="00117A39"/>
    <w:rsid w:val="00117AC3"/>
    <w:rsid w:val="00117B57"/>
    <w:rsid w:val="00117BA9"/>
    <w:rsid w:val="00117C10"/>
    <w:rsid w:val="00117E01"/>
    <w:rsid w:val="00117E13"/>
    <w:rsid w:val="00117F36"/>
    <w:rsid w:val="00120006"/>
    <w:rsid w:val="0012007F"/>
    <w:rsid w:val="00120106"/>
    <w:rsid w:val="0012011E"/>
    <w:rsid w:val="00120520"/>
    <w:rsid w:val="00120589"/>
    <w:rsid w:val="001206C0"/>
    <w:rsid w:val="001206C1"/>
    <w:rsid w:val="0012070E"/>
    <w:rsid w:val="001207C3"/>
    <w:rsid w:val="00120859"/>
    <w:rsid w:val="0012091B"/>
    <w:rsid w:val="0012092E"/>
    <w:rsid w:val="001209C5"/>
    <w:rsid w:val="00120A43"/>
    <w:rsid w:val="00120A51"/>
    <w:rsid w:val="00120BEF"/>
    <w:rsid w:val="00120C25"/>
    <w:rsid w:val="00120D2B"/>
    <w:rsid w:val="00120F85"/>
    <w:rsid w:val="00120F90"/>
    <w:rsid w:val="00120FCF"/>
    <w:rsid w:val="0012100B"/>
    <w:rsid w:val="00121016"/>
    <w:rsid w:val="001213DB"/>
    <w:rsid w:val="0012157B"/>
    <w:rsid w:val="0012158F"/>
    <w:rsid w:val="001215F9"/>
    <w:rsid w:val="0012171F"/>
    <w:rsid w:val="001217D9"/>
    <w:rsid w:val="00121815"/>
    <w:rsid w:val="00121891"/>
    <w:rsid w:val="00121969"/>
    <w:rsid w:val="001219A0"/>
    <w:rsid w:val="00121BB0"/>
    <w:rsid w:val="00121C9F"/>
    <w:rsid w:val="00121CC7"/>
    <w:rsid w:val="00121CFB"/>
    <w:rsid w:val="00121EA7"/>
    <w:rsid w:val="00121ED8"/>
    <w:rsid w:val="00121F6C"/>
    <w:rsid w:val="00122022"/>
    <w:rsid w:val="00122108"/>
    <w:rsid w:val="0012212E"/>
    <w:rsid w:val="001221CE"/>
    <w:rsid w:val="001221DA"/>
    <w:rsid w:val="0012228E"/>
    <w:rsid w:val="001222A3"/>
    <w:rsid w:val="00122465"/>
    <w:rsid w:val="00122515"/>
    <w:rsid w:val="001227B8"/>
    <w:rsid w:val="0012286F"/>
    <w:rsid w:val="00122901"/>
    <w:rsid w:val="0012299A"/>
    <w:rsid w:val="00122AB9"/>
    <w:rsid w:val="00122AE8"/>
    <w:rsid w:val="00122CAE"/>
    <w:rsid w:val="00122E1D"/>
    <w:rsid w:val="00122ED3"/>
    <w:rsid w:val="001230BB"/>
    <w:rsid w:val="00123157"/>
    <w:rsid w:val="001231BC"/>
    <w:rsid w:val="0012337E"/>
    <w:rsid w:val="0012338E"/>
    <w:rsid w:val="001233A7"/>
    <w:rsid w:val="001233AD"/>
    <w:rsid w:val="001233B9"/>
    <w:rsid w:val="001234CF"/>
    <w:rsid w:val="001235E0"/>
    <w:rsid w:val="00123636"/>
    <w:rsid w:val="0012366F"/>
    <w:rsid w:val="00123679"/>
    <w:rsid w:val="00123690"/>
    <w:rsid w:val="00123880"/>
    <w:rsid w:val="00123932"/>
    <w:rsid w:val="00123A4C"/>
    <w:rsid w:val="00123A97"/>
    <w:rsid w:val="00123BA9"/>
    <w:rsid w:val="00123BD4"/>
    <w:rsid w:val="00123D6D"/>
    <w:rsid w:val="00123D7A"/>
    <w:rsid w:val="00123DEE"/>
    <w:rsid w:val="00123E97"/>
    <w:rsid w:val="00123EB8"/>
    <w:rsid w:val="00123F44"/>
    <w:rsid w:val="00124272"/>
    <w:rsid w:val="001242AF"/>
    <w:rsid w:val="001243C1"/>
    <w:rsid w:val="0012442C"/>
    <w:rsid w:val="001245DD"/>
    <w:rsid w:val="00124612"/>
    <w:rsid w:val="00124614"/>
    <w:rsid w:val="0012461F"/>
    <w:rsid w:val="001246E9"/>
    <w:rsid w:val="00124716"/>
    <w:rsid w:val="00124730"/>
    <w:rsid w:val="0012495F"/>
    <w:rsid w:val="00124AAA"/>
    <w:rsid w:val="00124B68"/>
    <w:rsid w:val="00124E47"/>
    <w:rsid w:val="00124E71"/>
    <w:rsid w:val="00124F58"/>
    <w:rsid w:val="00124F95"/>
    <w:rsid w:val="00125098"/>
    <w:rsid w:val="001250CB"/>
    <w:rsid w:val="001251F9"/>
    <w:rsid w:val="001252FD"/>
    <w:rsid w:val="00125310"/>
    <w:rsid w:val="001253AC"/>
    <w:rsid w:val="001253D9"/>
    <w:rsid w:val="0012552C"/>
    <w:rsid w:val="00125606"/>
    <w:rsid w:val="00125644"/>
    <w:rsid w:val="001256CA"/>
    <w:rsid w:val="001257D3"/>
    <w:rsid w:val="00125928"/>
    <w:rsid w:val="001259DB"/>
    <w:rsid w:val="00125A33"/>
    <w:rsid w:val="00125A8C"/>
    <w:rsid w:val="00125ACD"/>
    <w:rsid w:val="00125AD3"/>
    <w:rsid w:val="00125AE3"/>
    <w:rsid w:val="00125C33"/>
    <w:rsid w:val="00125EAA"/>
    <w:rsid w:val="00126025"/>
    <w:rsid w:val="0012608E"/>
    <w:rsid w:val="00126100"/>
    <w:rsid w:val="00126111"/>
    <w:rsid w:val="00126232"/>
    <w:rsid w:val="001262BB"/>
    <w:rsid w:val="001262C0"/>
    <w:rsid w:val="001262DF"/>
    <w:rsid w:val="001266B4"/>
    <w:rsid w:val="001266BB"/>
    <w:rsid w:val="001266F7"/>
    <w:rsid w:val="001267A4"/>
    <w:rsid w:val="001268A8"/>
    <w:rsid w:val="00126991"/>
    <w:rsid w:val="001269AC"/>
    <w:rsid w:val="00126B24"/>
    <w:rsid w:val="00126B3D"/>
    <w:rsid w:val="00126B4B"/>
    <w:rsid w:val="00126BF9"/>
    <w:rsid w:val="00126C0D"/>
    <w:rsid w:val="00126C21"/>
    <w:rsid w:val="00126D2C"/>
    <w:rsid w:val="00126D98"/>
    <w:rsid w:val="00126F65"/>
    <w:rsid w:val="00127043"/>
    <w:rsid w:val="00127085"/>
    <w:rsid w:val="001271A5"/>
    <w:rsid w:val="00127309"/>
    <w:rsid w:val="001273B8"/>
    <w:rsid w:val="00127540"/>
    <w:rsid w:val="001275C6"/>
    <w:rsid w:val="0012774D"/>
    <w:rsid w:val="00127848"/>
    <w:rsid w:val="00127A09"/>
    <w:rsid w:val="00127B29"/>
    <w:rsid w:val="00127B8B"/>
    <w:rsid w:val="00127C33"/>
    <w:rsid w:val="00127C57"/>
    <w:rsid w:val="00127CA0"/>
    <w:rsid w:val="00127D6A"/>
    <w:rsid w:val="00127EDB"/>
    <w:rsid w:val="00127F89"/>
    <w:rsid w:val="00127FF3"/>
    <w:rsid w:val="001300D0"/>
    <w:rsid w:val="00130145"/>
    <w:rsid w:val="001302AB"/>
    <w:rsid w:val="001308E7"/>
    <w:rsid w:val="00130925"/>
    <w:rsid w:val="00130996"/>
    <w:rsid w:val="001309E8"/>
    <w:rsid w:val="00130AB6"/>
    <w:rsid w:val="00130C26"/>
    <w:rsid w:val="00130D64"/>
    <w:rsid w:val="00130E13"/>
    <w:rsid w:val="00130E58"/>
    <w:rsid w:val="00130EC1"/>
    <w:rsid w:val="00130F24"/>
    <w:rsid w:val="00130F30"/>
    <w:rsid w:val="00130F56"/>
    <w:rsid w:val="00131249"/>
    <w:rsid w:val="00131336"/>
    <w:rsid w:val="00131416"/>
    <w:rsid w:val="001314AB"/>
    <w:rsid w:val="001314CA"/>
    <w:rsid w:val="00131520"/>
    <w:rsid w:val="0013159C"/>
    <w:rsid w:val="001315C9"/>
    <w:rsid w:val="001315EF"/>
    <w:rsid w:val="00131700"/>
    <w:rsid w:val="0013188E"/>
    <w:rsid w:val="001319BA"/>
    <w:rsid w:val="001319F2"/>
    <w:rsid w:val="00131A1C"/>
    <w:rsid w:val="00131B89"/>
    <w:rsid w:val="00131C04"/>
    <w:rsid w:val="00131C05"/>
    <w:rsid w:val="00131C4B"/>
    <w:rsid w:val="00131CE4"/>
    <w:rsid w:val="00131DE8"/>
    <w:rsid w:val="00131E85"/>
    <w:rsid w:val="00131F70"/>
    <w:rsid w:val="00131FB4"/>
    <w:rsid w:val="00131FB6"/>
    <w:rsid w:val="00132105"/>
    <w:rsid w:val="00132222"/>
    <w:rsid w:val="001322A7"/>
    <w:rsid w:val="001322B8"/>
    <w:rsid w:val="00132383"/>
    <w:rsid w:val="0013249A"/>
    <w:rsid w:val="00132503"/>
    <w:rsid w:val="001325C2"/>
    <w:rsid w:val="00132792"/>
    <w:rsid w:val="001328CF"/>
    <w:rsid w:val="00132909"/>
    <w:rsid w:val="00132A1C"/>
    <w:rsid w:val="00132A8D"/>
    <w:rsid w:val="00132B6D"/>
    <w:rsid w:val="00132D47"/>
    <w:rsid w:val="00132DC7"/>
    <w:rsid w:val="00132E2C"/>
    <w:rsid w:val="0013303D"/>
    <w:rsid w:val="001331A6"/>
    <w:rsid w:val="0013328C"/>
    <w:rsid w:val="001332BF"/>
    <w:rsid w:val="001332CA"/>
    <w:rsid w:val="0013338A"/>
    <w:rsid w:val="001333DC"/>
    <w:rsid w:val="0013346D"/>
    <w:rsid w:val="0013349B"/>
    <w:rsid w:val="0013358E"/>
    <w:rsid w:val="001335A7"/>
    <w:rsid w:val="0013368D"/>
    <w:rsid w:val="0013373E"/>
    <w:rsid w:val="001337F6"/>
    <w:rsid w:val="001339DC"/>
    <w:rsid w:val="00133B26"/>
    <w:rsid w:val="00133B4E"/>
    <w:rsid w:val="00133BD5"/>
    <w:rsid w:val="00133C4F"/>
    <w:rsid w:val="00133CB7"/>
    <w:rsid w:val="00133D52"/>
    <w:rsid w:val="00133DC4"/>
    <w:rsid w:val="00133ED9"/>
    <w:rsid w:val="00134005"/>
    <w:rsid w:val="001341F4"/>
    <w:rsid w:val="00134222"/>
    <w:rsid w:val="00134372"/>
    <w:rsid w:val="001343D9"/>
    <w:rsid w:val="001347CA"/>
    <w:rsid w:val="00134829"/>
    <w:rsid w:val="00134849"/>
    <w:rsid w:val="0013494D"/>
    <w:rsid w:val="00134951"/>
    <w:rsid w:val="00134A82"/>
    <w:rsid w:val="00134AF6"/>
    <w:rsid w:val="00134B22"/>
    <w:rsid w:val="00134BAC"/>
    <w:rsid w:val="00134C2A"/>
    <w:rsid w:val="00134C2F"/>
    <w:rsid w:val="00134C31"/>
    <w:rsid w:val="00134C4F"/>
    <w:rsid w:val="00134CBC"/>
    <w:rsid w:val="00134CF4"/>
    <w:rsid w:val="00134D06"/>
    <w:rsid w:val="00134D4B"/>
    <w:rsid w:val="00134DB6"/>
    <w:rsid w:val="00134E1F"/>
    <w:rsid w:val="00134E24"/>
    <w:rsid w:val="00134EC9"/>
    <w:rsid w:val="00134F4A"/>
    <w:rsid w:val="00135138"/>
    <w:rsid w:val="0013513A"/>
    <w:rsid w:val="0013516E"/>
    <w:rsid w:val="00135302"/>
    <w:rsid w:val="00135385"/>
    <w:rsid w:val="001353A2"/>
    <w:rsid w:val="00135410"/>
    <w:rsid w:val="00135591"/>
    <w:rsid w:val="001356EE"/>
    <w:rsid w:val="00135888"/>
    <w:rsid w:val="00135898"/>
    <w:rsid w:val="001358E8"/>
    <w:rsid w:val="00135AB3"/>
    <w:rsid w:val="00135ABD"/>
    <w:rsid w:val="00135B10"/>
    <w:rsid w:val="00135BC8"/>
    <w:rsid w:val="00135C12"/>
    <w:rsid w:val="00135D17"/>
    <w:rsid w:val="00135DFB"/>
    <w:rsid w:val="001360BB"/>
    <w:rsid w:val="00136332"/>
    <w:rsid w:val="00136334"/>
    <w:rsid w:val="00136352"/>
    <w:rsid w:val="00136384"/>
    <w:rsid w:val="001364D3"/>
    <w:rsid w:val="00136814"/>
    <w:rsid w:val="001369C8"/>
    <w:rsid w:val="00136B2E"/>
    <w:rsid w:val="00136BBC"/>
    <w:rsid w:val="00136D01"/>
    <w:rsid w:val="00136D64"/>
    <w:rsid w:val="00136D65"/>
    <w:rsid w:val="0013707F"/>
    <w:rsid w:val="001371C3"/>
    <w:rsid w:val="00137278"/>
    <w:rsid w:val="0013734A"/>
    <w:rsid w:val="00137381"/>
    <w:rsid w:val="00137445"/>
    <w:rsid w:val="001374BC"/>
    <w:rsid w:val="0013759C"/>
    <w:rsid w:val="001375A2"/>
    <w:rsid w:val="0013760D"/>
    <w:rsid w:val="0013766E"/>
    <w:rsid w:val="00137714"/>
    <w:rsid w:val="00137897"/>
    <w:rsid w:val="001378A4"/>
    <w:rsid w:val="001378CE"/>
    <w:rsid w:val="0013799D"/>
    <w:rsid w:val="001379BE"/>
    <w:rsid w:val="00137A25"/>
    <w:rsid w:val="00137A41"/>
    <w:rsid w:val="00137A53"/>
    <w:rsid w:val="00137A90"/>
    <w:rsid w:val="00137AF7"/>
    <w:rsid w:val="00137B6F"/>
    <w:rsid w:val="00137B90"/>
    <w:rsid w:val="00137BD3"/>
    <w:rsid w:val="00137BED"/>
    <w:rsid w:val="00137C66"/>
    <w:rsid w:val="00137D09"/>
    <w:rsid w:val="00137E24"/>
    <w:rsid w:val="00137F50"/>
    <w:rsid w:val="00137FAE"/>
    <w:rsid w:val="001400FD"/>
    <w:rsid w:val="00140151"/>
    <w:rsid w:val="001401A9"/>
    <w:rsid w:val="001402A8"/>
    <w:rsid w:val="001403DC"/>
    <w:rsid w:val="00140402"/>
    <w:rsid w:val="001404FC"/>
    <w:rsid w:val="001405C4"/>
    <w:rsid w:val="001405FC"/>
    <w:rsid w:val="001406A2"/>
    <w:rsid w:val="001406DE"/>
    <w:rsid w:val="00140761"/>
    <w:rsid w:val="00140765"/>
    <w:rsid w:val="001407E2"/>
    <w:rsid w:val="0014084B"/>
    <w:rsid w:val="001408F4"/>
    <w:rsid w:val="00140A22"/>
    <w:rsid w:val="00140CF3"/>
    <w:rsid w:val="00140D05"/>
    <w:rsid w:val="00140E3F"/>
    <w:rsid w:val="00140E7A"/>
    <w:rsid w:val="00140E86"/>
    <w:rsid w:val="00140EFE"/>
    <w:rsid w:val="00140F7D"/>
    <w:rsid w:val="00140FDB"/>
    <w:rsid w:val="001410DB"/>
    <w:rsid w:val="00141153"/>
    <w:rsid w:val="001411D5"/>
    <w:rsid w:val="001414AD"/>
    <w:rsid w:val="00141570"/>
    <w:rsid w:val="00141941"/>
    <w:rsid w:val="00141987"/>
    <w:rsid w:val="00141A79"/>
    <w:rsid w:val="00141AB7"/>
    <w:rsid w:val="00141AE3"/>
    <w:rsid w:val="00141C19"/>
    <w:rsid w:val="00141C25"/>
    <w:rsid w:val="00141C2D"/>
    <w:rsid w:val="00141CAD"/>
    <w:rsid w:val="00141CF3"/>
    <w:rsid w:val="00141D6A"/>
    <w:rsid w:val="00141DEF"/>
    <w:rsid w:val="00141E74"/>
    <w:rsid w:val="00141ED7"/>
    <w:rsid w:val="00141F27"/>
    <w:rsid w:val="001420D5"/>
    <w:rsid w:val="00142144"/>
    <w:rsid w:val="00142208"/>
    <w:rsid w:val="0014224B"/>
    <w:rsid w:val="001422EC"/>
    <w:rsid w:val="00142325"/>
    <w:rsid w:val="001423B7"/>
    <w:rsid w:val="0014241E"/>
    <w:rsid w:val="00142449"/>
    <w:rsid w:val="001424B3"/>
    <w:rsid w:val="0014253F"/>
    <w:rsid w:val="0014261C"/>
    <w:rsid w:val="00142692"/>
    <w:rsid w:val="00142759"/>
    <w:rsid w:val="00142795"/>
    <w:rsid w:val="00142833"/>
    <w:rsid w:val="001428CF"/>
    <w:rsid w:val="001428E8"/>
    <w:rsid w:val="00142B3E"/>
    <w:rsid w:val="00142C9A"/>
    <w:rsid w:val="00142EFD"/>
    <w:rsid w:val="00142F52"/>
    <w:rsid w:val="00142F6A"/>
    <w:rsid w:val="0014300D"/>
    <w:rsid w:val="001430A1"/>
    <w:rsid w:val="001432B7"/>
    <w:rsid w:val="001432F9"/>
    <w:rsid w:val="0014334C"/>
    <w:rsid w:val="001434D2"/>
    <w:rsid w:val="001434D3"/>
    <w:rsid w:val="00143588"/>
    <w:rsid w:val="00143694"/>
    <w:rsid w:val="001438A6"/>
    <w:rsid w:val="0014392F"/>
    <w:rsid w:val="0014393B"/>
    <w:rsid w:val="00143ACA"/>
    <w:rsid w:val="00143B72"/>
    <w:rsid w:val="00143BA9"/>
    <w:rsid w:val="00143D1B"/>
    <w:rsid w:val="00143DBE"/>
    <w:rsid w:val="00143E70"/>
    <w:rsid w:val="00143F53"/>
    <w:rsid w:val="0014417D"/>
    <w:rsid w:val="001441B5"/>
    <w:rsid w:val="001442E0"/>
    <w:rsid w:val="0014432F"/>
    <w:rsid w:val="001443CD"/>
    <w:rsid w:val="00144438"/>
    <w:rsid w:val="001446F2"/>
    <w:rsid w:val="0014470A"/>
    <w:rsid w:val="001447A7"/>
    <w:rsid w:val="001447FE"/>
    <w:rsid w:val="00144954"/>
    <w:rsid w:val="001449F3"/>
    <w:rsid w:val="00144B2E"/>
    <w:rsid w:val="00144BB4"/>
    <w:rsid w:val="00144D37"/>
    <w:rsid w:val="00144D81"/>
    <w:rsid w:val="00144F0B"/>
    <w:rsid w:val="00144F61"/>
    <w:rsid w:val="00144FA9"/>
    <w:rsid w:val="0014502A"/>
    <w:rsid w:val="00145215"/>
    <w:rsid w:val="00145559"/>
    <w:rsid w:val="00145571"/>
    <w:rsid w:val="001455B1"/>
    <w:rsid w:val="00145689"/>
    <w:rsid w:val="001458A7"/>
    <w:rsid w:val="0014596B"/>
    <w:rsid w:val="00145996"/>
    <w:rsid w:val="001459AE"/>
    <w:rsid w:val="00145A04"/>
    <w:rsid w:val="00145AC1"/>
    <w:rsid w:val="00145B2D"/>
    <w:rsid w:val="00145B88"/>
    <w:rsid w:val="00145BE1"/>
    <w:rsid w:val="00145C61"/>
    <w:rsid w:val="00145DAD"/>
    <w:rsid w:val="00145E1A"/>
    <w:rsid w:val="00145E93"/>
    <w:rsid w:val="00145EE7"/>
    <w:rsid w:val="001460A6"/>
    <w:rsid w:val="00146102"/>
    <w:rsid w:val="0014610F"/>
    <w:rsid w:val="001461AA"/>
    <w:rsid w:val="001461E4"/>
    <w:rsid w:val="001463A2"/>
    <w:rsid w:val="001465C3"/>
    <w:rsid w:val="001466F4"/>
    <w:rsid w:val="0014677E"/>
    <w:rsid w:val="001467DD"/>
    <w:rsid w:val="001468E7"/>
    <w:rsid w:val="00146998"/>
    <w:rsid w:val="0014699D"/>
    <w:rsid w:val="00146A2F"/>
    <w:rsid w:val="00146A6D"/>
    <w:rsid w:val="00146B24"/>
    <w:rsid w:val="00146B80"/>
    <w:rsid w:val="00146BD7"/>
    <w:rsid w:val="00146DDB"/>
    <w:rsid w:val="00146E00"/>
    <w:rsid w:val="00146E52"/>
    <w:rsid w:val="00146E71"/>
    <w:rsid w:val="00146ECF"/>
    <w:rsid w:val="00146FC4"/>
    <w:rsid w:val="001473C0"/>
    <w:rsid w:val="00147459"/>
    <w:rsid w:val="00147487"/>
    <w:rsid w:val="00147612"/>
    <w:rsid w:val="00147751"/>
    <w:rsid w:val="00147791"/>
    <w:rsid w:val="00147932"/>
    <w:rsid w:val="00147B27"/>
    <w:rsid w:val="00147D2D"/>
    <w:rsid w:val="00147D80"/>
    <w:rsid w:val="00147DD5"/>
    <w:rsid w:val="00147F8F"/>
    <w:rsid w:val="00147FEB"/>
    <w:rsid w:val="0015005C"/>
    <w:rsid w:val="0015015F"/>
    <w:rsid w:val="00150254"/>
    <w:rsid w:val="001502BD"/>
    <w:rsid w:val="00150508"/>
    <w:rsid w:val="001506B1"/>
    <w:rsid w:val="00150728"/>
    <w:rsid w:val="0015076F"/>
    <w:rsid w:val="00150793"/>
    <w:rsid w:val="001507E7"/>
    <w:rsid w:val="00150850"/>
    <w:rsid w:val="001509C2"/>
    <w:rsid w:val="00150AAA"/>
    <w:rsid w:val="00150B52"/>
    <w:rsid w:val="00150D10"/>
    <w:rsid w:val="00150F0A"/>
    <w:rsid w:val="00150F41"/>
    <w:rsid w:val="0015108F"/>
    <w:rsid w:val="00151145"/>
    <w:rsid w:val="0015119D"/>
    <w:rsid w:val="0015124C"/>
    <w:rsid w:val="0015128B"/>
    <w:rsid w:val="00151413"/>
    <w:rsid w:val="0015142F"/>
    <w:rsid w:val="00151458"/>
    <w:rsid w:val="001515C6"/>
    <w:rsid w:val="0015168A"/>
    <w:rsid w:val="0015186D"/>
    <w:rsid w:val="001518B0"/>
    <w:rsid w:val="001518C0"/>
    <w:rsid w:val="00151B24"/>
    <w:rsid w:val="00151B59"/>
    <w:rsid w:val="00151B75"/>
    <w:rsid w:val="00151C6F"/>
    <w:rsid w:val="00151CA8"/>
    <w:rsid w:val="00151DC1"/>
    <w:rsid w:val="00151DFD"/>
    <w:rsid w:val="00151E15"/>
    <w:rsid w:val="00151E4E"/>
    <w:rsid w:val="00151EA2"/>
    <w:rsid w:val="00151EB7"/>
    <w:rsid w:val="00151F7C"/>
    <w:rsid w:val="00151FC5"/>
    <w:rsid w:val="00152267"/>
    <w:rsid w:val="001523DE"/>
    <w:rsid w:val="00152473"/>
    <w:rsid w:val="0015249C"/>
    <w:rsid w:val="0015249D"/>
    <w:rsid w:val="0015254E"/>
    <w:rsid w:val="00152616"/>
    <w:rsid w:val="00152880"/>
    <w:rsid w:val="001528B9"/>
    <w:rsid w:val="00152987"/>
    <w:rsid w:val="00152A58"/>
    <w:rsid w:val="00152AA4"/>
    <w:rsid w:val="00152B64"/>
    <w:rsid w:val="00152C09"/>
    <w:rsid w:val="00152C24"/>
    <w:rsid w:val="00152C52"/>
    <w:rsid w:val="00152CDF"/>
    <w:rsid w:val="00152D7C"/>
    <w:rsid w:val="00152DB4"/>
    <w:rsid w:val="00152DCE"/>
    <w:rsid w:val="00152E52"/>
    <w:rsid w:val="00152FDD"/>
    <w:rsid w:val="00153046"/>
    <w:rsid w:val="00153298"/>
    <w:rsid w:val="00153299"/>
    <w:rsid w:val="001532DE"/>
    <w:rsid w:val="00153326"/>
    <w:rsid w:val="00153327"/>
    <w:rsid w:val="00153467"/>
    <w:rsid w:val="0015347B"/>
    <w:rsid w:val="00153486"/>
    <w:rsid w:val="00153514"/>
    <w:rsid w:val="00153515"/>
    <w:rsid w:val="001536AA"/>
    <w:rsid w:val="0015389A"/>
    <w:rsid w:val="001538A7"/>
    <w:rsid w:val="0015399E"/>
    <w:rsid w:val="00153AA3"/>
    <w:rsid w:val="00153B51"/>
    <w:rsid w:val="00153BEF"/>
    <w:rsid w:val="00153C59"/>
    <w:rsid w:val="00153DF3"/>
    <w:rsid w:val="00153EDD"/>
    <w:rsid w:val="00153F6E"/>
    <w:rsid w:val="00153F81"/>
    <w:rsid w:val="00153FB3"/>
    <w:rsid w:val="0015407B"/>
    <w:rsid w:val="001541BA"/>
    <w:rsid w:val="001541DB"/>
    <w:rsid w:val="00154296"/>
    <w:rsid w:val="001542CD"/>
    <w:rsid w:val="00154339"/>
    <w:rsid w:val="00154383"/>
    <w:rsid w:val="001543DC"/>
    <w:rsid w:val="001545D9"/>
    <w:rsid w:val="00154636"/>
    <w:rsid w:val="001546D8"/>
    <w:rsid w:val="00154726"/>
    <w:rsid w:val="00154775"/>
    <w:rsid w:val="0015499D"/>
    <w:rsid w:val="00154A25"/>
    <w:rsid w:val="00154C0A"/>
    <w:rsid w:val="00154C6A"/>
    <w:rsid w:val="00154C6E"/>
    <w:rsid w:val="00154D56"/>
    <w:rsid w:val="00155038"/>
    <w:rsid w:val="00155053"/>
    <w:rsid w:val="00155091"/>
    <w:rsid w:val="00155222"/>
    <w:rsid w:val="00155466"/>
    <w:rsid w:val="001554E6"/>
    <w:rsid w:val="001555BC"/>
    <w:rsid w:val="0015571B"/>
    <w:rsid w:val="00155804"/>
    <w:rsid w:val="0015584E"/>
    <w:rsid w:val="001558A4"/>
    <w:rsid w:val="001558FC"/>
    <w:rsid w:val="00155902"/>
    <w:rsid w:val="00155A0D"/>
    <w:rsid w:val="00155D5B"/>
    <w:rsid w:val="00155E12"/>
    <w:rsid w:val="00155EE5"/>
    <w:rsid w:val="00155F84"/>
    <w:rsid w:val="00156008"/>
    <w:rsid w:val="00156016"/>
    <w:rsid w:val="0015604B"/>
    <w:rsid w:val="001560C1"/>
    <w:rsid w:val="0015615C"/>
    <w:rsid w:val="00156166"/>
    <w:rsid w:val="001561AA"/>
    <w:rsid w:val="0015620D"/>
    <w:rsid w:val="00156348"/>
    <w:rsid w:val="001566CD"/>
    <w:rsid w:val="0015673F"/>
    <w:rsid w:val="00156891"/>
    <w:rsid w:val="00156935"/>
    <w:rsid w:val="00156941"/>
    <w:rsid w:val="00156997"/>
    <w:rsid w:val="001569C1"/>
    <w:rsid w:val="001569E2"/>
    <w:rsid w:val="00156AA4"/>
    <w:rsid w:val="00156B3C"/>
    <w:rsid w:val="00156CFD"/>
    <w:rsid w:val="00156D3A"/>
    <w:rsid w:val="00156D6D"/>
    <w:rsid w:val="00156D90"/>
    <w:rsid w:val="00156E8E"/>
    <w:rsid w:val="00156F78"/>
    <w:rsid w:val="00156F7F"/>
    <w:rsid w:val="00157075"/>
    <w:rsid w:val="001571E1"/>
    <w:rsid w:val="001573FD"/>
    <w:rsid w:val="001574B6"/>
    <w:rsid w:val="001574F8"/>
    <w:rsid w:val="00157545"/>
    <w:rsid w:val="00157559"/>
    <w:rsid w:val="00157770"/>
    <w:rsid w:val="00157838"/>
    <w:rsid w:val="00157A25"/>
    <w:rsid w:val="00157A2B"/>
    <w:rsid w:val="00157AA3"/>
    <w:rsid w:val="00157B36"/>
    <w:rsid w:val="00157C56"/>
    <w:rsid w:val="00157CEB"/>
    <w:rsid w:val="00157D13"/>
    <w:rsid w:val="00157D44"/>
    <w:rsid w:val="00157D98"/>
    <w:rsid w:val="00157DAD"/>
    <w:rsid w:val="00157F41"/>
    <w:rsid w:val="001600B8"/>
    <w:rsid w:val="001600F4"/>
    <w:rsid w:val="0016012D"/>
    <w:rsid w:val="00160134"/>
    <w:rsid w:val="00160181"/>
    <w:rsid w:val="001602B8"/>
    <w:rsid w:val="00160303"/>
    <w:rsid w:val="0016033E"/>
    <w:rsid w:val="001603F5"/>
    <w:rsid w:val="00160665"/>
    <w:rsid w:val="001606D3"/>
    <w:rsid w:val="00160700"/>
    <w:rsid w:val="001607DC"/>
    <w:rsid w:val="00160846"/>
    <w:rsid w:val="0016099A"/>
    <w:rsid w:val="001609B2"/>
    <w:rsid w:val="00160A91"/>
    <w:rsid w:val="00160B20"/>
    <w:rsid w:val="00160B9A"/>
    <w:rsid w:val="00160C0F"/>
    <w:rsid w:val="00160D1A"/>
    <w:rsid w:val="00160E73"/>
    <w:rsid w:val="00160EBE"/>
    <w:rsid w:val="00160F44"/>
    <w:rsid w:val="0016103F"/>
    <w:rsid w:val="00161146"/>
    <w:rsid w:val="00161175"/>
    <w:rsid w:val="00161248"/>
    <w:rsid w:val="001612BD"/>
    <w:rsid w:val="00161311"/>
    <w:rsid w:val="001613D9"/>
    <w:rsid w:val="00161476"/>
    <w:rsid w:val="00161588"/>
    <w:rsid w:val="001616B4"/>
    <w:rsid w:val="001617C4"/>
    <w:rsid w:val="0016198A"/>
    <w:rsid w:val="0016199B"/>
    <w:rsid w:val="001619CC"/>
    <w:rsid w:val="00161A70"/>
    <w:rsid w:val="00161AC8"/>
    <w:rsid w:val="00161AF9"/>
    <w:rsid w:val="00161D76"/>
    <w:rsid w:val="00161DAA"/>
    <w:rsid w:val="00161F4E"/>
    <w:rsid w:val="00161FB3"/>
    <w:rsid w:val="00161FEA"/>
    <w:rsid w:val="001620C1"/>
    <w:rsid w:val="00162126"/>
    <w:rsid w:val="001622BB"/>
    <w:rsid w:val="00162592"/>
    <w:rsid w:val="00162A22"/>
    <w:rsid w:val="00162A88"/>
    <w:rsid w:val="00162ABB"/>
    <w:rsid w:val="00162B01"/>
    <w:rsid w:val="00162C3C"/>
    <w:rsid w:val="00162CC9"/>
    <w:rsid w:val="00162D1E"/>
    <w:rsid w:val="00162DC3"/>
    <w:rsid w:val="00162DE1"/>
    <w:rsid w:val="00162E36"/>
    <w:rsid w:val="00162EA0"/>
    <w:rsid w:val="00162F48"/>
    <w:rsid w:val="00163043"/>
    <w:rsid w:val="001630EC"/>
    <w:rsid w:val="00163183"/>
    <w:rsid w:val="00163193"/>
    <w:rsid w:val="001631E8"/>
    <w:rsid w:val="001632CB"/>
    <w:rsid w:val="00163330"/>
    <w:rsid w:val="00163338"/>
    <w:rsid w:val="00163836"/>
    <w:rsid w:val="0016383F"/>
    <w:rsid w:val="00163AA0"/>
    <w:rsid w:val="00163ABC"/>
    <w:rsid w:val="00163AD0"/>
    <w:rsid w:val="00163B25"/>
    <w:rsid w:val="00163C39"/>
    <w:rsid w:val="00163CD7"/>
    <w:rsid w:val="00163D18"/>
    <w:rsid w:val="00163D62"/>
    <w:rsid w:val="00163E3D"/>
    <w:rsid w:val="00163E78"/>
    <w:rsid w:val="00164215"/>
    <w:rsid w:val="0016426C"/>
    <w:rsid w:val="00164314"/>
    <w:rsid w:val="0016431C"/>
    <w:rsid w:val="001644E0"/>
    <w:rsid w:val="0016457A"/>
    <w:rsid w:val="0016480A"/>
    <w:rsid w:val="00164A71"/>
    <w:rsid w:val="00164AE2"/>
    <w:rsid w:val="00164AFF"/>
    <w:rsid w:val="00164B7A"/>
    <w:rsid w:val="00164BD1"/>
    <w:rsid w:val="00164CC1"/>
    <w:rsid w:val="00164F8D"/>
    <w:rsid w:val="00165158"/>
    <w:rsid w:val="00165198"/>
    <w:rsid w:val="001651C9"/>
    <w:rsid w:val="001652C1"/>
    <w:rsid w:val="001652DC"/>
    <w:rsid w:val="00165571"/>
    <w:rsid w:val="001655A1"/>
    <w:rsid w:val="00165609"/>
    <w:rsid w:val="00165685"/>
    <w:rsid w:val="001656A9"/>
    <w:rsid w:val="001658B6"/>
    <w:rsid w:val="001659EC"/>
    <w:rsid w:val="001659FD"/>
    <w:rsid w:val="00165A8B"/>
    <w:rsid w:val="00165AE0"/>
    <w:rsid w:val="00165B41"/>
    <w:rsid w:val="00165BBD"/>
    <w:rsid w:val="00165DAB"/>
    <w:rsid w:val="00165E57"/>
    <w:rsid w:val="0016610E"/>
    <w:rsid w:val="00166131"/>
    <w:rsid w:val="00166234"/>
    <w:rsid w:val="001663F8"/>
    <w:rsid w:val="00166455"/>
    <w:rsid w:val="00166461"/>
    <w:rsid w:val="00166467"/>
    <w:rsid w:val="001664CE"/>
    <w:rsid w:val="001666A7"/>
    <w:rsid w:val="00166747"/>
    <w:rsid w:val="0016697C"/>
    <w:rsid w:val="001669B6"/>
    <w:rsid w:val="00166A20"/>
    <w:rsid w:val="00166A42"/>
    <w:rsid w:val="00166A74"/>
    <w:rsid w:val="00166A84"/>
    <w:rsid w:val="00166AC7"/>
    <w:rsid w:val="00166AD0"/>
    <w:rsid w:val="00166B5E"/>
    <w:rsid w:val="00166B90"/>
    <w:rsid w:val="00166C2B"/>
    <w:rsid w:val="00166C3E"/>
    <w:rsid w:val="00166C93"/>
    <w:rsid w:val="00166D51"/>
    <w:rsid w:val="00166EB0"/>
    <w:rsid w:val="00167017"/>
    <w:rsid w:val="001670D6"/>
    <w:rsid w:val="001671CA"/>
    <w:rsid w:val="001672F9"/>
    <w:rsid w:val="001673D8"/>
    <w:rsid w:val="001673FB"/>
    <w:rsid w:val="00167457"/>
    <w:rsid w:val="00167486"/>
    <w:rsid w:val="001675CC"/>
    <w:rsid w:val="001675E8"/>
    <w:rsid w:val="001675F3"/>
    <w:rsid w:val="001676B5"/>
    <w:rsid w:val="001677B6"/>
    <w:rsid w:val="00167802"/>
    <w:rsid w:val="0016794B"/>
    <w:rsid w:val="001679A1"/>
    <w:rsid w:val="00167A51"/>
    <w:rsid w:val="00167A7F"/>
    <w:rsid w:val="00167B5B"/>
    <w:rsid w:val="00167BF9"/>
    <w:rsid w:val="00167C47"/>
    <w:rsid w:val="00167C76"/>
    <w:rsid w:val="00167D6D"/>
    <w:rsid w:val="00167E65"/>
    <w:rsid w:val="00167E76"/>
    <w:rsid w:val="00170051"/>
    <w:rsid w:val="0017006C"/>
    <w:rsid w:val="0017018E"/>
    <w:rsid w:val="00170238"/>
    <w:rsid w:val="00170253"/>
    <w:rsid w:val="001702F2"/>
    <w:rsid w:val="001703AE"/>
    <w:rsid w:val="001705B4"/>
    <w:rsid w:val="001705BA"/>
    <w:rsid w:val="001705C1"/>
    <w:rsid w:val="00170641"/>
    <w:rsid w:val="001707B6"/>
    <w:rsid w:val="00170925"/>
    <w:rsid w:val="00170983"/>
    <w:rsid w:val="00170D6F"/>
    <w:rsid w:val="00170DA9"/>
    <w:rsid w:val="00170FA7"/>
    <w:rsid w:val="00171024"/>
    <w:rsid w:val="0017103A"/>
    <w:rsid w:val="00171173"/>
    <w:rsid w:val="00171206"/>
    <w:rsid w:val="0017121C"/>
    <w:rsid w:val="0017121D"/>
    <w:rsid w:val="00171466"/>
    <w:rsid w:val="001714A3"/>
    <w:rsid w:val="00171591"/>
    <w:rsid w:val="001715A4"/>
    <w:rsid w:val="00171725"/>
    <w:rsid w:val="00171770"/>
    <w:rsid w:val="0017179C"/>
    <w:rsid w:val="001718EA"/>
    <w:rsid w:val="0017192E"/>
    <w:rsid w:val="001719D8"/>
    <w:rsid w:val="00171A0A"/>
    <w:rsid w:val="00171A10"/>
    <w:rsid w:val="00171AB6"/>
    <w:rsid w:val="00171B6D"/>
    <w:rsid w:val="00171C2F"/>
    <w:rsid w:val="00171D13"/>
    <w:rsid w:val="00171EE7"/>
    <w:rsid w:val="00171F1A"/>
    <w:rsid w:val="00171F2C"/>
    <w:rsid w:val="00171F43"/>
    <w:rsid w:val="00171FF0"/>
    <w:rsid w:val="001721AB"/>
    <w:rsid w:val="001721B0"/>
    <w:rsid w:val="001721F2"/>
    <w:rsid w:val="001722B2"/>
    <w:rsid w:val="001722C5"/>
    <w:rsid w:val="001724F9"/>
    <w:rsid w:val="00172543"/>
    <w:rsid w:val="00172683"/>
    <w:rsid w:val="001726B8"/>
    <w:rsid w:val="00172719"/>
    <w:rsid w:val="001727FC"/>
    <w:rsid w:val="00172814"/>
    <w:rsid w:val="00172877"/>
    <w:rsid w:val="00172989"/>
    <w:rsid w:val="00172AF6"/>
    <w:rsid w:val="00172C7B"/>
    <w:rsid w:val="00172CF0"/>
    <w:rsid w:val="00172DB3"/>
    <w:rsid w:val="00172E86"/>
    <w:rsid w:val="00172EB3"/>
    <w:rsid w:val="00172F23"/>
    <w:rsid w:val="00172F7A"/>
    <w:rsid w:val="00172FE1"/>
    <w:rsid w:val="00173026"/>
    <w:rsid w:val="00173055"/>
    <w:rsid w:val="0017306B"/>
    <w:rsid w:val="001730C5"/>
    <w:rsid w:val="00173115"/>
    <w:rsid w:val="00173198"/>
    <w:rsid w:val="001731D8"/>
    <w:rsid w:val="0017321B"/>
    <w:rsid w:val="001732F1"/>
    <w:rsid w:val="00173347"/>
    <w:rsid w:val="00173441"/>
    <w:rsid w:val="0017359F"/>
    <w:rsid w:val="001736B1"/>
    <w:rsid w:val="00173729"/>
    <w:rsid w:val="001737DB"/>
    <w:rsid w:val="0017399A"/>
    <w:rsid w:val="00173AB5"/>
    <w:rsid w:val="00173B44"/>
    <w:rsid w:val="00173B7F"/>
    <w:rsid w:val="00173C73"/>
    <w:rsid w:val="00174053"/>
    <w:rsid w:val="001740F2"/>
    <w:rsid w:val="00174194"/>
    <w:rsid w:val="0017423F"/>
    <w:rsid w:val="0017441D"/>
    <w:rsid w:val="00174619"/>
    <w:rsid w:val="001746B8"/>
    <w:rsid w:val="001746CE"/>
    <w:rsid w:val="001746DF"/>
    <w:rsid w:val="0017470F"/>
    <w:rsid w:val="00174750"/>
    <w:rsid w:val="001748FC"/>
    <w:rsid w:val="00174957"/>
    <w:rsid w:val="00174AFD"/>
    <w:rsid w:val="00174BF2"/>
    <w:rsid w:val="00174CC8"/>
    <w:rsid w:val="00174F7D"/>
    <w:rsid w:val="00174FFD"/>
    <w:rsid w:val="00175064"/>
    <w:rsid w:val="0017513D"/>
    <w:rsid w:val="00175467"/>
    <w:rsid w:val="0017552F"/>
    <w:rsid w:val="0017555F"/>
    <w:rsid w:val="0017557D"/>
    <w:rsid w:val="001755B6"/>
    <w:rsid w:val="0017573F"/>
    <w:rsid w:val="0017574B"/>
    <w:rsid w:val="001758D0"/>
    <w:rsid w:val="0017595D"/>
    <w:rsid w:val="0017598E"/>
    <w:rsid w:val="00175A0E"/>
    <w:rsid w:val="00175A8B"/>
    <w:rsid w:val="00175AB0"/>
    <w:rsid w:val="00175B18"/>
    <w:rsid w:val="00175B5C"/>
    <w:rsid w:val="00175BCD"/>
    <w:rsid w:val="00175C71"/>
    <w:rsid w:val="00175D8F"/>
    <w:rsid w:val="00175DB9"/>
    <w:rsid w:val="00175EED"/>
    <w:rsid w:val="00175F32"/>
    <w:rsid w:val="00175F77"/>
    <w:rsid w:val="00175F7E"/>
    <w:rsid w:val="00176005"/>
    <w:rsid w:val="0017606D"/>
    <w:rsid w:val="001760CA"/>
    <w:rsid w:val="001760DB"/>
    <w:rsid w:val="001761C2"/>
    <w:rsid w:val="001762C8"/>
    <w:rsid w:val="00176332"/>
    <w:rsid w:val="00176353"/>
    <w:rsid w:val="0017648B"/>
    <w:rsid w:val="001764ED"/>
    <w:rsid w:val="0017677A"/>
    <w:rsid w:val="001767D0"/>
    <w:rsid w:val="001767E1"/>
    <w:rsid w:val="00176857"/>
    <w:rsid w:val="001768A8"/>
    <w:rsid w:val="00176911"/>
    <w:rsid w:val="001769C5"/>
    <w:rsid w:val="00176B65"/>
    <w:rsid w:val="00176B81"/>
    <w:rsid w:val="00176BF7"/>
    <w:rsid w:val="00176EBD"/>
    <w:rsid w:val="00177032"/>
    <w:rsid w:val="00177034"/>
    <w:rsid w:val="001770E2"/>
    <w:rsid w:val="001770FB"/>
    <w:rsid w:val="0017716E"/>
    <w:rsid w:val="00177246"/>
    <w:rsid w:val="001772FA"/>
    <w:rsid w:val="00177389"/>
    <w:rsid w:val="001773D0"/>
    <w:rsid w:val="001774B8"/>
    <w:rsid w:val="00177526"/>
    <w:rsid w:val="0017763D"/>
    <w:rsid w:val="00177684"/>
    <w:rsid w:val="0017792A"/>
    <w:rsid w:val="0017797A"/>
    <w:rsid w:val="0017797C"/>
    <w:rsid w:val="00177A18"/>
    <w:rsid w:val="00177B28"/>
    <w:rsid w:val="00177BBC"/>
    <w:rsid w:val="00177C74"/>
    <w:rsid w:val="00177C76"/>
    <w:rsid w:val="00180059"/>
    <w:rsid w:val="001800FA"/>
    <w:rsid w:val="00180118"/>
    <w:rsid w:val="001801A2"/>
    <w:rsid w:val="0018022C"/>
    <w:rsid w:val="00180273"/>
    <w:rsid w:val="00180654"/>
    <w:rsid w:val="0018070F"/>
    <w:rsid w:val="0018097D"/>
    <w:rsid w:val="00180A01"/>
    <w:rsid w:val="00180AC1"/>
    <w:rsid w:val="00180AFB"/>
    <w:rsid w:val="00180B10"/>
    <w:rsid w:val="00180B3D"/>
    <w:rsid w:val="00180BB5"/>
    <w:rsid w:val="00180C0F"/>
    <w:rsid w:val="00180C58"/>
    <w:rsid w:val="00180CD5"/>
    <w:rsid w:val="00180D22"/>
    <w:rsid w:val="00180D79"/>
    <w:rsid w:val="00180DC0"/>
    <w:rsid w:val="00180E4F"/>
    <w:rsid w:val="00180E71"/>
    <w:rsid w:val="00180EB9"/>
    <w:rsid w:val="00180FB1"/>
    <w:rsid w:val="00180FE4"/>
    <w:rsid w:val="001810F6"/>
    <w:rsid w:val="001811B5"/>
    <w:rsid w:val="001811C6"/>
    <w:rsid w:val="001811E6"/>
    <w:rsid w:val="0018123A"/>
    <w:rsid w:val="00181255"/>
    <w:rsid w:val="001812DF"/>
    <w:rsid w:val="00181324"/>
    <w:rsid w:val="001813F8"/>
    <w:rsid w:val="001813FC"/>
    <w:rsid w:val="001817B3"/>
    <w:rsid w:val="00181862"/>
    <w:rsid w:val="001818F4"/>
    <w:rsid w:val="00181919"/>
    <w:rsid w:val="00181975"/>
    <w:rsid w:val="001819E7"/>
    <w:rsid w:val="00181B6C"/>
    <w:rsid w:val="00181B9D"/>
    <w:rsid w:val="00181CB2"/>
    <w:rsid w:val="00181D30"/>
    <w:rsid w:val="00181D42"/>
    <w:rsid w:val="00181D84"/>
    <w:rsid w:val="00181DF7"/>
    <w:rsid w:val="00181E2F"/>
    <w:rsid w:val="00181E5E"/>
    <w:rsid w:val="00181F7B"/>
    <w:rsid w:val="00181FCD"/>
    <w:rsid w:val="00181FFF"/>
    <w:rsid w:val="00182010"/>
    <w:rsid w:val="00182054"/>
    <w:rsid w:val="001820C2"/>
    <w:rsid w:val="00182127"/>
    <w:rsid w:val="0018217A"/>
    <w:rsid w:val="00182361"/>
    <w:rsid w:val="00182478"/>
    <w:rsid w:val="00182545"/>
    <w:rsid w:val="0018264C"/>
    <w:rsid w:val="00182802"/>
    <w:rsid w:val="00182A58"/>
    <w:rsid w:val="00182B8F"/>
    <w:rsid w:val="00182CAE"/>
    <w:rsid w:val="00182F38"/>
    <w:rsid w:val="0018313A"/>
    <w:rsid w:val="00183204"/>
    <w:rsid w:val="00183224"/>
    <w:rsid w:val="00183338"/>
    <w:rsid w:val="00183403"/>
    <w:rsid w:val="00183422"/>
    <w:rsid w:val="00183565"/>
    <w:rsid w:val="001835E8"/>
    <w:rsid w:val="0018385D"/>
    <w:rsid w:val="001838BB"/>
    <w:rsid w:val="001838D7"/>
    <w:rsid w:val="001838E3"/>
    <w:rsid w:val="00183B40"/>
    <w:rsid w:val="00183C44"/>
    <w:rsid w:val="00183C8E"/>
    <w:rsid w:val="00183CB0"/>
    <w:rsid w:val="00183CBA"/>
    <w:rsid w:val="00183DCD"/>
    <w:rsid w:val="00183DD8"/>
    <w:rsid w:val="00183F79"/>
    <w:rsid w:val="00183FA1"/>
    <w:rsid w:val="00184042"/>
    <w:rsid w:val="00184063"/>
    <w:rsid w:val="001840EC"/>
    <w:rsid w:val="0018416B"/>
    <w:rsid w:val="0018420D"/>
    <w:rsid w:val="0018443A"/>
    <w:rsid w:val="00184479"/>
    <w:rsid w:val="001844C6"/>
    <w:rsid w:val="001844EC"/>
    <w:rsid w:val="00184542"/>
    <w:rsid w:val="00184572"/>
    <w:rsid w:val="00184584"/>
    <w:rsid w:val="001845C8"/>
    <w:rsid w:val="0018462A"/>
    <w:rsid w:val="00184835"/>
    <w:rsid w:val="00184876"/>
    <w:rsid w:val="00184A63"/>
    <w:rsid w:val="00184C05"/>
    <w:rsid w:val="00184C0A"/>
    <w:rsid w:val="00184D4A"/>
    <w:rsid w:val="00184D54"/>
    <w:rsid w:val="00184DE6"/>
    <w:rsid w:val="00184E2C"/>
    <w:rsid w:val="00184F7F"/>
    <w:rsid w:val="00184F9A"/>
    <w:rsid w:val="001850E7"/>
    <w:rsid w:val="00185130"/>
    <w:rsid w:val="001851F9"/>
    <w:rsid w:val="001852BA"/>
    <w:rsid w:val="00185354"/>
    <w:rsid w:val="001853B4"/>
    <w:rsid w:val="00185405"/>
    <w:rsid w:val="00185534"/>
    <w:rsid w:val="00185579"/>
    <w:rsid w:val="00185642"/>
    <w:rsid w:val="00185678"/>
    <w:rsid w:val="001856CC"/>
    <w:rsid w:val="00185879"/>
    <w:rsid w:val="001858CF"/>
    <w:rsid w:val="00185909"/>
    <w:rsid w:val="001859B7"/>
    <w:rsid w:val="00185AC9"/>
    <w:rsid w:val="00185B19"/>
    <w:rsid w:val="00185B1D"/>
    <w:rsid w:val="00185C6A"/>
    <w:rsid w:val="00185DB5"/>
    <w:rsid w:val="00185F64"/>
    <w:rsid w:val="00185F7E"/>
    <w:rsid w:val="001860EA"/>
    <w:rsid w:val="00186142"/>
    <w:rsid w:val="001861DF"/>
    <w:rsid w:val="001862E4"/>
    <w:rsid w:val="001863B3"/>
    <w:rsid w:val="00186456"/>
    <w:rsid w:val="001865ED"/>
    <w:rsid w:val="001865F2"/>
    <w:rsid w:val="0018663B"/>
    <w:rsid w:val="001866BC"/>
    <w:rsid w:val="001866DE"/>
    <w:rsid w:val="00186779"/>
    <w:rsid w:val="001867A9"/>
    <w:rsid w:val="001867DE"/>
    <w:rsid w:val="001867E5"/>
    <w:rsid w:val="00186AED"/>
    <w:rsid w:val="00186BB0"/>
    <w:rsid w:val="00186C4E"/>
    <w:rsid w:val="00186C8A"/>
    <w:rsid w:val="00186CB6"/>
    <w:rsid w:val="00186D00"/>
    <w:rsid w:val="00186D8C"/>
    <w:rsid w:val="00186DB1"/>
    <w:rsid w:val="00186E25"/>
    <w:rsid w:val="00186E5E"/>
    <w:rsid w:val="00186F1A"/>
    <w:rsid w:val="0018700A"/>
    <w:rsid w:val="001870CF"/>
    <w:rsid w:val="00187254"/>
    <w:rsid w:val="001872FF"/>
    <w:rsid w:val="001873C1"/>
    <w:rsid w:val="001873D4"/>
    <w:rsid w:val="0018751F"/>
    <w:rsid w:val="00187520"/>
    <w:rsid w:val="00187592"/>
    <w:rsid w:val="00187646"/>
    <w:rsid w:val="0018775D"/>
    <w:rsid w:val="001877BD"/>
    <w:rsid w:val="001878F2"/>
    <w:rsid w:val="001878F5"/>
    <w:rsid w:val="001878F7"/>
    <w:rsid w:val="0018794B"/>
    <w:rsid w:val="001879B9"/>
    <w:rsid w:val="001879D1"/>
    <w:rsid w:val="00187A0A"/>
    <w:rsid w:val="00187BF2"/>
    <w:rsid w:val="00187C18"/>
    <w:rsid w:val="00187C79"/>
    <w:rsid w:val="00187C7D"/>
    <w:rsid w:val="00187D0B"/>
    <w:rsid w:val="00187D62"/>
    <w:rsid w:val="0019017D"/>
    <w:rsid w:val="00190243"/>
    <w:rsid w:val="0019035A"/>
    <w:rsid w:val="00190370"/>
    <w:rsid w:val="00190375"/>
    <w:rsid w:val="00190377"/>
    <w:rsid w:val="0019038A"/>
    <w:rsid w:val="00190442"/>
    <w:rsid w:val="0019057A"/>
    <w:rsid w:val="001905C2"/>
    <w:rsid w:val="001905DB"/>
    <w:rsid w:val="00190658"/>
    <w:rsid w:val="0019067D"/>
    <w:rsid w:val="001906E9"/>
    <w:rsid w:val="00190780"/>
    <w:rsid w:val="001907F5"/>
    <w:rsid w:val="00190817"/>
    <w:rsid w:val="0019084E"/>
    <w:rsid w:val="00190989"/>
    <w:rsid w:val="00190995"/>
    <w:rsid w:val="00190AAD"/>
    <w:rsid w:val="00190AEA"/>
    <w:rsid w:val="00190B04"/>
    <w:rsid w:val="00190B66"/>
    <w:rsid w:val="00190B79"/>
    <w:rsid w:val="00190C36"/>
    <w:rsid w:val="00190CFC"/>
    <w:rsid w:val="0019108B"/>
    <w:rsid w:val="001912B3"/>
    <w:rsid w:val="001913F5"/>
    <w:rsid w:val="001913FE"/>
    <w:rsid w:val="00191449"/>
    <w:rsid w:val="001914AF"/>
    <w:rsid w:val="001914C0"/>
    <w:rsid w:val="0019158E"/>
    <w:rsid w:val="001915B3"/>
    <w:rsid w:val="001916A7"/>
    <w:rsid w:val="0019170B"/>
    <w:rsid w:val="00191ADD"/>
    <w:rsid w:val="00191B30"/>
    <w:rsid w:val="00191C4C"/>
    <w:rsid w:val="00191C8D"/>
    <w:rsid w:val="00191D31"/>
    <w:rsid w:val="00191EA3"/>
    <w:rsid w:val="00191FAE"/>
    <w:rsid w:val="001920BA"/>
    <w:rsid w:val="00192180"/>
    <w:rsid w:val="001922C3"/>
    <w:rsid w:val="00192343"/>
    <w:rsid w:val="001924BA"/>
    <w:rsid w:val="001924E6"/>
    <w:rsid w:val="0019259F"/>
    <w:rsid w:val="001925C0"/>
    <w:rsid w:val="001925CA"/>
    <w:rsid w:val="001928D4"/>
    <w:rsid w:val="001929DA"/>
    <w:rsid w:val="00192ABD"/>
    <w:rsid w:val="00192B5D"/>
    <w:rsid w:val="00192C05"/>
    <w:rsid w:val="00192C72"/>
    <w:rsid w:val="00192CFD"/>
    <w:rsid w:val="00192E3C"/>
    <w:rsid w:val="00193026"/>
    <w:rsid w:val="001930FF"/>
    <w:rsid w:val="0019314B"/>
    <w:rsid w:val="0019316F"/>
    <w:rsid w:val="00193217"/>
    <w:rsid w:val="00193224"/>
    <w:rsid w:val="00193431"/>
    <w:rsid w:val="001934EF"/>
    <w:rsid w:val="00193591"/>
    <w:rsid w:val="001935D3"/>
    <w:rsid w:val="001935D8"/>
    <w:rsid w:val="00193712"/>
    <w:rsid w:val="0019371E"/>
    <w:rsid w:val="0019377F"/>
    <w:rsid w:val="00193866"/>
    <w:rsid w:val="001939CF"/>
    <w:rsid w:val="00193A6A"/>
    <w:rsid w:val="00193A8E"/>
    <w:rsid w:val="00193B58"/>
    <w:rsid w:val="00193F73"/>
    <w:rsid w:val="00194015"/>
    <w:rsid w:val="0019406B"/>
    <w:rsid w:val="00194076"/>
    <w:rsid w:val="00194078"/>
    <w:rsid w:val="0019431D"/>
    <w:rsid w:val="0019447A"/>
    <w:rsid w:val="001944A9"/>
    <w:rsid w:val="001944BF"/>
    <w:rsid w:val="00194534"/>
    <w:rsid w:val="001946FA"/>
    <w:rsid w:val="00194730"/>
    <w:rsid w:val="00194769"/>
    <w:rsid w:val="00194809"/>
    <w:rsid w:val="0019481B"/>
    <w:rsid w:val="0019481C"/>
    <w:rsid w:val="001948DA"/>
    <w:rsid w:val="0019490E"/>
    <w:rsid w:val="00194AF8"/>
    <w:rsid w:val="00194B0C"/>
    <w:rsid w:val="00194B40"/>
    <w:rsid w:val="00194CB1"/>
    <w:rsid w:val="00194FD7"/>
    <w:rsid w:val="0019501A"/>
    <w:rsid w:val="00195022"/>
    <w:rsid w:val="00195087"/>
    <w:rsid w:val="00195130"/>
    <w:rsid w:val="00195159"/>
    <w:rsid w:val="001951D0"/>
    <w:rsid w:val="00195204"/>
    <w:rsid w:val="00195294"/>
    <w:rsid w:val="001952AB"/>
    <w:rsid w:val="001952FC"/>
    <w:rsid w:val="00195353"/>
    <w:rsid w:val="00195474"/>
    <w:rsid w:val="0019551E"/>
    <w:rsid w:val="001956FA"/>
    <w:rsid w:val="00195850"/>
    <w:rsid w:val="001958CA"/>
    <w:rsid w:val="001958E5"/>
    <w:rsid w:val="00195992"/>
    <w:rsid w:val="00195A36"/>
    <w:rsid w:val="00195A66"/>
    <w:rsid w:val="00195AB7"/>
    <w:rsid w:val="00195B3B"/>
    <w:rsid w:val="00195BC2"/>
    <w:rsid w:val="00195C24"/>
    <w:rsid w:val="00195C80"/>
    <w:rsid w:val="00195DFA"/>
    <w:rsid w:val="00195E9B"/>
    <w:rsid w:val="00195ECC"/>
    <w:rsid w:val="00195EDE"/>
    <w:rsid w:val="001960AF"/>
    <w:rsid w:val="001960FE"/>
    <w:rsid w:val="0019616A"/>
    <w:rsid w:val="001961B8"/>
    <w:rsid w:val="0019626C"/>
    <w:rsid w:val="001963C6"/>
    <w:rsid w:val="0019645B"/>
    <w:rsid w:val="00196748"/>
    <w:rsid w:val="00196B6D"/>
    <w:rsid w:val="00196ED0"/>
    <w:rsid w:val="00196ED7"/>
    <w:rsid w:val="001972E8"/>
    <w:rsid w:val="001973A7"/>
    <w:rsid w:val="0019749E"/>
    <w:rsid w:val="001974AF"/>
    <w:rsid w:val="001974BC"/>
    <w:rsid w:val="001974C1"/>
    <w:rsid w:val="001974D3"/>
    <w:rsid w:val="0019758A"/>
    <w:rsid w:val="00197716"/>
    <w:rsid w:val="0019773D"/>
    <w:rsid w:val="00197A64"/>
    <w:rsid w:val="00197B60"/>
    <w:rsid w:val="00197D81"/>
    <w:rsid w:val="00197DBB"/>
    <w:rsid w:val="00197E3D"/>
    <w:rsid w:val="001A01B1"/>
    <w:rsid w:val="001A01C4"/>
    <w:rsid w:val="001A026A"/>
    <w:rsid w:val="001A0295"/>
    <w:rsid w:val="001A0297"/>
    <w:rsid w:val="001A031C"/>
    <w:rsid w:val="001A0444"/>
    <w:rsid w:val="001A0504"/>
    <w:rsid w:val="001A05E8"/>
    <w:rsid w:val="001A0641"/>
    <w:rsid w:val="001A0675"/>
    <w:rsid w:val="001A069F"/>
    <w:rsid w:val="001A079F"/>
    <w:rsid w:val="001A0864"/>
    <w:rsid w:val="001A09B7"/>
    <w:rsid w:val="001A0A8A"/>
    <w:rsid w:val="001A0A8B"/>
    <w:rsid w:val="001A0B49"/>
    <w:rsid w:val="001A0BA1"/>
    <w:rsid w:val="001A0C57"/>
    <w:rsid w:val="001A0CD8"/>
    <w:rsid w:val="001A0D74"/>
    <w:rsid w:val="001A0EFD"/>
    <w:rsid w:val="001A0F0F"/>
    <w:rsid w:val="001A0F13"/>
    <w:rsid w:val="001A10C3"/>
    <w:rsid w:val="001A113D"/>
    <w:rsid w:val="001A11FA"/>
    <w:rsid w:val="001A11FB"/>
    <w:rsid w:val="001A125B"/>
    <w:rsid w:val="001A128B"/>
    <w:rsid w:val="001A1301"/>
    <w:rsid w:val="001A1331"/>
    <w:rsid w:val="001A1348"/>
    <w:rsid w:val="001A1407"/>
    <w:rsid w:val="001A15B7"/>
    <w:rsid w:val="001A1799"/>
    <w:rsid w:val="001A17CC"/>
    <w:rsid w:val="001A1A9A"/>
    <w:rsid w:val="001A1B42"/>
    <w:rsid w:val="001A1B89"/>
    <w:rsid w:val="001A1B94"/>
    <w:rsid w:val="001A1CB6"/>
    <w:rsid w:val="001A1CE9"/>
    <w:rsid w:val="001A1CF2"/>
    <w:rsid w:val="001A1E4A"/>
    <w:rsid w:val="001A1EF9"/>
    <w:rsid w:val="001A200A"/>
    <w:rsid w:val="001A2032"/>
    <w:rsid w:val="001A2251"/>
    <w:rsid w:val="001A226C"/>
    <w:rsid w:val="001A2431"/>
    <w:rsid w:val="001A24E7"/>
    <w:rsid w:val="001A24FA"/>
    <w:rsid w:val="001A2594"/>
    <w:rsid w:val="001A2618"/>
    <w:rsid w:val="001A2804"/>
    <w:rsid w:val="001A2854"/>
    <w:rsid w:val="001A28BC"/>
    <w:rsid w:val="001A28EF"/>
    <w:rsid w:val="001A29DB"/>
    <w:rsid w:val="001A2A2F"/>
    <w:rsid w:val="001A2A99"/>
    <w:rsid w:val="001A2B51"/>
    <w:rsid w:val="001A2C12"/>
    <w:rsid w:val="001A2C23"/>
    <w:rsid w:val="001A2C96"/>
    <w:rsid w:val="001A2CF5"/>
    <w:rsid w:val="001A2D4A"/>
    <w:rsid w:val="001A2D6B"/>
    <w:rsid w:val="001A2DBB"/>
    <w:rsid w:val="001A2E44"/>
    <w:rsid w:val="001A2F66"/>
    <w:rsid w:val="001A2FE8"/>
    <w:rsid w:val="001A30E8"/>
    <w:rsid w:val="001A31BA"/>
    <w:rsid w:val="001A3226"/>
    <w:rsid w:val="001A3325"/>
    <w:rsid w:val="001A33C5"/>
    <w:rsid w:val="001A340F"/>
    <w:rsid w:val="001A3546"/>
    <w:rsid w:val="001A3582"/>
    <w:rsid w:val="001A365F"/>
    <w:rsid w:val="001A372D"/>
    <w:rsid w:val="001A388C"/>
    <w:rsid w:val="001A3A6B"/>
    <w:rsid w:val="001A3C78"/>
    <w:rsid w:val="001A3D19"/>
    <w:rsid w:val="001A3FD1"/>
    <w:rsid w:val="001A400E"/>
    <w:rsid w:val="001A4121"/>
    <w:rsid w:val="001A427C"/>
    <w:rsid w:val="001A430F"/>
    <w:rsid w:val="001A445B"/>
    <w:rsid w:val="001A4471"/>
    <w:rsid w:val="001A4479"/>
    <w:rsid w:val="001A44A9"/>
    <w:rsid w:val="001A45AE"/>
    <w:rsid w:val="001A4620"/>
    <w:rsid w:val="001A4755"/>
    <w:rsid w:val="001A49BC"/>
    <w:rsid w:val="001A4AC4"/>
    <w:rsid w:val="001A4B84"/>
    <w:rsid w:val="001A4C93"/>
    <w:rsid w:val="001A4D73"/>
    <w:rsid w:val="001A4DBC"/>
    <w:rsid w:val="001A4FF9"/>
    <w:rsid w:val="001A51B5"/>
    <w:rsid w:val="001A5332"/>
    <w:rsid w:val="001A543D"/>
    <w:rsid w:val="001A5451"/>
    <w:rsid w:val="001A5490"/>
    <w:rsid w:val="001A5501"/>
    <w:rsid w:val="001A5554"/>
    <w:rsid w:val="001A579E"/>
    <w:rsid w:val="001A5804"/>
    <w:rsid w:val="001A58DD"/>
    <w:rsid w:val="001A5B89"/>
    <w:rsid w:val="001A5C76"/>
    <w:rsid w:val="001A5CDB"/>
    <w:rsid w:val="001A5D56"/>
    <w:rsid w:val="001A5DCC"/>
    <w:rsid w:val="001A5E51"/>
    <w:rsid w:val="001A5E8D"/>
    <w:rsid w:val="001A5F15"/>
    <w:rsid w:val="001A5FA6"/>
    <w:rsid w:val="001A6013"/>
    <w:rsid w:val="001A602C"/>
    <w:rsid w:val="001A61D2"/>
    <w:rsid w:val="001A6240"/>
    <w:rsid w:val="001A6255"/>
    <w:rsid w:val="001A626B"/>
    <w:rsid w:val="001A6282"/>
    <w:rsid w:val="001A6379"/>
    <w:rsid w:val="001A63B2"/>
    <w:rsid w:val="001A63E9"/>
    <w:rsid w:val="001A63F6"/>
    <w:rsid w:val="001A6628"/>
    <w:rsid w:val="001A6812"/>
    <w:rsid w:val="001A6858"/>
    <w:rsid w:val="001A69BA"/>
    <w:rsid w:val="001A6A91"/>
    <w:rsid w:val="001A6B0E"/>
    <w:rsid w:val="001A6B20"/>
    <w:rsid w:val="001A6D03"/>
    <w:rsid w:val="001A6D8B"/>
    <w:rsid w:val="001A6ED4"/>
    <w:rsid w:val="001A6F1D"/>
    <w:rsid w:val="001A6F6C"/>
    <w:rsid w:val="001A6F6F"/>
    <w:rsid w:val="001A6FC5"/>
    <w:rsid w:val="001A6FEC"/>
    <w:rsid w:val="001A70B5"/>
    <w:rsid w:val="001A7499"/>
    <w:rsid w:val="001A754E"/>
    <w:rsid w:val="001A75EB"/>
    <w:rsid w:val="001A75F8"/>
    <w:rsid w:val="001A7672"/>
    <w:rsid w:val="001A7686"/>
    <w:rsid w:val="001A76C6"/>
    <w:rsid w:val="001A7722"/>
    <w:rsid w:val="001A77CD"/>
    <w:rsid w:val="001A785F"/>
    <w:rsid w:val="001A7A04"/>
    <w:rsid w:val="001A7A6B"/>
    <w:rsid w:val="001A7B4A"/>
    <w:rsid w:val="001A7C0F"/>
    <w:rsid w:val="001A7D3F"/>
    <w:rsid w:val="001A7E90"/>
    <w:rsid w:val="001A7ECE"/>
    <w:rsid w:val="001A7F89"/>
    <w:rsid w:val="001B003C"/>
    <w:rsid w:val="001B008C"/>
    <w:rsid w:val="001B00A6"/>
    <w:rsid w:val="001B0196"/>
    <w:rsid w:val="001B01E5"/>
    <w:rsid w:val="001B0219"/>
    <w:rsid w:val="001B03A6"/>
    <w:rsid w:val="001B0508"/>
    <w:rsid w:val="001B0529"/>
    <w:rsid w:val="001B054B"/>
    <w:rsid w:val="001B0558"/>
    <w:rsid w:val="001B057F"/>
    <w:rsid w:val="001B062D"/>
    <w:rsid w:val="001B06F6"/>
    <w:rsid w:val="001B0756"/>
    <w:rsid w:val="001B07FA"/>
    <w:rsid w:val="001B08EC"/>
    <w:rsid w:val="001B08EE"/>
    <w:rsid w:val="001B0908"/>
    <w:rsid w:val="001B0B1B"/>
    <w:rsid w:val="001B0B23"/>
    <w:rsid w:val="001B0C7C"/>
    <w:rsid w:val="001B0CF5"/>
    <w:rsid w:val="001B0E47"/>
    <w:rsid w:val="001B0E80"/>
    <w:rsid w:val="001B0EFC"/>
    <w:rsid w:val="001B0F53"/>
    <w:rsid w:val="001B11AC"/>
    <w:rsid w:val="001B12C9"/>
    <w:rsid w:val="001B13D3"/>
    <w:rsid w:val="001B13F9"/>
    <w:rsid w:val="001B1447"/>
    <w:rsid w:val="001B158F"/>
    <w:rsid w:val="001B15B3"/>
    <w:rsid w:val="001B15C4"/>
    <w:rsid w:val="001B15FA"/>
    <w:rsid w:val="001B1656"/>
    <w:rsid w:val="001B16BA"/>
    <w:rsid w:val="001B181D"/>
    <w:rsid w:val="001B18CF"/>
    <w:rsid w:val="001B18FB"/>
    <w:rsid w:val="001B1CD0"/>
    <w:rsid w:val="001B1D1A"/>
    <w:rsid w:val="001B1D8B"/>
    <w:rsid w:val="001B1DF8"/>
    <w:rsid w:val="001B1E19"/>
    <w:rsid w:val="001B1F59"/>
    <w:rsid w:val="001B20E0"/>
    <w:rsid w:val="001B21F5"/>
    <w:rsid w:val="001B22F3"/>
    <w:rsid w:val="001B2529"/>
    <w:rsid w:val="001B2571"/>
    <w:rsid w:val="001B2585"/>
    <w:rsid w:val="001B272B"/>
    <w:rsid w:val="001B2738"/>
    <w:rsid w:val="001B273E"/>
    <w:rsid w:val="001B2745"/>
    <w:rsid w:val="001B279F"/>
    <w:rsid w:val="001B2A3C"/>
    <w:rsid w:val="001B2B33"/>
    <w:rsid w:val="001B2B47"/>
    <w:rsid w:val="001B2C6B"/>
    <w:rsid w:val="001B2D1D"/>
    <w:rsid w:val="001B2D3F"/>
    <w:rsid w:val="001B2E0F"/>
    <w:rsid w:val="001B2FE8"/>
    <w:rsid w:val="001B2FEB"/>
    <w:rsid w:val="001B2FFB"/>
    <w:rsid w:val="001B3086"/>
    <w:rsid w:val="001B3089"/>
    <w:rsid w:val="001B3139"/>
    <w:rsid w:val="001B319E"/>
    <w:rsid w:val="001B3218"/>
    <w:rsid w:val="001B32E9"/>
    <w:rsid w:val="001B33EC"/>
    <w:rsid w:val="001B34F3"/>
    <w:rsid w:val="001B3524"/>
    <w:rsid w:val="001B36FB"/>
    <w:rsid w:val="001B37C0"/>
    <w:rsid w:val="001B3822"/>
    <w:rsid w:val="001B390A"/>
    <w:rsid w:val="001B3957"/>
    <w:rsid w:val="001B39AC"/>
    <w:rsid w:val="001B39B2"/>
    <w:rsid w:val="001B3A41"/>
    <w:rsid w:val="001B3A8A"/>
    <w:rsid w:val="001B3C31"/>
    <w:rsid w:val="001B3D96"/>
    <w:rsid w:val="001B3E36"/>
    <w:rsid w:val="001B3F18"/>
    <w:rsid w:val="001B40CA"/>
    <w:rsid w:val="001B412B"/>
    <w:rsid w:val="001B419C"/>
    <w:rsid w:val="001B42D1"/>
    <w:rsid w:val="001B42DE"/>
    <w:rsid w:val="001B4375"/>
    <w:rsid w:val="001B439B"/>
    <w:rsid w:val="001B45A7"/>
    <w:rsid w:val="001B45F5"/>
    <w:rsid w:val="001B4776"/>
    <w:rsid w:val="001B47BF"/>
    <w:rsid w:val="001B47F6"/>
    <w:rsid w:val="001B486E"/>
    <w:rsid w:val="001B4967"/>
    <w:rsid w:val="001B4983"/>
    <w:rsid w:val="001B4A33"/>
    <w:rsid w:val="001B4AF0"/>
    <w:rsid w:val="001B4AF6"/>
    <w:rsid w:val="001B4E93"/>
    <w:rsid w:val="001B4F82"/>
    <w:rsid w:val="001B4FB9"/>
    <w:rsid w:val="001B5075"/>
    <w:rsid w:val="001B517C"/>
    <w:rsid w:val="001B51E7"/>
    <w:rsid w:val="001B5206"/>
    <w:rsid w:val="001B529A"/>
    <w:rsid w:val="001B52AC"/>
    <w:rsid w:val="001B52B3"/>
    <w:rsid w:val="001B542D"/>
    <w:rsid w:val="001B5438"/>
    <w:rsid w:val="001B5482"/>
    <w:rsid w:val="001B5607"/>
    <w:rsid w:val="001B5685"/>
    <w:rsid w:val="001B5697"/>
    <w:rsid w:val="001B5795"/>
    <w:rsid w:val="001B57E6"/>
    <w:rsid w:val="001B588D"/>
    <w:rsid w:val="001B58AA"/>
    <w:rsid w:val="001B59CC"/>
    <w:rsid w:val="001B5A3A"/>
    <w:rsid w:val="001B5A92"/>
    <w:rsid w:val="001B5B00"/>
    <w:rsid w:val="001B5B97"/>
    <w:rsid w:val="001B5C59"/>
    <w:rsid w:val="001B5D5F"/>
    <w:rsid w:val="001B5E1F"/>
    <w:rsid w:val="001B5E2F"/>
    <w:rsid w:val="001B5E37"/>
    <w:rsid w:val="001B5E98"/>
    <w:rsid w:val="001B5FBE"/>
    <w:rsid w:val="001B5FF3"/>
    <w:rsid w:val="001B6185"/>
    <w:rsid w:val="001B62C7"/>
    <w:rsid w:val="001B633F"/>
    <w:rsid w:val="001B637A"/>
    <w:rsid w:val="001B63D9"/>
    <w:rsid w:val="001B65D6"/>
    <w:rsid w:val="001B66B9"/>
    <w:rsid w:val="001B6746"/>
    <w:rsid w:val="001B67C9"/>
    <w:rsid w:val="001B67E1"/>
    <w:rsid w:val="001B6859"/>
    <w:rsid w:val="001B6998"/>
    <w:rsid w:val="001B69B9"/>
    <w:rsid w:val="001B6A08"/>
    <w:rsid w:val="001B6A2B"/>
    <w:rsid w:val="001B6D4C"/>
    <w:rsid w:val="001B6E03"/>
    <w:rsid w:val="001B6E51"/>
    <w:rsid w:val="001B6F56"/>
    <w:rsid w:val="001B711E"/>
    <w:rsid w:val="001B71B4"/>
    <w:rsid w:val="001B71E3"/>
    <w:rsid w:val="001B720A"/>
    <w:rsid w:val="001B72E2"/>
    <w:rsid w:val="001B747B"/>
    <w:rsid w:val="001B7635"/>
    <w:rsid w:val="001B781D"/>
    <w:rsid w:val="001B7868"/>
    <w:rsid w:val="001B78CE"/>
    <w:rsid w:val="001B7952"/>
    <w:rsid w:val="001B7AE3"/>
    <w:rsid w:val="001B7C41"/>
    <w:rsid w:val="001B7C74"/>
    <w:rsid w:val="001B7D9F"/>
    <w:rsid w:val="001B7DEE"/>
    <w:rsid w:val="001B7E42"/>
    <w:rsid w:val="001B7EEF"/>
    <w:rsid w:val="001C02AA"/>
    <w:rsid w:val="001C03B9"/>
    <w:rsid w:val="001C04FA"/>
    <w:rsid w:val="001C060F"/>
    <w:rsid w:val="001C065A"/>
    <w:rsid w:val="001C06FE"/>
    <w:rsid w:val="001C070E"/>
    <w:rsid w:val="001C08C7"/>
    <w:rsid w:val="001C092A"/>
    <w:rsid w:val="001C09AC"/>
    <w:rsid w:val="001C0A63"/>
    <w:rsid w:val="001C0B01"/>
    <w:rsid w:val="001C0B1C"/>
    <w:rsid w:val="001C0BB4"/>
    <w:rsid w:val="001C0DB6"/>
    <w:rsid w:val="001C0DED"/>
    <w:rsid w:val="001C0F10"/>
    <w:rsid w:val="001C0FFC"/>
    <w:rsid w:val="001C1109"/>
    <w:rsid w:val="001C12AD"/>
    <w:rsid w:val="001C12D5"/>
    <w:rsid w:val="001C1336"/>
    <w:rsid w:val="001C14E5"/>
    <w:rsid w:val="001C15D6"/>
    <w:rsid w:val="001C161F"/>
    <w:rsid w:val="001C166E"/>
    <w:rsid w:val="001C16B6"/>
    <w:rsid w:val="001C175B"/>
    <w:rsid w:val="001C17A5"/>
    <w:rsid w:val="001C1827"/>
    <w:rsid w:val="001C1829"/>
    <w:rsid w:val="001C1836"/>
    <w:rsid w:val="001C1A02"/>
    <w:rsid w:val="001C1A5D"/>
    <w:rsid w:val="001C1A63"/>
    <w:rsid w:val="001C1B92"/>
    <w:rsid w:val="001C1BB9"/>
    <w:rsid w:val="001C1C2C"/>
    <w:rsid w:val="001C1E2A"/>
    <w:rsid w:val="001C1E96"/>
    <w:rsid w:val="001C21C9"/>
    <w:rsid w:val="001C21FE"/>
    <w:rsid w:val="001C2248"/>
    <w:rsid w:val="001C228F"/>
    <w:rsid w:val="001C22A8"/>
    <w:rsid w:val="001C237F"/>
    <w:rsid w:val="001C247F"/>
    <w:rsid w:val="001C2546"/>
    <w:rsid w:val="001C2625"/>
    <w:rsid w:val="001C273A"/>
    <w:rsid w:val="001C274C"/>
    <w:rsid w:val="001C288B"/>
    <w:rsid w:val="001C2A51"/>
    <w:rsid w:val="001C2AC5"/>
    <w:rsid w:val="001C2B21"/>
    <w:rsid w:val="001C2BAA"/>
    <w:rsid w:val="001C2C61"/>
    <w:rsid w:val="001C2E27"/>
    <w:rsid w:val="001C2FE0"/>
    <w:rsid w:val="001C3016"/>
    <w:rsid w:val="001C301B"/>
    <w:rsid w:val="001C3241"/>
    <w:rsid w:val="001C332C"/>
    <w:rsid w:val="001C3355"/>
    <w:rsid w:val="001C3514"/>
    <w:rsid w:val="001C35F5"/>
    <w:rsid w:val="001C3754"/>
    <w:rsid w:val="001C3795"/>
    <w:rsid w:val="001C3A48"/>
    <w:rsid w:val="001C3A74"/>
    <w:rsid w:val="001C3C62"/>
    <w:rsid w:val="001C3CB5"/>
    <w:rsid w:val="001C3D31"/>
    <w:rsid w:val="001C3D96"/>
    <w:rsid w:val="001C3E66"/>
    <w:rsid w:val="001C3EA6"/>
    <w:rsid w:val="001C3F17"/>
    <w:rsid w:val="001C402C"/>
    <w:rsid w:val="001C40CB"/>
    <w:rsid w:val="001C40FF"/>
    <w:rsid w:val="001C415F"/>
    <w:rsid w:val="001C41A9"/>
    <w:rsid w:val="001C4230"/>
    <w:rsid w:val="001C4247"/>
    <w:rsid w:val="001C428F"/>
    <w:rsid w:val="001C4328"/>
    <w:rsid w:val="001C433F"/>
    <w:rsid w:val="001C4419"/>
    <w:rsid w:val="001C45C8"/>
    <w:rsid w:val="001C4666"/>
    <w:rsid w:val="001C46A2"/>
    <w:rsid w:val="001C46AE"/>
    <w:rsid w:val="001C4733"/>
    <w:rsid w:val="001C479B"/>
    <w:rsid w:val="001C48D8"/>
    <w:rsid w:val="001C49D5"/>
    <w:rsid w:val="001C4A27"/>
    <w:rsid w:val="001C4BB0"/>
    <w:rsid w:val="001C4C67"/>
    <w:rsid w:val="001C4D39"/>
    <w:rsid w:val="001C4E0A"/>
    <w:rsid w:val="001C4FD3"/>
    <w:rsid w:val="001C51DF"/>
    <w:rsid w:val="001C533C"/>
    <w:rsid w:val="001C53A7"/>
    <w:rsid w:val="001C54E5"/>
    <w:rsid w:val="001C5546"/>
    <w:rsid w:val="001C577C"/>
    <w:rsid w:val="001C5A42"/>
    <w:rsid w:val="001C5AE2"/>
    <w:rsid w:val="001C5B14"/>
    <w:rsid w:val="001C5C23"/>
    <w:rsid w:val="001C5C3C"/>
    <w:rsid w:val="001C5CA3"/>
    <w:rsid w:val="001C5CEF"/>
    <w:rsid w:val="001C5CFC"/>
    <w:rsid w:val="001C5D32"/>
    <w:rsid w:val="001C5DF2"/>
    <w:rsid w:val="001C5F0C"/>
    <w:rsid w:val="001C5F4B"/>
    <w:rsid w:val="001C5F9F"/>
    <w:rsid w:val="001C62F2"/>
    <w:rsid w:val="001C6629"/>
    <w:rsid w:val="001C6651"/>
    <w:rsid w:val="001C6685"/>
    <w:rsid w:val="001C67B3"/>
    <w:rsid w:val="001C680B"/>
    <w:rsid w:val="001C688C"/>
    <w:rsid w:val="001C68B5"/>
    <w:rsid w:val="001C69EF"/>
    <w:rsid w:val="001C69F8"/>
    <w:rsid w:val="001C6B04"/>
    <w:rsid w:val="001C6B87"/>
    <w:rsid w:val="001C6D41"/>
    <w:rsid w:val="001C6D5C"/>
    <w:rsid w:val="001C6EA6"/>
    <w:rsid w:val="001C7011"/>
    <w:rsid w:val="001C705A"/>
    <w:rsid w:val="001C70F2"/>
    <w:rsid w:val="001C7248"/>
    <w:rsid w:val="001C741E"/>
    <w:rsid w:val="001C742B"/>
    <w:rsid w:val="001C7563"/>
    <w:rsid w:val="001C75D5"/>
    <w:rsid w:val="001C763E"/>
    <w:rsid w:val="001C772E"/>
    <w:rsid w:val="001C7789"/>
    <w:rsid w:val="001C77C3"/>
    <w:rsid w:val="001C7867"/>
    <w:rsid w:val="001C794B"/>
    <w:rsid w:val="001C7A4F"/>
    <w:rsid w:val="001C7A87"/>
    <w:rsid w:val="001C7BCC"/>
    <w:rsid w:val="001C7C50"/>
    <w:rsid w:val="001C7C9D"/>
    <w:rsid w:val="001C7F2D"/>
    <w:rsid w:val="001C7F7B"/>
    <w:rsid w:val="001D0125"/>
    <w:rsid w:val="001D012E"/>
    <w:rsid w:val="001D01D2"/>
    <w:rsid w:val="001D02B6"/>
    <w:rsid w:val="001D02C3"/>
    <w:rsid w:val="001D0398"/>
    <w:rsid w:val="001D0578"/>
    <w:rsid w:val="001D0671"/>
    <w:rsid w:val="001D07B8"/>
    <w:rsid w:val="001D08B2"/>
    <w:rsid w:val="001D09E3"/>
    <w:rsid w:val="001D0AB4"/>
    <w:rsid w:val="001D0ADB"/>
    <w:rsid w:val="001D0B77"/>
    <w:rsid w:val="001D0BE0"/>
    <w:rsid w:val="001D0BF6"/>
    <w:rsid w:val="001D0D8F"/>
    <w:rsid w:val="001D0E3C"/>
    <w:rsid w:val="001D0E6F"/>
    <w:rsid w:val="001D0EE1"/>
    <w:rsid w:val="001D0F7F"/>
    <w:rsid w:val="001D0FA1"/>
    <w:rsid w:val="001D0FFA"/>
    <w:rsid w:val="001D0FFD"/>
    <w:rsid w:val="001D106C"/>
    <w:rsid w:val="001D10A4"/>
    <w:rsid w:val="001D1116"/>
    <w:rsid w:val="001D125D"/>
    <w:rsid w:val="001D1342"/>
    <w:rsid w:val="001D14BA"/>
    <w:rsid w:val="001D159D"/>
    <w:rsid w:val="001D161D"/>
    <w:rsid w:val="001D167F"/>
    <w:rsid w:val="001D1728"/>
    <w:rsid w:val="001D1808"/>
    <w:rsid w:val="001D1829"/>
    <w:rsid w:val="001D1C22"/>
    <w:rsid w:val="001D1D8D"/>
    <w:rsid w:val="001D1DBF"/>
    <w:rsid w:val="001D1FC0"/>
    <w:rsid w:val="001D2076"/>
    <w:rsid w:val="001D2214"/>
    <w:rsid w:val="001D235C"/>
    <w:rsid w:val="001D254F"/>
    <w:rsid w:val="001D2579"/>
    <w:rsid w:val="001D262F"/>
    <w:rsid w:val="001D296D"/>
    <w:rsid w:val="001D2992"/>
    <w:rsid w:val="001D2AD7"/>
    <w:rsid w:val="001D2C29"/>
    <w:rsid w:val="001D2E72"/>
    <w:rsid w:val="001D2F88"/>
    <w:rsid w:val="001D3107"/>
    <w:rsid w:val="001D313D"/>
    <w:rsid w:val="001D31CF"/>
    <w:rsid w:val="001D324D"/>
    <w:rsid w:val="001D32ED"/>
    <w:rsid w:val="001D3351"/>
    <w:rsid w:val="001D339D"/>
    <w:rsid w:val="001D3492"/>
    <w:rsid w:val="001D35C9"/>
    <w:rsid w:val="001D3649"/>
    <w:rsid w:val="001D37C9"/>
    <w:rsid w:val="001D3980"/>
    <w:rsid w:val="001D39AC"/>
    <w:rsid w:val="001D3A11"/>
    <w:rsid w:val="001D3A9E"/>
    <w:rsid w:val="001D3AA3"/>
    <w:rsid w:val="001D3ED1"/>
    <w:rsid w:val="001D3F04"/>
    <w:rsid w:val="001D3F8F"/>
    <w:rsid w:val="001D3FB0"/>
    <w:rsid w:val="001D405A"/>
    <w:rsid w:val="001D4076"/>
    <w:rsid w:val="001D4106"/>
    <w:rsid w:val="001D4114"/>
    <w:rsid w:val="001D4139"/>
    <w:rsid w:val="001D41C8"/>
    <w:rsid w:val="001D429B"/>
    <w:rsid w:val="001D42D2"/>
    <w:rsid w:val="001D42F4"/>
    <w:rsid w:val="001D44AE"/>
    <w:rsid w:val="001D44DA"/>
    <w:rsid w:val="001D45A0"/>
    <w:rsid w:val="001D47D4"/>
    <w:rsid w:val="001D47D7"/>
    <w:rsid w:val="001D47DE"/>
    <w:rsid w:val="001D4877"/>
    <w:rsid w:val="001D4A40"/>
    <w:rsid w:val="001D4A56"/>
    <w:rsid w:val="001D4BEB"/>
    <w:rsid w:val="001D4C31"/>
    <w:rsid w:val="001D4C7A"/>
    <w:rsid w:val="001D4CC9"/>
    <w:rsid w:val="001D4ECB"/>
    <w:rsid w:val="001D4F28"/>
    <w:rsid w:val="001D4FDD"/>
    <w:rsid w:val="001D51B2"/>
    <w:rsid w:val="001D529F"/>
    <w:rsid w:val="001D52BF"/>
    <w:rsid w:val="001D5304"/>
    <w:rsid w:val="001D542C"/>
    <w:rsid w:val="001D54EB"/>
    <w:rsid w:val="001D5643"/>
    <w:rsid w:val="001D568A"/>
    <w:rsid w:val="001D572D"/>
    <w:rsid w:val="001D5B2D"/>
    <w:rsid w:val="001D5B3E"/>
    <w:rsid w:val="001D5CD6"/>
    <w:rsid w:val="001D5D6A"/>
    <w:rsid w:val="001D5D74"/>
    <w:rsid w:val="001D5E61"/>
    <w:rsid w:val="001D5EF8"/>
    <w:rsid w:val="001D5F2C"/>
    <w:rsid w:val="001D6070"/>
    <w:rsid w:val="001D60C7"/>
    <w:rsid w:val="001D6171"/>
    <w:rsid w:val="001D6311"/>
    <w:rsid w:val="001D6412"/>
    <w:rsid w:val="001D64E4"/>
    <w:rsid w:val="001D6518"/>
    <w:rsid w:val="001D6538"/>
    <w:rsid w:val="001D6576"/>
    <w:rsid w:val="001D6687"/>
    <w:rsid w:val="001D6778"/>
    <w:rsid w:val="001D67B4"/>
    <w:rsid w:val="001D67FD"/>
    <w:rsid w:val="001D689B"/>
    <w:rsid w:val="001D68D0"/>
    <w:rsid w:val="001D697A"/>
    <w:rsid w:val="001D69E1"/>
    <w:rsid w:val="001D6CA3"/>
    <w:rsid w:val="001D6D24"/>
    <w:rsid w:val="001D72ED"/>
    <w:rsid w:val="001D7319"/>
    <w:rsid w:val="001D7328"/>
    <w:rsid w:val="001D7392"/>
    <w:rsid w:val="001D74B8"/>
    <w:rsid w:val="001D7502"/>
    <w:rsid w:val="001D7685"/>
    <w:rsid w:val="001D7743"/>
    <w:rsid w:val="001D78E7"/>
    <w:rsid w:val="001D78FF"/>
    <w:rsid w:val="001D7A15"/>
    <w:rsid w:val="001D7B22"/>
    <w:rsid w:val="001D7C7E"/>
    <w:rsid w:val="001D7D1D"/>
    <w:rsid w:val="001D7D56"/>
    <w:rsid w:val="001D7DD9"/>
    <w:rsid w:val="001D7DFE"/>
    <w:rsid w:val="001D7E21"/>
    <w:rsid w:val="001D7E52"/>
    <w:rsid w:val="001D7E86"/>
    <w:rsid w:val="001D7EAA"/>
    <w:rsid w:val="001D7EC0"/>
    <w:rsid w:val="001D7EE1"/>
    <w:rsid w:val="001D7F59"/>
    <w:rsid w:val="001E0167"/>
    <w:rsid w:val="001E01C0"/>
    <w:rsid w:val="001E0209"/>
    <w:rsid w:val="001E0312"/>
    <w:rsid w:val="001E037E"/>
    <w:rsid w:val="001E0482"/>
    <w:rsid w:val="001E0486"/>
    <w:rsid w:val="001E04CD"/>
    <w:rsid w:val="001E053C"/>
    <w:rsid w:val="001E0545"/>
    <w:rsid w:val="001E05AA"/>
    <w:rsid w:val="001E0666"/>
    <w:rsid w:val="001E0695"/>
    <w:rsid w:val="001E0712"/>
    <w:rsid w:val="001E07BF"/>
    <w:rsid w:val="001E07EF"/>
    <w:rsid w:val="001E080F"/>
    <w:rsid w:val="001E0946"/>
    <w:rsid w:val="001E09AD"/>
    <w:rsid w:val="001E0AFB"/>
    <w:rsid w:val="001E0B55"/>
    <w:rsid w:val="001E0C2C"/>
    <w:rsid w:val="001E0C93"/>
    <w:rsid w:val="001E0CD1"/>
    <w:rsid w:val="001E0CE2"/>
    <w:rsid w:val="001E0DA9"/>
    <w:rsid w:val="001E0E02"/>
    <w:rsid w:val="001E0E4E"/>
    <w:rsid w:val="001E0F2C"/>
    <w:rsid w:val="001E1093"/>
    <w:rsid w:val="001E1186"/>
    <w:rsid w:val="001E12DB"/>
    <w:rsid w:val="001E13B0"/>
    <w:rsid w:val="001E13B9"/>
    <w:rsid w:val="001E142E"/>
    <w:rsid w:val="001E15BC"/>
    <w:rsid w:val="001E16A9"/>
    <w:rsid w:val="001E1713"/>
    <w:rsid w:val="001E1736"/>
    <w:rsid w:val="001E187C"/>
    <w:rsid w:val="001E192B"/>
    <w:rsid w:val="001E1988"/>
    <w:rsid w:val="001E1A11"/>
    <w:rsid w:val="001E1CEA"/>
    <w:rsid w:val="001E1D9F"/>
    <w:rsid w:val="001E1EC3"/>
    <w:rsid w:val="001E1FA7"/>
    <w:rsid w:val="001E1FFD"/>
    <w:rsid w:val="001E20AE"/>
    <w:rsid w:val="001E20E8"/>
    <w:rsid w:val="001E218C"/>
    <w:rsid w:val="001E22F9"/>
    <w:rsid w:val="001E2415"/>
    <w:rsid w:val="001E25DD"/>
    <w:rsid w:val="001E2624"/>
    <w:rsid w:val="001E276A"/>
    <w:rsid w:val="001E2830"/>
    <w:rsid w:val="001E2849"/>
    <w:rsid w:val="001E29B4"/>
    <w:rsid w:val="001E2A3B"/>
    <w:rsid w:val="001E2B48"/>
    <w:rsid w:val="001E2B76"/>
    <w:rsid w:val="001E2CCD"/>
    <w:rsid w:val="001E2CEC"/>
    <w:rsid w:val="001E2DFA"/>
    <w:rsid w:val="001E2E16"/>
    <w:rsid w:val="001E2FAF"/>
    <w:rsid w:val="001E2FD7"/>
    <w:rsid w:val="001E30E8"/>
    <w:rsid w:val="001E310A"/>
    <w:rsid w:val="001E3181"/>
    <w:rsid w:val="001E322B"/>
    <w:rsid w:val="001E33FA"/>
    <w:rsid w:val="001E35CC"/>
    <w:rsid w:val="001E3808"/>
    <w:rsid w:val="001E39C1"/>
    <w:rsid w:val="001E39DA"/>
    <w:rsid w:val="001E3A56"/>
    <w:rsid w:val="001E3A67"/>
    <w:rsid w:val="001E3B82"/>
    <w:rsid w:val="001E3B9E"/>
    <w:rsid w:val="001E3E9D"/>
    <w:rsid w:val="001E3F0C"/>
    <w:rsid w:val="001E3F0F"/>
    <w:rsid w:val="001E4242"/>
    <w:rsid w:val="001E42A4"/>
    <w:rsid w:val="001E4477"/>
    <w:rsid w:val="001E44B3"/>
    <w:rsid w:val="001E466B"/>
    <w:rsid w:val="001E46C5"/>
    <w:rsid w:val="001E4820"/>
    <w:rsid w:val="001E48CC"/>
    <w:rsid w:val="001E48EF"/>
    <w:rsid w:val="001E4904"/>
    <w:rsid w:val="001E4A24"/>
    <w:rsid w:val="001E4AEE"/>
    <w:rsid w:val="001E4BA0"/>
    <w:rsid w:val="001E4C5C"/>
    <w:rsid w:val="001E4CE8"/>
    <w:rsid w:val="001E4E07"/>
    <w:rsid w:val="001E4E4A"/>
    <w:rsid w:val="001E4E8D"/>
    <w:rsid w:val="001E4FCC"/>
    <w:rsid w:val="001E527D"/>
    <w:rsid w:val="001E5291"/>
    <w:rsid w:val="001E52C2"/>
    <w:rsid w:val="001E52CB"/>
    <w:rsid w:val="001E52F1"/>
    <w:rsid w:val="001E5333"/>
    <w:rsid w:val="001E5382"/>
    <w:rsid w:val="001E5613"/>
    <w:rsid w:val="001E5704"/>
    <w:rsid w:val="001E57D2"/>
    <w:rsid w:val="001E5819"/>
    <w:rsid w:val="001E581F"/>
    <w:rsid w:val="001E5A56"/>
    <w:rsid w:val="001E5BE6"/>
    <w:rsid w:val="001E5CDF"/>
    <w:rsid w:val="001E5CF8"/>
    <w:rsid w:val="001E5D4A"/>
    <w:rsid w:val="001E5DA8"/>
    <w:rsid w:val="001E5EE5"/>
    <w:rsid w:val="001E5F4A"/>
    <w:rsid w:val="001E6069"/>
    <w:rsid w:val="001E6389"/>
    <w:rsid w:val="001E6468"/>
    <w:rsid w:val="001E6559"/>
    <w:rsid w:val="001E6591"/>
    <w:rsid w:val="001E65BF"/>
    <w:rsid w:val="001E660A"/>
    <w:rsid w:val="001E665E"/>
    <w:rsid w:val="001E6675"/>
    <w:rsid w:val="001E67C3"/>
    <w:rsid w:val="001E67D7"/>
    <w:rsid w:val="001E6945"/>
    <w:rsid w:val="001E6BCF"/>
    <w:rsid w:val="001E6C01"/>
    <w:rsid w:val="001E6D08"/>
    <w:rsid w:val="001E6DBA"/>
    <w:rsid w:val="001E6E04"/>
    <w:rsid w:val="001E6EBB"/>
    <w:rsid w:val="001E6F0D"/>
    <w:rsid w:val="001E6F12"/>
    <w:rsid w:val="001E714F"/>
    <w:rsid w:val="001E71B3"/>
    <w:rsid w:val="001E727D"/>
    <w:rsid w:val="001E7291"/>
    <w:rsid w:val="001E7309"/>
    <w:rsid w:val="001E7313"/>
    <w:rsid w:val="001E7332"/>
    <w:rsid w:val="001E7427"/>
    <w:rsid w:val="001E748F"/>
    <w:rsid w:val="001E74F5"/>
    <w:rsid w:val="001E762B"/>
    <w:rsid w:val="001E76B6"/>
    <w:rsid w:val="001E78E2"/>
    <w:rsid w:val="001E7917"/>
    <w:rsid w:val="001E798D"/>
    <w:rsid w:val="001E79D3"/>
    <w:rsid w:val="001E7B1C"/>
    <w:rsid w:val="001E7B2C"/>
    <w:rsid w:val="001E7D10"/>
    <w:rsid w:val="001E7E76"/>
    <w:rsid w:val="001E7EC2"/>
    <w:rsid w:val="001E7F1E"/>
    <w:rsid w:val="001E7F93"/>
    <w:rsid w:val="001F00EA"/>
    <w:rsid w:val="001F01D2"/>
    <w:rsid w:val="001F01E1"/>
    <w:rsid w:val="001F0240"/>
    <w:rsid w:val="001F037C"/>
    <w:rsid w:val="001F03D9"/>
    <w:rsid w:val="001F03FB"/>
    <w:rsid w:val="001F04C2"/>
    <w:rsid w:val="001F0501"/>
    <w:rsid w:val="001F05FC"/>
    <w:rsid w:val="001F0656"/>
    <w:rsid w:val="001F065B"/>
    <w:rsid w:val="001F076E"/>
    <w:rsid w:val="001F07E5"/>
    <w:rsid w:val="001F07EC"/>
    <w:rsid w:val="001F086D"/>
    <w:rsid w:val="001F091C"/>
    <w:rsid w:val="001F0989"/>
    <w:rsid w:val="001F0A23"/>
    <w:rsid w:val="001F0A8D"/>
    <w:rsid w:val="001F0AB1"/>
    <w:rsid w:val="001F0BAD"/>
    <w:rsid w:val="001F0C5A"/>
    <w:rsid w:val="001F0DCA"/>
    <w:rsid w:val="001F0F03"/>
    <w:rsid w:val="001F117D"/>
    <w:rsid w:val="001F12F9"/>
    <w:rsid w:val="001F13E2"/>
    <w:rsid w:val="001F174B"/>
    <w:rsid w:val="001F1906"/>
    <w:rsid w:val="001F19BE"/>
    <w:rsid w:val="001F1A3E"/>
    <w:rsid w:val="001F1B0E"/>
    <w:rsid w:val="001F1D5A"/>
    <w:rsid w:val="001F1E2D"/>
    <w:rsid w:val="001F1E74"/>
    <w:rsid w:val="001F1E7E"/>
    <w:rsid w:val="001F1E88"/>
    <w:rsid w:val="001F1F5B"/>
    <w:rsid w:val="001F2083"/>
    <w:rsid w:val="001F2170"/>
    <w:rsid w:val="001F231E"/>
    <w:rsid w:val="001F2504"/>
    <w:rsid w:val="001F25C8"/>
    <w:rsid w:val="001F25FD"/>
    <w:rsid w:val="001F2626"/>
    <w:rsid w:val="001F2765"/>
    <w:rsid w:val="001F283E"/>
    <w:rsid w:val="001F28C0"/>
    <w:rsid w:val="001F297A"/>
    <w:rsid w:val="001F2ACF"/>
    <w:rsid w:val="001F2B18"/>
    <w:rsid w:val="001F2B66"/>
    <w:rsid w:val="001F2BD6"/>
    <w:rsid w:val="001F2C9D"/>
    <w:rsid w:val="001F2CE0"/>
    <w:rsid w:val="001F2EA8"/>
    <w:rsid w:val="001F2EE0"/>
    <w:rsid w:val="001F2F85"/>
    <w:rsid w:val="001F336E"/>
    <w:rsid w:val="001F3642"/>
    <w:rsid w:val="001F365D"/>
    <w:rsid w:val="001F36EA"/>
    <w:rsid w:val="001F3B48"/>
    <w:rsid w:val="001F3C37"/>
    <w:rsid w:val="001F3D99"/>
    <w:rsid w:val="001F3DFF"/>
    <w:rsid w:val="001F3E05"/>
    <w:rsid w:val="001F3E74"/>
    <w:rsid w:val="001F3EAC"/>
    <w:rsid w:val="001F3F4A"/>
    <w:rsid w:val="001F3FC9"/>
    <w:rsid w:val="001F408C"/>
    <w:rsid w:val="001F416A"/>
    <w:rsid w:val="001F41B9"/>
    <w:rsid w:val="001F4368"/>
    <w:rsid w:val="001F47B7"/>
    <w:rsid w:val="001F48EA"/>
    <w:rsid w:val="001F4917"/>
    <w:rsid w:val="001F4993"/>
    <w:rsid w:val="001F49D9"/>
    <w:rsid w:val="001F49DB"/>
    <w:rsid w:val="001F4A88"/>
    <w:rsid w:val="001F4B16"/>
    <w:rsid w:val="001F4B2A"/>
    <w:rsid w:val="001F4C1B"/>
    <w:rsid w:val="001F4CF9"/>
    <w:rsid w:val="001F4E39"/>
    <w:rsid w:val="001F4E69"/>
    <w:rsid w:val="001F52AC"/>
    <w:rsid w:val="001F5372"/>
    <w:rsid w:val="001F53F4"/>
    <w:rsid w:val="001F54F6"/>
    <w:rsid w:val="001F55A9"/>
    <w:rsid w:val="001F57BD"/>
    <w:rsid w:val="001F58F2"/>
    <w:rsid w:val="001F5925"/>
    <w:rsid w:val="001F59C9"/>
    <w:rsid w:val="001F5A97"/>
    <w:rsid w:val="001F5BA3"/>
    <w:rsid w:val="001F5BC8"/>
    <w:rsid w:val="001F5C82"/>
    <w:rsid w:val="001F5DA9"/>
    <w:rsid w:val="001F5DC6"/>
    <w:rsid w:val="001F5DC8"/>
    <w:rsid w:val="001F5EB2"/>
    <w:rsid w:val="001F5EB8"/>
    <w:rsid w:val="001F5ECD"/>
    <w:rsid w:val="001F5EE3"/>
    <w:rsid w:val="001F62AF"/>
    <w:rsid w:val="001F62EF"/>
    <w:rsid w:val="001F632D"/>
    <w:rsid w:val="001F6535"/>
    <w:rsid w:val="001F65E3"/>
    <w:rsid w:val="001F664B"/>
    <w:rsid w:val="001F66A4"/>
    <w:rsid w:val="001F6718"/>
    <w:rsid w:val="001F68FE"/>
    <w:rsid w:val="001F694C"/>
    <w:rsid w:val="001F6A0C"/>
    <w:rsid w:val="001F6A16"/>
    <w:rsid w:val="001F6A1B"/>
    <w:rsid w:val="001F6B55"/>
    <w:rsid w:val="001F6BE6"/>
    <w:rsid w:val="001F6D5B"/>
    <w:rsid w:val="001F6F25"/>
    <w:rsid w:val="001F71A7"/>
    <w:rsid w:val="001F71B9"/>
    <w:rsid w:val="001F7344"/>
    <w:rsid w:val="001F7362"/>
    <w:rsid w:val="001F75FB"/>
    <w:rsid w:val="001F764F"/>
    <w:rsid w:val="001F76BB"/>
    <w:rsid w:val="001F77DC"/>
    <w:rsid w:val="001F79D6"/>
    <w:rsid w:val="001F79E5"/>
    <w:rsid w:val="001F7CDD"/>
    <w:rsid w:val="001F7D16"/>
    <w:rsid w:val="001F7D75"/>
    <w:rsid w:val="001F7F38"/>
    <w:rsid w:val="001F7F3B"/>
    <w:rsid w:val="0020003C"/>
    <w:rsid w:val="00200094"/>
    <w:rsid w:val="002000D1"/>
    <w:rsid w:val="002002F6"/>
    <w:rsid w:val="00200357"/>
    <w:rsid w:val="00200515"/>
    <w:rsid w:val="00200560"/>
    <w:rsid w:val="002006EB"/>
    <w:rsid w:val="00200789"/>
    <w:rsid w:val="0020078F"/>
    <w:rsid w:val="00200874"/>
    <w:rsid w:val="0020088B"/>
    <w:rsid w:val="002009B5"/>
    <w:rsid w:val="002009FD"/>
    <w:rsid w:val="00200A16"/>
    <w:rsid w:val="00200A4A"/>
    <w:rsid w:val="00200BC6"/>
    <w:rsid w:val="00200E3B"/>
    <w:rsid w:val="00200E63"/>
    <w:rsid w:val="00200F7C"/>
    <w:rsid w:val="00201012"/>
    <w:rsid w:val="0020108F"/>
    <w:rsid w:val="00201114"/>
    <w:rsid w:val="00201140"/>
    <w:rsid w:val="0020146D"/>
    <w:rsid w:val="002014CC"/>
    <w:rsid w:val="002014ED"/>
    <w:rsid w:val="002015A1"/>
    <w:rsid w:val="002015C7"/>
    <w:rsid w:val="00201648"/>
    <w:rsid w:val="00201655"/>
    <w:rsid w:val="0020169F"/>
    <w:rsid w:val="002016CF"/>
    <w:rsid w:val="00201863"/>
    <w:rsid w:val="002018F8"/>
    <w:rsid w:val="00201943"/>
    <w:rsid w:val="00201975"/>
    <w:rsid w:val="002019BE"/>
    <w:rsid w:val="00201B32"/>
    <w:rsid w:val="00201EAB"/>
    <w:rsid w:val="00201F87"/>
    <w:rsid w:val="0020202D"/>
    <w:rsid w:val="00202057"/>
    <w:rsid w:val="0020205E"/>
    <w:rsid w:val="002022EA"/>
    <w:rsid w:val="00202313"/>
    <w:rsid w:val="00202330"/>
    <w:rsid w:val="00202513"/>
    <w:rsid w:val="00202529"/>
    <w:rsid w:val="0020252B"/>
    <w:rsid w:val="00202636"/>
    <w:rsid w:val="002026A4"/>
    <w:rsid w:val="002026E0"/>
    <w:rsid w:val="0020284E"/>
    <w:rsid w:val="002028C3"/>
    <w:rsid w:val="002029AC"/>
    <w:rsid w:val="00202A7D"/>
    <w:rsid w:val="00202B42"/>
    <w:rsid w:val="00202C06"/>
    <w:rsid w:val="00202C2B"/>
    <w:rsid w:val="00202CDD"/>
    <w:rsid w:val="00202D7B"/>
    <w:rsid w:val="00202EFA"/>
    <w:rsid w:val="00202FE5"/>
    <w:rsid w:val="002030BE"/>
    <w:rsid w:val="00203263"/>
    <w:rsid w:val="002032F5"/>
    <w:rsid w:val="00203478"/>
    <w:rsid w:val="002034CE"/>
    <w:rsid w:val="0020365D"/>
    <w:rsid w:val="0020367E"/>
    <w:rsid w:val="00203682"/>
    <w:rsid w:val="00203728"/>
    <w:rsid w:val="002038C7"/>
    <w:rsid w:val="0020396A"/>
    <w:rsid w:val="002039F6"/>
    <w:rsid w:val="00203A0A"/>
    <w:rsid w:val="00203A47"/>
    <w:rsid w:val="00203A4B"/>
    <w:rsid w:val="00203AAA"/>
    <w:rsid w:val="00203C04"/>
    <w:rsid w:val="002043F0"/>
    <w:rsid w:val="0020454C"/>
    <w:rsid w:val="0020470A"/>
    <w:rsid w:val="0020488F"/>
    <w:rsid w:val="002048E8"/>
    <w:rsid w:val="0020497F"/>
    <w:rsid w:val="00204B3B"/>
    <w:rsid w:val="00204BA9"/>
    <w:rsid w:val="00204BF9"/>
    <w:rsid w:val="00204D97"/>
    <w:rsid w:val="00204F28"/>
    <w:rsid w:val="00205086"/>
    <w:rsid w:val="002051B8"/>
    <w:rsid w:val="002052CB"/>
    <w:rsid w:val="0020547E"/>
    <w:rsid w:val="0020548A"/>
    <w:rsid w:val="002055FC"/>
    <w:rsid w:val="00205890"/>
    <w:rsid w:val="002059F4"/>
    <w:rsid w:val="00205B28"/>
    <w:rsid w:val="00205D8D"/>
    <w:rsid w:val="00205E18"/>
    <w:rsid w:val="00205ECA"/>
    <w:rsid w:val="00205F00"/>
    <w:rsid w:val="0020606D"/>
    <w:rsid w:val="002061B2"/>
    <w:rsid w:val="00206284"/>
    <w:rsid w:val="0020633D"/>
    <w:rsid w:val="0020639C"/>
    <w:rsid w:val="0020663F"/>
    <w:rsid w:val="00206650"/>
    <w:rsid w:val="00206875"/>
    <w:rsid w:val="00206976"/>
    <w:rsid w:val="00206984"/>
    <w:rsid w:val="00206B77"/>
    <w:rsid w:val="00206CFE"/>
    <w:rsid w:val="00207061"/>
    <w:rsid w:val="00207069"/>
    <w:rsid w:val="0020708D"/>
    <w:rsid w:val="002070B8"/>
    <w:rsid w:val="002072EA"/>
    <w:rsid w:val="002073A1"/>
    <w:rsid w:val="00207523"/>
    <w:rsid w:val="002076CD"/>
    <w:rsid w:val="002077B8"/>
    <w:rsid w:val="002077CB"/>
    <w:rsid w:val="0020785A"/>
    <w:rsid w:val="00207A8E"/>
    <w:rsid w:val="00207BB2"/>
    <w:rsid w:val="00207D78"/>
    <w:rsid w:val="00210053"/>
    <w:rsid w:val="002100A3"/>
    <w:rsid w:val="002100B4"/>
    <w:rsid w:val="002101DE"/>
    <w:rsid w:val="002102E5"/>
    <w:rsid w:val="002103F1"/>
    <w:rsid w:val="0021047D"/>
    <w:rsid w:val="002104EE"/>
    <w:rsid w:val="002106EA"/>
    <w:rsid w:val="00210913"/>
    <w:rsid w:val="00210A7B"/>
    <w:rsid w:val="00210AD0"/>
    <w:rsid w:val="00210AE9"/>
    <w:rsid w:val="00210C97"/>
    <w:rsid w:val="00210D00"/>
    <w:rsid w:val="00210D1E"/>
    <w:rsid w:val="00210D63"/>
    <w:rsid w:val="00210EFA"/>
    <w:rsid w:val="00210F29"/>
    <w:rsid w:val="00210F7A"/>
    <w:rsid w:val="00210FF0"/>
    <w:rsid w:val="0021101A"/>
    <w:rsid w:val="002110F7"/>
    <w:rsid w:val="0021112A"/>
    <w:rsid w:val="0021116A"/>
    <w:rsid w:val="002111FA"/>
    <w:rsid w:val="002113C2"/>
    <w:rsid w:val="0021140F"/>
    <w:rsid w:val="00211420"/>
    <w:rsid w:val="00211471"/>
    <w:rsid w:val="0021171E"/>
    <w:rsid w:val="00211724"/>
    <w:rsid w:val="0021185D"/>
    <w:rsid w:val="00211864"/>
    <w:rsid w:val="002118B7"/>
    <w:rsid w:val="00211981"/>
    <w:rsid w:val="002119A5"/>
    <w:rsid w:val="00211A04"/>
    <w:rsid w:val="00211B0D"/>
    <w:rsid w:val="00211B84"/>
    <w:rsid w:val="00211D22"/>
    <w:rsid w:val="00211DFB"/>
    <w:rsid w:val="00211E8A"/>
    <w:rsid w:val="00211FD5"/>
    <w:rsid w:val="00212139"/>
    <w:rsid w:val="00212151"/>
    <w:rsid w:val="0021215A"/>
    <w:rsid w:val="00212464"/>
    <w:rsid w:val="002124C0"/>
    <w:rsid w:val="00212528"/>
    <w:rsid w:val="00212529"/>
    <w:rsid w:val="0021254A"/>
    <w:rsid w:val="00212706"/>
    <w:rsid w:val="00212759"/>
    <w:rsid w:val="002127FD"/>
    <w:rsid w:val="0021289E"/>
    <w:rsid w:val="002129C6"/>
    <w:rsid w:val="002129E1"/>
    <w:rsid w:val="00212A2F"/>
    <w:rsid w:val="00212AEB"/>
    <w:rsid w:val="00212AFA"/>
    <w:rsid w:val="00212C11"/>
    <w:rsid w:val="00212E75"/>
    <w:rsid w:val="00212EBB"/>
    <w:rsid w:val="00212F4D"/>
    <w:rsid w:val="00212FBC"/>
    <w:rsid w:val="0021303F"/>
    <w:rsid w:val="0021324C"/>
    <w:rsid w:val="00213307"/>
    <w:rsid w:val="002133DF"/>
    <w:rsid w:val="0021379E"/>
    <w:rsid w:val="002137F7"/>
    <w:rsid w:val="002137FC"/>
    <w:rsid w:val="0021386D"/>
    <w:rsid w:val="00213A1F"/>
    <w:rsid w:val="00213B1E"/>
    <w:rsid w:val="00213E3A"/>
    <w:rsid w:val="00213F64"/>
    <w:rsid w:val="00213F7B"/>
    <w:rsid w:val="00213F97"/>
    <w:rsid w:val="00213FCC"/>
    <w:rsid w:val="002141C9"/>
    <w:rsid w:val="002141F6"/>
    <w:rsid w:val="002142B4"/>
    <w:rsid w:val="002143CA"/>
    <w:rsid w:val="00214452"/>
    <w:rsid w:val="00214576"/>
    <w:rsid w:val="002145AD"/>
    <w:rsid w:val="0021463E"/>
    <w:rsid w:val="00214683"/>
    <w:rsid w:val="0021471C"/>
    <w:rsid w:val="002148B2"/>
    <w:rsid w:val="002149EF"/>
    <w:rsid w:val="00214A9C"/>
    <w:rsid w:val="00214AAD"/>
    <w:rsid w:val="00214B26"/>
    <w:rsid w:val="00214B89"/>
    <w:rsid w:val="00214CAE"/>
    <w:rsid w:val="00214DD4"/>
    <w:rsid w:val="00214E46"/>
    <w:rsid w:val="00215052"/>
    <w:rsid w:val="00215053"/>
    <w:rsid w:val="002150CC"/>
    <w:rsid w:val="0021536A"/>
    <w:rsid w:val="002155C0"/>
    <w:rsid w:val="00215686"/>
    <w:rsid w:val="00215741"/>
    <w:rsid w:val="0021575B"/>
    <w:rsid w:val="0021591A"/>
    <w:rsid w:val="0021595E"/>
    <w:rsid w:val="00215AF6"/>
    <w:rsid w:val="00215C07"/>
    <w:rsid w:val="00215C15"/>
    <w:rsid w:val="00215D27"/>
    <w:rsid w:val="00215DA1"/>
    <w:rsid w:val="00215E27"/>
    <w:rsid w:val="00215EB2"/>
    <w:rsid w:val="00215EE0"/>
    <w:rsid w:val="00215F35"/>
    <w:rsid w:val="00215FDC"/>
    <w:rsid w:val="0021604A"/>
    <w:rsid w:val="002161B8"/>
    <w:rsid w:val="00216247"/>
    <w:rsid w:val="00216336"/>
    <w:rsid w:val="00216408"/>
    <w:rsid w:val="00216456"/>
    <w:rsid w:val="0021645C"/>
    <w:rsid w:val="002165CB"/>
    <w:rsid w:val="00216692"/>
    <w:rsid w:val="0021680F"/>
    <w:rsid w:val="002168C3"/>
    <w:rsid w:val="002169AB"/>
    <w:rsid w:val="002169BD"/>
    <w:rsid w:val="00216B8E"/>
    <w:rsid w:val="00216BBE"/>
    <w:rsid w:val="00216C03"/>
    <w:rsid w:val="00216D4A"/>
    <w:rsid w:val="00216E33"/>
    <w:rsid w:val="00216F90"/>
    <w:rsid w:val="00216F9B"/>
    <w:rsid w:val="00216FF2"/>
    <w:rsid w:val="002171C4"/>
    <w:rsid w:val="00217216"/>
    <w:rsid w:val="0021723C"/>
    <w:rsid w:val="002172F0"/>
    <w:rsid w:val="002174CF"/>
    <w:rsid w:val="00217578"/>
    <w:rsid w:val="0021757F"/>
    <w:rsid w:val="002175DD"/>
    <w:rsid w:val="0021768B"/>
    <w:rsid w:val="00217799"/>
    <w:rsid w:val="002177AA"/>
    <w:rsid w:val="002177CB"/>
    <w:rsid w:val="002178CD"/>
    <w:rsid w:val="00217927"/>
    <w:rsid w:val="0021798F"/>
    <w:rsid w:val="002179CE"/>
    <w:rsid w:val="00217BB2"/>
    <w:rsid w:val="00217C28"/>
    <w:rsid w:val="00217CBF"/>
    <w:rsid w:val="00217E37"/>
    <w:rsid w:val="00217E3D"/>
    <w:rsid w:val="00217F06"/>
    <w:rsid w:val="00217F85"/>
    <w:rsid w:val="00220183"/>
    <w:rsid w:val="0022027D"/>
    <w:rsid w:val="002202F0"/>
    <w:rsid w:val="00220371"/>
    <w:rsid w:val="00220401"/>
    <w:rsid w:val="00220422"/>
    <w:rsid w:val="0022045F"/>
    <w:rsid w:val="002205EF"/>
    <w:rsid w:val="0022066D"/>
    <w:rsid w:val="002206F6"/>
    <w:rsid w:val="00220800"/>
    <w:rsid w:val="00220858"/>
    <w:rsid w:val="0022085B"/>
    <w:rsid w:val="002208A2"/>
    <w:rsid w:val="002208DF"/>
    <w:rsid w:val="00220A64"/>
    <w:rsid w:val="00220B72"/>
    <w:rsid w:val="00220CA5"/>
    <w:rsid w:val="00220CB3"/>
    <w:rsid w:val="00220D76"/>
    <w:rsid w:val="00220F56"/>
    <w:rsid w:val="00221016"/>
    <w:rsid w:val="00221194"/>
    <w:rsid w:val="0022119F"/>
    <w:rsid w:val="0022120F"/>
    <w:rsid w:val="002212A5"/>
    <w:rsid w:val="002212DE"/>
    <w:rsid w:val="0022132F"/>
    <w:rsid w:val="0022134F"/>
    <w:rsid w:val="00221508"/>
    <w:rsid w:val="0022156C"/>
    <w:rsid w:val="002217EB"/>
    <w:rsid w:val="00221854"/>
    <w:rsid w:val="002218C1"/>
    <w:rsid w:val="002218D5"/>
    <w:rsid w:val="00221965"/>
    <w:rsid w:val="00221B38"/>
    <w:rsid w:val="00221B91"/>
    <w:rsid w:val="00221BE0"/>
    <w:rsid w:val="00221D97"/>
    <w:rsid w:val="00221EEE"/>
    <w:rsid w:val="00221EEF"/>
    <w:rsid w:val="00221FBB"/>
    <w:rsid w:val="00221FD5"/>
    <w:rsid w:val="00222146"/>
    <w:rsid w:val="002222E2"/>
    <w:rsid w:val="00222511"/>
    <w:rsid w:val="0022256E"/>
    <w:rsid w:val="002225EA"/>
    <w:rsid w:val="002225F9"/>
    <w:rsid w:val="00222681"/>
    <w:rsid w:val="0022286D"/>
    <w:rsid w:val="00222921"/>
    <w:rsid w:val="00222A2A"/>
    <w:rsid w:val="00222B10"/>
    <w:rsid w:val="00222BED"/>
    <w:rsid w:val="00222C22"/>
    <w:rsid w:val="00222D1F"/>
    <w:rsid w:val="00222D84"/>
    <w:rsid w:val="00222DBA"/>
    <w:rsid w:val="00222DF8"/>
    <w:rsid w:val="0022304A"/>
    <w:rsid w:val="00223069"/>
    <w:rsid w:val="002230AE"/>
    <w:rsid w:val="0022316E"/>
    <w:rsid w:val="002232B3"/>
    <w:rsid w:val="0022345C"/>
    <w:rsid w:val="00223598"/>
    <w:rsid w:val="0022383A"/>
    <w:rsid w:val="002238E1"/>
    <w:rsid w:val="00223916"/>
    <w:rsid w:val="00223937"/>
    <w:rsid w:val="002239B5"/>
    <w:rsid w:val="002239FB"/>
    <w:rsid w:val="00223ABF"/>
    <w:rsid w:val="00223AF4"/>
    <w:rsid w:val="00223B3A"/>
    <w:rsid w:val="00223B42"/>
    <w:rsid w:val="00223B79"/>
    <w:rsid w:val="00223CAD"/>
    <w:rsid w:val="00223E47"/>
    <w:rsid w:val="00223F18"/>
    <w:rsid w:val="00223F2D"/>
    <w:rsid w:val="00223FFF"/>
    <w:rsid w:val="00224004"/>
    <w:rsid w:val="00224123"/>
    <w:rsid w:val="002243EC"/>
    <w:rsid w:val="0022443E"/>
    <w:rsid w:val="0022451B"/>
    <w:rsid w:val="00224526"/>
    <w:rsid w:val="00224542"/>
    <w:rsid w:val="00224611"/>
    <w:rsid w:val="00224753"/>
    <w:rsid w:val="0022478F"/>
    <w:rsid w:val="0022480F"/>
    <w:rsid w:val="00224BBF"/>
    <w:rsid w:val="00224BE3"/>
    <w:rsid w:val="00224C2A"/>
    <w:rsid w:val="00224C71"/>
    <w:rsid w:val="00224DBE"/>
    <w:rsid w:val="00224DCB"/>
    <w:rsid w:val="00224DF7"/>
    <w:rsid w:val="00224E1A"/>
    <w:rsid w:val="00224EA9"/>
    <w:rsid w:val="00224EAD"/>
    <w:rsid w:val="00224F63"/>
    <w:rsid w:val="00224FEB"/>
    <w:rsid w:val="00224FF2"/>
    <w:rsid w:val="00225062"/>
    <w:rsid w:val="0022508C"/>
    <w:rsid w:val="00225163"/>
    <w:rsid w:val="002252A1"/>
    <w:rsid w:val="00225364"/>
    <w:rsid w:val="00225580"/>
    <w:rsid w:val="002256D0"/>
    <w:rsid w:val="0022579D"/>
    <w:rsid w:val="0022588F"/>
    <w:rsid w:val="002258BB"/>
    <w:rsid w:val="002258F0"/>
    <w:rsid w:val="00225A4A"/>
    <w:rsid w:val="00225CD2"/>
    <w:rsid w:val="00225DDB"/>
    <w:rsid w:val="00225EB8"/>
    <w:rsid w:val="00225F5B"/>
    <w:rsid w:val="00225F75"/>
    <w:rsid w:val="002260AD"/>
    <w:rsid w:val="00226125"/>
    <w:rsid w:val="0022616F"/>
    <w:rsid w:val="0022626C"/>
    <w:rsid w:val="002262BD"/>
    <w:rsid w:val="002262E4"/>
    <w:rsid w:val="00226314"/>
    <w:rsid w:val="00226320"/>
    <w:rsid w:val="00226408"/>
    <w:rsid w:val="00226572"/>
    <w:rsid w:val="00226858"/>
    <w:rsid w:val="00226891"/>
    <w:rsid w:val="002268FF"/>
    <w:rsid w:val="00226955"/>
    <w:rsid w:val="00226A30"/>
    <w:rsid w:val="00226B59"/>
    <w:rsid w:val="00226C29"/>
    <w:rsid w:val="00226C9C"/>
    <w:rsid w:val="00226CBF"/>
    <w:rsid w:val="00226CD1"/>
    <w:rsid w:val="00226D4F"/>
    <w:rsid w:val="00226DCC"/>
    <w:rsid w:val="00226E04"/>
    <w:rsid w:val="00226E3F"/>
    <w:rsid w:val="00226E87"/>
    <w:rsid w:val="00226E96"/>
    <w:rsid w:val="00226EAC"/>
    <w:rsid w:val="00226EE6"/>
    <w:rsid w:val="00226FD5"/>
    <w:rsid w:val="0022705C"/>
    <w:rsid w:val="0022711A"/>
    <w:rsid w:val="0022718A"/>
    <w:rsid w:val="002272A8"/>
    <w:rsid w:val="00227317"/>
    <w:rsid w:val="00227487"/>
    <w:rsid w:val="002274E8"/>
    <w:rsid w:val="00227511"/>
    <w:rsid w:val="002275E2"/>
    <w:rsid w:val="0022763A"/>
    <w:rsid w:val="00227819"/>
    <w:rsid w:val="00227896"/>
    <w:rsid w:val="0022789F"/>
    <w:rsid w:val="00227965"/>
    <w:rsid w:val="0022799A"/>
    <w:rsid w:val="002279A3"/>
    <w:rsid w:val="00227A17"/>
    <w:rsid w:val="00227AC0"/>
    <w:rsid w:val="00227B44"/>
    <w:rsid w:val="00227CF3"/>
    <w:rsid w:val="00227F19"/>
    <w:rsid w:val="0023000A"/>
    <w:rsid w:val="002300B8"/>
    <w:rsid w:val="0023016D"/>
    <w:rsid w:val="002301A8"/>
    <w:rsid w:val="002301C7"/>
    <w:rsid w:val="00230216"/>
    <w:rsid w:val="002302EA"/>
    <w:rsid w:val="002304BC"/>
    <w:rsid w:val="00230599"/>
    <w:rsid w:val="0023062F"/>
    <w:rsid w:val="00230656"/>
    <w:rsid w:val="00230663"/>
    <w:rsid w:val="00230696"/>
    <w:rsid w:val="0023094C"/>
    <w:rsid w:val="00230B41"/>
    <w:rsid w:val="00230DC8"/>
    <w:rsid w:val="00230E1C"/>
    <w:rsid w:val="00230E46"/>
    <w:rsid w:val="00230E8E"/>
    <w:rsid w:val="00230E97"/>
    <w:rsid w:val="00230F4E"/>
    <w:rsid w:val="0023117B"/>
    <w:rsid w:val="0023129E"/>
    <w:rsid w:val="002312E3"/>
    <w:rsid w:val="002312E5"/>
    <w:rsid w:val="002313B2"/>
    <w:rsid w:val="0023156B"/>
    <w:rsid w:val="00231644"/>
    <w:rsid w:val="0023181B"/>
    <w:rsid w:val="0023187E"/>
    <w:rsid w:val="002319E8"/>
    <w:rsid w:val="00231A27"/>
    <w:rsid w:val="00231B19"/>
    <w:rsid w:val="00231B1D"/>
    <w:rsid w:val="00231B3D"/>
    <w:rsid w:val="00231C41"/>
    <w:rsid w:val="00231CF3"/>
    <w:rsid w:val="00231ECC"/>
    <w:rsid w:val="00231EE8"/>
    <w:rsid w:val="00231F97"/>
    <w:rsid w:val="002321C8"/>
    <w:rsid w:val="002321FC"/>
    <w:rsid w:val="002322AD"/>
    <w:rsid w:val="0023234C"/>
    <w:rsid w:val="00232386"/>
    <w:rsid w:val="00232391"/>
    <w:rsid w:val="002323C0"/>
    <w:rsid w:val="002323D8"/>
    <w:rsid w:val="00232497"/>
    <w:rsid w:val="002325D0"/>
    <w:rsid w:val="00232633"/>
    <w:rsid w:val="0023270C"/>
    <w:rsid w:val="0023286C"/>
    <w:rsid w:val="0023287C"/>
    <w:rsid w:val="002328C4"/>
    <w:rsid w:val="0023297C"/>
    <w:rsid w:val="00232AB2"/>
    <w:rsid w:val="00232ACA"/>
    <w:rsid w:val="00232BDF"/>
    <w:rsid w:val="00232D99"/>
    <w:rsid w:val="00232E1B"/>
    <w:rsid w:val="00232E5E"/>
    <w:rsid w:val="00232E79"/>
    <w:rsid w:val="00232ED1"/>
    <w:rsid w:val="002330E0"/>
    <w:rsid w:val="002330F5"/>
    <w:rsid w:val="002330F8"/>
    <w:rsid w:val="002330FD"/>
    <w:rsid w:val="00233166"/>
    <w:rsid w:val="0023316F"/>
    <w:rsid w:val="00233224"/>
    <w:rsid w:val="00233290"/>
    <w:rsid w:val="00233327"/>
    <w:rsid w:val="002333D0"/>
    <w:rsid w:val="002336F6"/>
    <w:rsid w:val="00233801"/>
    <w:rsid w:val="00233A31"/>
    <w:rsid w:val="00233A75"/>
    <w:rsid w:val="00233AD8"/>
    <w:rsid w:val="00233C3C"/>
    <w:rsid w:val="00233C66"/>
    <w:rsid w:val="00233CAF"/>
    <w:rsid w:val="00233D26"/>
    <w:rsid w:val="00233D91"/>
    <w:rsid w:val="002340A1"/>
    <w:rsid w:val="00234131"/>
    <w:rsid w:val="0023423A"/>
    <w:rsid w:val="0023424F"/>
    <w:rsid w:val="00234258"/>
    <w:rsid w:val="002342DF"/>
    <w:rsid w:val="00234364"/>
    <w:rsid w:val="00234484"/>
    <w:rsid w:val="0023462E"/>
    <w:rsid w:val="002346E4"/>
    <w:rsid w:val="00234711"/>
    <w:rsid w:val="00234720"/>
    <w:rsid w:val="002349A4"/>
    <w:rsid w:val="00234A62"/>
    <w:rsid w:val="00234AE3"/>
    <w:rsid w:val="00234C14"/>
    <w:rsid w:val="00234C6F"/>
    <w:rsid w:val="00234D33"/>
    <w:rsid w:val="00234E67"/>
    <w:rsid w:val="00234E74"/>
    <w:rsid w:val="00234F21"/>
    <w:rsid w:val="00234F37"/>
    <w:rsid w:val="002350A0"/>
    <w:rsid w:val="00235123"/>
    <w:rsid w:val="002351AC"/>
    <w:rsid w:val="002352DE"/>
    <w:rsid w:val="002353DB"/>
    <w:rsid w:val="00235416"/>
    <w:rsid w:val="0023545E"/>
    <w:rsid w:val="002354D7"/>
    <w:rsid w:val="00235641"/>
    <w:rsid w:val="00235657"/>
    <w:rsid w:val="002358B6"/>
    <w:rsid w:val="002358C7"/>
    <w:rsid w:val="00235AC8"/>
    <w:rsid w:val="00235B22"/>
    <w:rsid w:val="00235B7D"/>
    <w:rsid w:val="00235C15"/>
    <w:rsid w:val="00235C5F"/>
    <w:rsid w:val="00235C72"/>
    <w:rsid w:val="00235D05"/>
    <w:rsid w:val="00235D3C"/>
    <w:rsid w:val="00235DB3"/>
    <w:rsid w:val="00235DBE"/>
    <w:rsid w:val="00235F16"/>
    <w:rsid w:val="00236141"/>
    <w:rsid w:val="00236213"/>
    <w:rsid w:val="00236319"/>
    <w:rsid w:val="0023639A"/>
    <w:rsid w:val="002363B5"/>
    <w:rsid w:val="0023664F"/>
    <w:rsid w:val="0023672D"/>
    <w:rsid w:val="002367FD"/>
    <w:rsid w:val="00236895"/>
    <w:rsid w:val="00236903"/>
    <w:rsid w:val="0023696D"/>
    <w:rsid w:val="002369E5"/>
    <w:rsid w:val="00236CFF"/>
    <w:rsid w:val="00236DB2"/>
    <w:rsid w:val="00236DCB"/>
    <w:rsid w:val="00236DF6"/>
    <w:rsid w:val="00237044"/>
    <w:rsid w:val="002370EB"/>
    <w:rsid w:val="00237165"/>
    <w:rsid w:val="002371D3"/>
    <w:rsid w:val="00237252"/>
    <w:rsid w:val="00237390"/>
    <w:rsid w:val="0023754D"/>
    <w:rsid w:val="00237598"/>
    <w:rsid w:val="0023774D"/>
    <w:rsid w:val="00237765"/>
    <w:rsid w:val="0023779E"/>
    <w:rsid w:val="002377D6"/>
    <w:rsid w:val="002377DE"/>
    <w:rsid w:val="0023795E"/>
    <w:rsid w:val="00237978"/>
    <w:rsid w:val="0023797A"/>
    <w:rsid w:val="00237A4F"/>
    <w:rsid w:val="00237A7D"/>
    <w:rsid w:val="00237B3D"/>
    <w:rsid w:val="00237BED"/>
    <w:rsid w:val="00237CB9"/>
    <w:rsid w:val="00237CE8"/>
    <w:rsid w:val="00237E0E"/>
    <w:rsid w:val="00237F34"/>
    <w:rsid w:val="00237F71"/>
    <w:rsid w:val="002400EB"/>
    <w:rsid w:val="0024017D"/>
    <w:rsid w:val="0024023C"/>
    <w:rsid w:val="0024032B"/>
    <w:rsid w:val="0024044D"/>
    <w:rsid w:val="00240656"/>
    <w:rsid w:val="0024083C"/>
    <w:rsid w:val="00240926"/>
    <w:rsid w:val="0024096F"/>
    <w:rsid w:val="00240B1E"/>
    <w:rsid w:val="00240B6F"/>
    <w:rsid w:val="00240BBD"/>
    <w:rsid w:val="00240C4E"/>
    <w:rsid w:val="00240CB4"/>
    <w:rsid w:val="00240D3D"/>
    <w:rsid w:val="00240E02"/>
    <w:rsid w:val="00240EE0"/>
    <w:rsid w:val="00240EFE"/>
    <w:rsid w:val="00241111"/>
    <w:rsid w:val="002411B9"/>
    <w:rsid w:val="002411CD"/>
    <w:rsid w:val="00241250"/>
    <w:rsid w:val="00241382"/>
    <w:rsid w:val="0024146E"/>
    <w:rsid w:val="002415B0"/>
    <w:rsid w:val="00241614"/>
    <w:rsid w:val="002416EE"/>
    <w:rsid w:val="00241765"/>
    <w:rsid w:val="00241851"/>
    <w:rsid w:val="0024194C"/>
    <w:rsid w:val="00241963"/>
    <w:rsid w:val="00241977"/>
    <w:rsid w:val="00241A3F"/>
    <w:rsid w:val="00241ADF"/>
    <w:rsid w:val="00241B89"/>
    <w:rsid w:val="00241BFC"/>
    <w:rsid w:val="00241D17"/>
    <w:rsid w:val="00241D30"/>
    <w:rsid w:val="00241E30"/>
    <w:rsid w:val="00241E54"/>
    <w:rsid w:val="00241F4E"/>
    <w:rsid w:val="002420A7"/>
    <w:rsid w:val="00242195"/>
    <w:rsid w:val="002421F7"/>
    <w:rsid w:val="002422DC"/>
    <w:rsid w:val="002424B7"/>
    <w:rsid w:val="002424EC"/>
    <w:rsid w:val="0024260D"/>
    <w:rsid w:val="00242789"/>
    <w:rsid w:val="002427B7"/>
    <w:rsid w:val="00242809"/>
    <w:rsid w:val="002428A4"/>
    <w:rsid w:val="002429A8"/>
    <w:rsid w:val="00242BF1"/>
    <w:rsid w:val="00242C70"/>
    <w:rsid w:val="00242CBF"/>
    <w:rsid w:val="00242D97"/>
    <w:rsid w:val="00242E21"/>
    <w:rsid w:val="00242FF8"/>
    <w:rsid w:val="00243002"/>
    <w:rsid w:val="002430C6"/>
    <w:rsid w:val="0024321E"/>
    <w:rsid w:val="002433FF"/>
    <w:rsid w:val="002434B2"/>
    <w:rsid w:val="002434BE"/>
    <w:rsid w:val="00243882"/>
    <w:rsid w:val="00243897"/>
    <w:rsid w:val="00243991"/>
    <w:rsid w:val="00243A1E"/>
    <w:rsid w:val="00243B68"/>
    <w:rsid w:val="00243D0C"/>
    <w:rsid w:val="00243D38"/>
    <w:rsid w:val="00243D3F"/>
    <w:rsid w:val="00243D92"/>
    <w:rsid w:val="00243DBE"/>
    <w:rsid w:val="00243DEA"/>
    <w:rsid w:val="00243E75"/>
    <w:rsid w:val="00243F21"/>
    <w:rsid w:val="00243F31"/>
    <w:rsid w:val="00244022"/>
    <w:rsid w:val="00244133"/>
    <w:rsid w:val="00244231"/>
    <w:rsid w:val="0024428F"/>
    <w:rsid w:val="0024432A"/>
    <w:rsid w:val="0024438B"/>
    <w:rsid w:val="00244543"/>
    <w:rsid w:val="0024454C"/>
    <w:rsid w:val="002448C9"/>
    <w:rsid w:val="00244A9B"/>
    <w:rsid w:val="00244B07"/>
    <w:rsid w:val="00244B15"/>
    <w:rsid w:val="00244C9A"/>
    <w:rsid w:val="00244CEB"/>
    <w:rsid w:val="00244D07"/>
    <w:rsid w:val="00244D74"/>
    <w:rsid w:val="00244E16"/>
    <w:rsid w:val="00244E4A"/>
    <w:rsid w:val="00244F6E"/>
    <w:rsid w:val="00245012"/>
    <w:rsid w:val="002451A6"/>
    <w:rsid w:val="00245214"/>
    <w:rsid w:val="0024521E"/>
    <w:rsid w:val="002452AA"/>
    <w:rsid w:val="0024531F"/>
    <w:rsid w:val="0024554C"/>
    <w:rsid w:val="00245577"/>
    <w:rsid w:val="002455EA"/>
    <w:rsid w:val="00245691"/>
    <w:rsid w:val="002456D2"/>
    <w:rsid w:val="002456E6"/>
    <w:rsid w:val="0024571D"/>
    <w:rsid w:val="0024582F"/>
    <w:rsid w:val="002458BD"/>
    <w:rsid w:val="00245A00"/>
    <w:rsid w:val="00245A08"/>
    <w:rsid w:val="00245A09"/>
    <w:rsid w:val="00245A1F"/>
    <w:rsid w:val="00245C00"/>
    <w:rsid w:val="00245D1F"/>
    <w:rsid w:val="00245D7B"/>
    <w:rsid w:val="00245DC9"/>
    <w:rsid w:val="00245E01"/>
    <w:rsid w:val="002461FB"/>
    <w:rsid w:val="0024631F"/>
    <w:rsid w:val="002464D8"/>
    <w:rsid w:val="0024652B"/>
    <w:rsid w:val="0024660D"/>
    <w:rsid w:val="002466E3"/>
    <w:rsid w:val="002467D7"/>
    <w:rsid w:val="002468DE"/>
    <w:rsid w:val="002468F3"/>
    <w:rsid w:val="002468F9"/>
    <w:rsid w:val="00246B6C"/>
    <w:rsid w:val="00246C72"/>
    <w:rsid w:val="00246DB7"/>
    <w:rsid w:val="00246E49"/>
    <w:rsid w:val="00246ED5"/>
    <w:rsid w:val="00246F26"/>
    <w:rsid w:val="002470AE"/>
    <w:rsid w:val="00247113"/>
    <w:rsid w:val="002472A5"/>
    <w:rsid w:val="00247324"/>
    <w:rsid w:val="00247343"/>
    <w:rsid w:val="0024735D"/>
    <w:rsid w:val="0024736E"/>
    <w:rsid w:val="002473E9"/>
    <w:rsid w:val="0024744D"/>
    <w:rsid w:val="002477F8"/>
    <w:rsid w:val="00247836"/>
    <w:rsid w:val="0024790F"/>
    <w:rsid w:val="00247A13"/>
    <w:rsid w:val="00247AB4"/>
    <w:rsid w:val="00247B29"/>
    <w:rsid w:val="00247B94"/>
    <w:rsid w:val="00247B96"/>
    <w:rsid w:val="00247BD2"/>
    <w:rsid w:val="00247C76"/>
    <w:rsid w:val="00247CBB"/>
    <w:rsid w:val="00247CF6"/>
    <w:rsid w:val="00247FDB"/>
    <w:rsid w:val="00250042"/>
    <w:rsid w:val="0025017B"/>
    <w:rsid w:val="002501DD"/>
    <w:rsid w:val="0025021A"/>
    <w:rsid w:val="00250295"/>
    <w:rsid w:val="002502A3"/>
    <w:rsid w:val="002502BB"/>
    <w:rsid w:val="00250343"/>
    <w:rsid w:val="002503B6"/>
    <w:rsid w:val="002503F8"/>
    <w:rsid w:val="00250456"/>
    <w:rsid w:val="00250580"/>
    <w:rsid w:val="00250607"/>
    <w:rsid w:val="00250693"/>
    <w:rsid w:val="002508EC"/>
    <w:rsid w:val="00250B8A"/>
    <w:rsid w:val="00250C47"/>
    <w:rsid w:val="00250C60"/>
    <w:rsid w:val="00250C89"/>
    <w:rsid w:val="00250D82"/>
    <w:rsid w:val="00250DE6"/>
    <w:rsid w:val="00250E18"/>
    <w:rsid w:val="00250E2C"/>
    <w:rsid w:val="00250EA4"/>
    <w:rsid w:val="00251192"/>
    <w:rsid w:val="002511FE"/>
    <w:rsid w:val="0025121C"/>
    <w:rsid w:val="0025124D"/>
    <w:rsid w:val="00251271"/>
    <w:rsid w:val="00251285"/>
    <w:rsid w:val="00251292"/>
    <w:rsid w:val="002512CD"/>
    <w:rsid w:val="002514C1"/>
    <w:rsid w:val="002514F7"/>
    <w:rsid w:val="00251635"/>
    <w:rsid w:val="00251672"/>
    <w:rsid w:val="00251762"/>
    <w:rsid w:val="002517A6"/>
    <w:rsid w:val="0025182D"/>
    <w:rsid w:val="0025187D"/>
    <w:rsid w:val="002518E3"/>
    <w:rsid w:val="00251BAC"/>
    <w:rsid w:val="00251D38"/>
    <w:rsid w:val="00251EA6"/>
    <w:rsid w:val="00251F8C"/>
    <w:rsid w:val="00251FAA"/>
    <w:rsid w:val="00252012"/>
    <w:rsid w:val="00252087"/>
    <w:rsid w:val="00252093"/>
    <w:rsid w:val="002520D7"/>
    <w:rsid w:val="002520DA"/>
    <w:rsid w:val="0025223A"/>
    <w:rsid w:val="00252277"/>
    <w:rsid w:val="00252366"/>
    <w:rsid w:val="002523A6"/>
    <w:rsid w:val="00252580"/>
    <w:rsid w:val="002525CC"/>
    <w:rsid w:val="002525F9"/>
    <w:rsid w:val="0025263B"/>
    <w:rsid w:val="0025266A"/>
    <w:rsid w:val="002526A5"/>
    <w:rsid w:val="00252751"/>
    <w:rsid w:val="00252755"/>
    <w:rsid w:val="00252782"/>
    <w:rsid w:val="002527A2"/>
    <w:rsid w:val="0025282F"/>
    <w:rsid w:val="00252831"/>
    <w:rsid w:val="00252914"/>
    <w:rsid w:val="002529F0"/>
    <w:rsid w:val="00252AD9"/>
    <w:rsid w:val="00252B91"/>
    <w:rsid w:val="00252C4F"/>
    <w:rsid w:val="00252C50"/>
    <w:rsid w:val="00253386"/>
    <w:rsid w:val="00253427"/>
    <w:rsid w:val="002534B4"/>
    <w:rsid w:val="00253524"/>
    <w:rsid w:val="0025356D"/>
    <w:rsid w:val="0025374F"/>
    <w:rsid w:val="002537D7"/>
    <w:rsid w:val="00253942"/>
    <w:rsid w:val="002539A5"/>
    <w:rsid w:val="002539BA"/>
    <w:rsid w:val="00253A40"/>
    <w:rsid w:val="00253B2A"/>
    <w:rsid w:val="00253B9B"/>
    <w:rsid w:val="00253CD7"/>
    <w:rsid w:val="00253D11"/>
    <w:rsid w:val="00253D4D"/>
    <w:rsid w:val="00253E5C"/>
    <w:rsid w:val="0025402F"/>
    <w:rsid w:val="002541FC"/>
    <w:rsid w:val="00254228"/>
    <w:rsid w:val="002542BC"/>
    <w:rsid w:val="00254301"/>
    <w:rsid w:val="00254346"/>
    <w:rsid w:val="002543FD"/>
    <w:rsid w:val="0025463B"/>
    <w:rsid w:val="0025466F"/>
    <w:rsid w:val="002548B4"/>
    <w:rsid w:val="002548F2"/>
    <w:rsid w:val="0025494A"/>
    <w:rsid w:val="002549A8"/>
    <w:rsid w:val="00254A33"/>
    <w:rsid w:val="00254E27"/>
    <w:rsid w:val="00254E2B"/>
    <w:rsid w:val="00254E82"/>
    <w:rsid w:val="00254EBF"/>
    <w:rsid w:val="00254F3E"/>
    <w:rsid w:val="0025507A"/>
    <w:rsid w:val="0025513E"/>
    <w:rsid w:val="00255152"/>
    <w:rsid w:val="002551AC"/>
    <w:rsid w:val="002551B9"/>
    <w:rsid w:val="0025522B"/>
    <w:rsid w:val="002552A5"/>
    <w:rsid w:val="002552F4"/>
    <w:rsid w:val="00255451"/>
    <w:rsid w:val="002555CD"/>
    <w:rsid w:val="002555E8"/>
    <w:rsid w:val="0025577E"/>
    <w:rsid w:val="0025579C"/>
    <w:rsid w:val="00255809"/>
    <w:rsid w:val="0025582A"/>
    <w:rsid w:val="00255880"/>
    <w:rsid w:val="0025588E"/>
    <w:rsid w:val="002558BF"/>
    <w:rsid w:val="002558F9"/>
    <w:rsid w:val="00255903"/>
    <w:rsid w:val="00255918"/>
    <w:rsid w:val="0025593A"/>
    <w:rsid w:val="00255945"/>
    <w:rsid w:val="00255997"/>
    <w:rsid w:val="002559DE"/>
    <w:rsid w:val="00255A51"/>
    <w:rsid w:val="00255A75"/>
    <w:rsid w:val="00255AC1"/>
    <w:rsid w:val="00255B35"/>
    <w:rsid w:val="00255B3B"/>
    <w:rsid w:val="00255CEB"/>
    <w:rsid w:val="00255D0B"/>
    <w:rsid w:val="00255F0A"/>
    <w:rsid w:val="00255F9E"/>
    <w:rsid w:val="0025609D"/>
    <w:rsid w:val="0025634E"/>
    <w:rsid w:val="0025653E"/>
    <w:rsid w:val="00256576"/>
    <w:rsid w:val="0025657C"/>
    <w:rsid w:val="002565E5"/>
    <w:rsid w:val="00256609"/>
    <w:rsid w:val="00256721"/>
    <w:rsid w:val="00256808"/>
    <w:rsid w:val="0025687A"/>
    <w:rsid w:val="00256A09"/>
    <w:rsid w:val="00256A8D"/>
    <w:rsid w:val="00256AF0"/>
    <w:rsid w:val="00256B51"/>
    <w:rsid w:val="00256C0D"/>
    <w:rsid w:val="00256C64"/>
    <w:rsid w:val="00256D3A"/>
    <w:rsid w:val="00256E27"/>
    <w:rsid w:val="00256E74"/>
    <w:rsid w:val="00256ED0"/>
    <w:rsid w:val="00256F97"/>
    <w:rsid w:val="0025715C"/>
    <w:rsid w:val="0025719D"/>
    <w:rsid w:val="0025728D"/>
    <w:rsid w:val="00257420"/>
    <w:rsid w:val="0025753C"/>
    <w:rsid w:val="00257594"/>
    <w:rsid w:val="00257651"/>
    <w:rsid w:val="00257756"/>
    <w:rsid w:val="0025780C"/>
    <w:rsid w:val="0025787D"/>
    <w:rsid w:val="0025789A"/>
    <w:rsid w:val="002578CE"/>
    <w:rsid w:val="0025798F"/>
    <w:rsid w:val="0025799C"/>
    <w:rsid w:val="002579D0"/>
    <w:rsid w:val="00257A5B"/>
    <w:rsid w:val="00257A65"/>
    <w:rsid w:val="00257B22"/>
    <w:rsid w:val="00257B7B"/>
    <w:rsid w:val="00257BE0"/>
    <w:rsid w:val="00257C2A"/>
    <w:rsid w:val="00257C8F"/>
    <w:rsid w:val="00257CEE"/>
    <w:rsid w:val="00257D17"/>
    <w:rsid w:val="00257D67"/>
    <w:rsid w:val="00257DB8"/>
    <w:rsid w:val="00257DCC"/>
    <w:rsid w:val="00257F0E"/>
    <w:rsid w:val="00257FDE"/>
    <w:rsid w:val="00260008"/>
    <w:rsid w:val="0026001B"/>
    <w:rsid w:val="0026004A"/>
    <w:rsid w:val="0026007D"/>
    <w:rsid w:val="00260172"/>
    <w:rsid w:val="00260188"/>
    <w:rsid w:val="00260264"/>
    <w:rsid w:val="00260273"/>
    <w:rsid w:val="002604FE"/>
    <w:rsid w:val="00260547"/>
    <w:rsid w:val="00260551"/>
    <w:rsid w:val="00260565"/>
    <w:rsid w:val="0026058D"/>
    <w:rsid w:val="0026064A"/>
    <w:rsid w:val="002606DB"/>
    <w:rsid w:val="00260787"/>
    <w:rsid w:val="002607D2"/>
    <w:rsid w:val="0026084E"/>
    <w:rsid w:val="0026087E"/>
    <w:rsid w:val="0026089B"/>
    <w:rsid w:val="002608D6"/>
    <w:rsid w:val="00260924"/>
    <w:rsid w:val="00260954"/>
    <w:rsid w:val="00260AE0"/>
    <w:rsid w:val="00260CC5"/>
    <w:rsid w:val="00260E05"/>
    <w:rsid w:val="00260F69"/>
    <w:rsid w:val="0026108A"/>
    <w:rsid w:val="0026111C"/>
    <w:rsid w:val="002611EA"/>
    <w:rsid w:val="00261224"/>
    <w:rsid w:val="002613E5"/>
    <w:rsid w:val="0026162B"/>
    <w:rsid w:val="002616E6"/>
    <w:rsid w:val="002616F7"/>
    <w:rsid w:val="0026180F"/>
    <w:rsid w:val="00261816"/>
    <w:rsid w:val="00261839"/>
    <w:rsid w:val="0026183B"/>
    <w:rsid w:val="00261848"/>
    <w:rsid w:val="00261858"/>
    <w:rsid w:val="00261886"/>
    <w:rsid w:val="00261952"/>
    <w:rsid w:val="0026199B"/>
    <w:rsid w:val="00261A31"/>
    <w:rsid w:val="00261C4F"/>
    <w:rsid w:val="00261C51"/>
    <w:rsid w:val="00261C6C"/>
    <w:rsid w:val="00261E93"/>
    <w:rsid w:val="00261EF0"/>
    <w:rsid w:val="0026219E"/>
    <w:rsid w:val="00262200"/>
    <w:rsid w:val="0026243D"/>
    <w:rsid w:val="002624AD"/>
    <w:rsid w:val="0026254D"/>
    <w:rsid w:val="0026256E"/>
    <w:rsid w:val="002626AE"/>
    <w:rsid w:val="00262849"/>
    <w:rsid w:val="002629B0"/>
    <w:rsid w:val="00262A03"/>
    <w:rsid w:val="00262B2B"/>
    <w:rsid w:val="00262CB0"/>
    <w:rsid w:val="00262CCF"/>
    <w:rsid w:val="00262DD9"/>
    <w:rsid w:val="00262EA8"/>
    <w:rsid w:val="00262F0E"/>
    <w:rsid w:val="0026313D"/>
    <w:rsid w:val="00263169"/>
    <w:rsid w:val="002631C4"/>
    <w:rsid w:val="002636B3"/>
    <w:rsid w:val="002636FD"/>
    <w:rsid w:val="002637BD"/>
    <w:rsid w:val="002637CA"/>
    <w:rsid w:val="0026387A"/>
    <w:rsid w:val="002638CE"/>
    <w:rsid w:val="00263934"/>
    <w:rsid w:val="00263B45"/>
    <w:rsid w:val="00263C00"/>
    <w:rsid w:val="00263F3E"/>
    <w:rsid w:val="00263FAF"/>
    <w:rsid w:val="00264355"/>
    <w:rsid w:val="002644B4"/>
    <w:rsid w:val="002644FD"/>
    <w:rsid w:val="0026455E"/>
    <w:rsid w:val="00264594"/>
    <w:rsid w:val="002645A6"/>
    <w:rsid w:val="0026460A"/>
    <w:rsid w:val="00264711"/>
    <w:rsid w:val="002649A8"/>
    <w:rsid w:val="002649C4"/>
    <w:rsid w:val="00264B64"/>
    <w:rsid w:val="00264DA7"/>
    <w:rsid w:val="00264F83"/>
    <w:rsid w:val="00264FC7"/>
    <w:rsid w:val="002650B4"/>
    <w:rsid w:val="002651D4"/>
    <w:rsid w:val="00265247"/>
    <w:rsid w:val="002653ED"/>
    <w:rsid w:val="00265637"/>
    <w:rsid w:val="002656BB"/>
    <w:rsid w:val="002656E9"/>
    <w:rsid w:val="002658D0"/>
    <w:rsid w:val="002658F6"/>
    <w:rsid w:val="00265912"/>
    <w:rsid w:val="00265987"/>
    <w:rsid w:val="002659E7"/>
    <w:rsid w:val="00265A8A"/>
    <w:rsid w:val="00265ABA"/>
    <w:rsid w:val="00265AEB"/>
    <w:rsid w:val="00265B09"/>
    <w:rsid w:val="00265DA6"/>
    <w:rsid w:val="00265E89"/>
    <w:rsid w:val="00265EB6"/>
    <w:rsid w:val="00265EC7"/>
    <w:rsid w:val="00265F1D"/>
    <w:rsid w:val="00265F2D"/>
    <w:rsid w:val="0026608C"/>
    <w:rsid w:val="0026608D"/>
    <w:rsid w:val="00266306"/>
    <w:rsid w:val="00266323"/>
    <w:rsid w:val="00266386"/>
    <w:rsid w:val="00266549"/>
    <w:rsid w:val="002665B1"/>
    <w:rsid w:val="00266818"/>
    <w:rsid w:val="0026688E"/>
    <w:rsid w:val="00266974"/>
    <w:rsid w:val="002669AF"/>
    <w:rsid w:val="00266A03"/>
    <w:rsid w:val="00266ABB"/>
    <w:rsid w:val="00266B4D"/>
    <w:rsid w:val="00266B84"/>
    <w:rsid w:val="00266C4B"/>
    <w:rsid w:val="00266CEF"/>
    <w:rsid w:val="00266CF7"/>
    <w:rsid w:val="00266DAE"/>
    <w:rsid w:val="00266DE0"/>
    <w:rsid w:val="00266E05"/>
    <w:rsid w:val="00266E98"/>
    <w:rsid w:val="00266E9B"/>
    <w:rsid w:val="00267262"/>
    <w:rsid w:val="002673B8"/>
    <w:rsid w:val="0026741F"/>
    <w:rsid w:val="00267430"/>
    <w:rsid w:val="0026752D"/>
    <w:rsid w:val="00267596"/>
    <w:rsid w:val="002675FE"/>
    <w:rsid w:val="002676E5"/>
    <w:rsid w:val="002677E7"/>
    <w:rsid w:val="002677EC"/>
    <w:rsid w:val="00267862"/>
    <w:rsid w:val="0026791F"/>
    <w:rsid w:val="002679DA"/>
    <w:rsid w:val="00267AB8"/>
    <w:rsid w:val="00267ACE"/>
    <w:rsid w:val="00267C28"/>
    <w:rsid w:val="00267D95"/>
    <w:rsid w:val="00267EB6"/>
    <w:rsid w:val="00270021"/>
    <w:rsid w:val="002700E4"/>
    <w:rsid w:val="00270102"/>
    <w:rsid w:val="00270342"/>
    <w:rsid w:val="002703DC"/>
    <w:rsid w:val="00270404"/>
    <w:rsid w:val="0027045F"/>
    <w:rsid w:val="00270461"/>
    <w:rsid w:val="002705A3"/>
    <w:rsid w:val="0027070E"/>
    <w:rsid w:val="00270832"/>
    <w:rsid w:val="00270880"/>
    <w:rsid w:val="00270ADC"/>
    <w:rsid w:val="00270ED3"/>
    <w:rsid w:val="00270F3E"/>
    <w:rsid w:val="00270FC8"/>
    <w:rsid w:val="002711BA"/>
    <w:rsid w:val="002711C9"/>
    <w:rsid w:val="00271290"/>
    <w:rsid w:val="002712DA"/>
    <w:rsid w:val="0027133D"/>
    <w:rsid w:val="0027134F"/>
    <w:rsid w:val="002713C3"/>
    <w:rsid w:val="002714DB"/>
    <w:rsid w:val="002716D2"/>
    <w:rsid w:val="002717C8"/>
    <w:rsid w:val="002718D5"/>
    <w:rsid w:val="00271B17"/>
    <w:rsid w:val="00271CCA"/>
    <w:rsid w:val="00271CDF"/>
    <w:rsid w:val="00271E58"/>
    <w:rsid w:val="00271E86"/>
    <w:rsid w:val="00272011"/>
    <w:rsid w:val="002720D6"/>
    <w:rsid w:val="002721A4"/>
    <w:rsid w:val="00272306"/>
    <w:rsid w:val="00272326"/>
    <w:rsid w:val="0027255B"/>
    <w:rsid w:val="002725A6"/>
    <w:rsid w:val="002726E9"/>
    <w:rsid w:val="00272754"/>
    <w:rsid w:val="00272897"/>
    <w:rsid w:val="00272952"/>
    <w:rsid w:val="00272976"/>
    <w:rsid w:val="00272A15"/>
    <w:rsid w:val="00272A89"/>
    <w:rsid w:val="00272AB0"/>
    <w:rsid w:val="00272AC1"/>
    <w:rsid w:val="00272BB2"/>
    <w:rsid w:val="00272CC3"/>
    <w:rsid w:val="00272CE2"/>
    <w:rsid w:val="00272E88"/>
    <w:rsid w:val="00272EEF"/>
    <w:rsid w:val="00272F09"/>
    <w:rsid w:val="00272F73"/>
    <w:rsid w:val="00272F85"/>
    <w:rsid w:val="00272F9E"/>
    <w:rsid w:val="00272FDC"/>
    <w:rsid w:val="002730AE"/>
    <w:rsid w:val="00273103"/>
    <w:rsid w:val="00273126"/>
    <w:rsid w:val="00273133"/>
    <w:rsid w:val="00273153"/>
    <w:rsid w:val="00273234"/>
    <w:rsid w:val="00273275"/>
    <w:rsid w:val="002733A3"/>
    <w:rsid w:val="002733BF"/>
    <w:rsid w:val="00273401"/>
    <w:rsid w:val="00273546"/>
    <w:rsid w:val="00273553"/>
    <w:rsid w:val="002736B4"/>
    <w:rsid w:val="002737CC"/>
    <w:rsid w:val="0027382C"/>
    <w:rsid w:val="00273893"/>
    <w:rsid w:val="002738CC"/>
    <w:rsid w:val="002738F4"/>
    <w:rsid w:val="00273927"/>
    <w:rsid w:val="0027396F"/>
    <w:rsid w:val="00273973"/>
    <w:rsid w:val="00273A38"/>
    <w:rsid w:val="00273ACA"/>
    <w:rsid w:val="00273ACE"/>
    <w:rsid w:val="00273C19"/>
    <w:rsid w:val="00273D59"/>
    <w:rsid w:val="00274194"/>
    <w:rsid w:val="002741E0"/>
    <w:rsid w:val="00274262"/>
    <w:rsid w:val="0027429B"/>
    <w:rsid w:val="00274331"/>
    <w:rsid w:val="00274376"/>
    <w:rsid w:val="00274401"/>
    <w:rsid w:val="002746FE"/>
    <w:rsid w:val="002747BF"/>
    <w:rsid w:val="00274827"/>
    <w:rsid w:val="0027484E"/>
    <w:rsid w:val="002748CF"/>
    <w:rsid w:val="00274902"/>
    <w:rsid w:val="00274978"/>
    <w:rsid w:val="00274A66"/>
    <w:rsid w:val="00274AF0"/>
    <w:rsid w:val="00274B0F"/>
    <w:rsid w:val="00274B1A"/>
    <w:rsid w:val="00274C9E"/>
    <w:rsid w:val="00274CB8"/>
    <w:rsid w:val="00274CB9"/>
    <w:rsid w:val="00274DD2"/>
    <w:rsid w:val="00274DD8"/>
    <w:rsid w:val="00274DF4"/>
    <w:rsid w:val="00274E98"/>
    <w:rsid w:val="00274EA5"/>
    <w:rsid w:val="00274EF8"/>
    <w:rsid w:val="00274F82"/>
    <w:rsid w:val="00275092"/>
    <w:rsid w:val="00275122"/>
    <w:rsid w:val="0027514B"/>
    <w:rsid w:val="00275162"/>
    <w:rsid w:val="0027527F"/>
    <w:rsid w:val="00275297"/>
    <w:rsid w:val="002752DD"/>
    <w:rsid w:val="002752E5"/>
    <w:rsid w:val="00275341"/>
    <w:rsid w:val="0027568F"/>
    <w:rsid w:val="002756EB"/>
    <w:rsid w:val="002757EE"/>
    <w:rsid w:val="00275801"/>
    <w:rsid w:val="002759B4"/>
    <w:rsid w:val="00275A77"/>
    <w:rsid w:val="00275B69"/>
    <w:rsid w:val="00275B82"/>
    <w:rsid w:val="00275D09"/>
    <w:rsid w:val="00275EB2"/>
    <w:rsid w:val="00275EBB"/>
    <w:rsid w:val="00275F25"/>
    <w:rsid w:val="00275F47"/>
    <w:rsid w:val="00275F82"/>
    <w:rsid w:val="00276027"/>
    <w:rsid w:val="0027654A"/>
    <w:rsid w:val="00276567"/>
    <w:rsid w:val="002765BF"/>
    <w:rsid w:val="0027665E"/>
    <w:rsid w:val="002766EA"/>
    <w:rsid w:val="00276700"/>
    <w:rsid w:val="00276767"/>
    <w:rsid w:val="00276868"/>
    <w:rsid w:val="002769D4"/>
    <w:rsid w:val="002769EC"/>
    <w:rsid w:val="00276A1A"/>
    <w:rsid w:val="00276A6D"/>
    <w:rsid w:val="00276B28"/>
    <w:rsid w:val="00276C91"/>
    <w:rsid w:val="00276CF0"/>
    <w:rsid w:val="00276DD8"/>
    <w:rsid w:val="00276F79"/>
    <w:rsid w:val="00276FB4"/>
    <w:rsid w:val="00277163"/>
    <w:rsid w:val="00277228"/>
    <w:rsid w:val="002775F8"/>
    <w:rsid w:val="0027764F"/>
    <w:rsid w:val="00277766"/>
    <w:rsid w:val="00277781"/>
    <w:rsid w:val="00277984"/>
    <w:rsid w:val="00277A3F"/>
    <w:rsid w:val="00277AD8"/>
    <w:rsid w:val="00277C02"/>
    <w:rsid w:val="00277C09"/>
    <w:rsid w:val="00277C90"/>
    <w:rsid w:val="00277CA7"/>
    <w:rsid w:val="00277DC9"/>
    <w:rsid w:val="00277E0A"/>
    <w:rsid w:val="00277E71"/>
    <w:rsid w:val="00277F83"/>
    <w:rsid w:val="00277FE0"/>
    <w:rsid w:val="00280041"/>
    <w:rsid w:val="002800F7"/>
    <w:rsid w:val="002803CE"/>
    <w:rsid w:val="002803E5"/>
    <w:rsid w:val="002805FA"/>
    <w:rsid w:val="002807A4"/>
    <w:rsid w:val="002808E5"/>
    <w:rsid w:val="002808EA"/>
    <w:rsid w:val="002808FA"/>
    <w:rsid w:val="00280B8C"/>
    <w:rsid w:val="00280C1A"/>
    <w:rsid w:val="00280C6E"/>
    <w:rsid w:val="00280D32"/>
    <w:rsid w:val="00280E50"/>
    <w:rsid w:val="00280E76"/>
    <w:rsid w:val="002810D4"/>
    <w:rsid w:val="002811D0"/>
    <w:rsid w:val="00281238"/>
    <w:rsid w:val="00281252"/>
    <w:rsid w:val="00281292"/>
    <w:rsid w:val="002812EF"/>
    <w:rsid w:val="002813C7"/>
    <w:rsid w:val="002815BB"/>
    <w:rsid w:val="002815FF"/>
    <w:rsid w:val="00281730"/>
    <w:rsid w:val="002817F5"/>
    <w:rsid w:val="0028180D"/>
    <w:rsid w:val="002818CC"/>
    <w:rsid w:val="00281932"/>
    <w:rsid w:val="002819D1"/>
    <w:rsid w:val="00281A01"/>
    <w:rsid w:val="00281B33"/>
    <w:rsid w:val="00281BF9"/>
    <w:rsid w:val="00281C20"/>
    <w:rsid w:val="00281D89"/>
    <w:rsid w:val="00281E41"/>
    <w:rsid w:val="00281FCC"/>
    <w:rsid w:val="0028205D"/>
    <w:rsid w:val="002820DE"/>
    <w:rsid w:val="00282220"/>
    <w:rsid w:val="00282352"/>
    <w:rsid w:val="002823BB"/>
    <w:rsid w:val="002823D1"/>
    <w:rsid w:val="002823F2"/>
    <w:rsid w:val="002823F6"/>
    <w:rsid w:val="00282430"/>
    <w:rsid w:val="00282584"/>
    <w:rsid w:val="0028259B"/>
    <w:rsid w:val="002826DB"/>
    <w:rsid w:val="0028272D"/>
    <w:rsid w:val="00282AB4"/>
    <w:rsid w:val="00282AD4"/>
    <w:rsid w:val="00282B49"/>
    <w:rsid w:val="00282CF5"/>
    <w:rsid w:val="00282D1C"/>
    <w:rsid w:val="00282D90"/>
    <w:rsid w:val="00282DFB"/>
    <w:rsid w:val="00282E5C"/>
    <w:rsid w:val="00282E7D"/>
    <w:rsid w:val="00282EE1"/>
    <w:rsid w:val="00282F4F"/>
    <w:rsid w:val="00282FC9"/>
    <w:rsid w:val="0028308A"/>
    <w:rsid w:val="00283097"/>
    <w:rsid w:val="00283158"/>
    <w:rsid w:val="0028322C"/>
    <w:rsid w:val="0028334F"/>
    <w:rsid w:val="00283397"/>
    <w:rsid w:val="002833C9"/>
    <w:rsid w:val="00283500"/>
    <w:rsid w:val="00283662"/>
    <w:rsid w:val="00283707"/>
    <w:rsid w:val="00283746"/>
    <w:rsid w:val="00283769"/>
    <w:rsid w:val="002837DA"/>
    <w:rsid w:val="00283A78"/>
    <w:rsid w:val="00283AC2"/>
    <w:rsid w:val="00283BC5"/>
    <w:rsid w:val="00283C27"/>
    <w:rsid w:val="00283CCE"/>
    <w:rsid w:val="00283D35"/>
    <w:rsid w:val="00283EE9"/>
    <w:rsid w:val="00283F3D"/>
    <w:rsid w:val="00283FE7"/>
    <w:rsid w:val="0028403D"/>
    <w:rsid w:val="0028443C"/>
    <w:rsid w:val="0028447D"/>
    <w:rsid w:val="00284499"/>
    <w:rsid w:val="002844F2"/>
    <w:rsid w:val="0028453B"/>
    <w:rsid w:val="0028460F"/>
    <w:rsid w:val="00284659"/>
    <w:rsid w:val="0028474E"/>
    <w:rsid w:val="002848FA"/>
    <w:rsid w:val="0028493F"/>
    <w:rsid w:val="00284951"/>
    <w:rsid w:val="002849B0"/>
    <w:rsid w:val="00284B48"/>
    <w:rsid w:val="00284BD4"/>
    <w:rsid w:val="00284BD6"/>
    <w:rsid w:val="00284BE5"/>
    <w:rsid w:val="00284BFD"/>
    <w:rsid w:val="00284C30"/>
    <w:rsid w:val="00284C4C"/>
    <w:rsid w:val="00284E59"/>
    <w:rsid w:val="00284E62"/>
    <w:rsid w:val="00284EA3"/>
    <w:rsid w:val="00284F95"/>
    <w:rsid w:val="00284FBA"/>
    <w:rsid w:val="0028507F"/>
    <w:rsid w:val="00285150"/>
    <w:rsid w:val="00285161"/>
    <w:rsid w:val="00285224"/>
    <w:rsid w:val="0028522A"/>
    <w:rsid w:val="00285258"/>
    <w:rsid w:val="0028531F"/>
    <w:rsid w:val="00285331"/>
    <w:rsid w:val="0028545F"/>
    <w:rsid w:val="00285462"/>
    <w:rsid w:val="0028550C"/>
    <w:rsid w:val="002859E8"/>
    <w:rsid w:val="00285A09"/>
    <w:rsid w:val="00285A84"/>
    <w:rsid w:val="00285BDA"/>
    <w:rsid w:val="00285C03"/>
    <w:rsid w:val="00285C7B"/>
    <w:rsid w:val="00285CEA"/>
    <w:rsid w:val="00285D1C"/>
    <w:rsid w:val="00285E37"/>
    <w:rsid w:val="00285F38"/>
    <w:rsid w:val="00285F67"/>
    <w:rsid w:val="00285F85"/>
    <w:rsid w:val="002860CE"/>
    <w:rsid w:val="002860E2"/>
    <w:rsid w:val="002862D5"/>
    <w:rsid w:val="002862E0"/>
    <w:rsid w:val="002862E6"/>
    <w:rsid w:val="002863F4"/>
    <w:rsid w:val="0028641F"/>
    <w:rsid w:val="0028642B"/>
    <w:rsid w:val="0028647B"/>
    <w:rsid w:val="002864E4"/>
    <w:rsid w:val="002865EF"/>
    <w:rsid w:val="00286619"/>
    <w:rsid w:val="002866B3"/>
    <w:rsid w:val="0028678D"/>
    <w:rsid w:val="002868F5"/>
    <w:rsid w:val="002869FC"/>
    <w:rsid w:val="00286A11"/>
    <w:rsid w:val="00286A90"/>
    <w:rsid w:val="00286A97"/>
    <w:rsid w:val="00286AC1"/>
    <w:rsid w:val="00286B55"/>
    <w:rsid w:val="00286BCA"/>
    <w:rsid w:val="00286BF1"/>
    <w:rsid w:val="00286BF9"/>
    <w:rsid w:val="00286C8F"/>
    <w:rsid w:val="00286E0A"/>
    <w:rsid w:val="00286EB4"/>
    <w:rsid w:val="00286F00"/>
    <w:rsid w:val="002870E3"/>
    <w:rsid w:val="002870EB"/>
    <w:rsid w:val="00287251"/>
    <w:rsid w:val="00287332"/>
    <w:rsid w:val="00287362"/>
    <w:rsid w:val="00287509"/>
    <w:rsid w:val="0028772A"/>
    <w:rsid w:val="00287763"/>
    <w:rsid w:val="002877AF"/>
    <w:rsid w:val="00287808"/>
    <w:rsid w:val="00287809"/>
    <w:rsid w:val="00287866"/>
    <w:rsid w:val="00287961"/>
    <w:rsid w:val="00287998"/>
    <w:rsid w:val="00287A30"/>
    <w:rsid w:val="00287A36"/>
    <w:rsid w:val="00287AD0"/>
    <w:rsid w:val="00287AF0"/>
    <w:rsid w:val="00287B7E"/>
    <w:rsid w:val="00287CCA"/>
    <w:rsid w:val="00287D48"/>
    <w:rsid w:val="00287E65"/>
    <w:rsid w:val="00287EEF"/>
    <w:rsid w:val="00287F33"/>
    <w:rsid w:val="00289CEA"/>
    <w:rsid w:val="0029002F"/>
    <w:rsid w:val="00290043"/>
    <w:rsid w:val="0029011C"/>
    <w:rsid w:val="002901FF"/>
    <w:rsid w:val="00290368"/>
    <w:rsid w:val="00290478"/>
    <w:rsid w:val="002905EF"/>
    <w:rsid w:val="0029068B"/>
    <w:rsid w:val="0029072D"/>
    <w:rsid w:val="002907C9"/>
    <w:rsid w:val="00290808"/>
    <w:rsid w:val="0029095E"/>
    <w:rsid w:val="00290A45"/>
    <w:rsid w:val="00290C17"/>
    <w:rsid w:val="00290C83"/>
    <w:rsid w:val="00290CB2"/>
    <w:rsid w:val="00290E01"/>
    <w:rsid w:val="00290E38"/>
    <w:rsid w:val="00290EA5"/>
    <w:rsid w:val="00290EF0"/>
    <w:rsid w:val="00290F14"/>
    <w:rsid w:val="00291119"/>
    <w:rsid w:val="00291229"/>
    <w:rsid w:val="00291358"/>
    <w:rsid w:val="00291359"/>
    <w:rsid w:val="002914BE"/>
    <w:rsid w:val="002914C0"/>
    <w:rsid w:val="002915EB"/>
    <w:rsid w:val="002916D9"/>
    <w:rsid w:val="0029183E"/>
    <w:rsid w:val="00291901"/>
    <w:rsid w:val="00291A8D"/>
    <w:rsid w:val="00291AE6"/>
    <w:rsid w:val="00291B46"/>
    <w:rsid w:val="00291B48"/>
    <w:rsid w:val="00291B9E"/>
    <w:rsid w:val="00291D26"/>
    <w:rsid w:val="00291DFF"/>
    <w:rsid w:val="00291E26"/>
    <w:rsid w:val="00291FA4"/>
    <w:rsid w:val="00291FB7"/>
    <w:rsid w:val="00292010"/>
    <w:rsid w:val="00292124"/>
    <w:rsid w:val="0029216A"/>
    <w:rsid w:val="00292184"/>
    <w:rsid w:val="0029226A"/>
    <w:rsid w:val="002922A2"/>
    <w:rsid w:val="002922FA"/>
    <w:rsid w:val="00292457"/>
    <w:rsid w:val="0029245E"/>
    <w:rsid w:val="00292465"/>
    <w:rsid w:val="002924BF"/>
    <w:rsid w:val="002926D3"/>
    <w:rsid w:val="002926EF"/>
    <w:rsid w:val="00292836"/>
    <w:rsid w:val="00292862"/>
    <w:rsid w:val="002928A1"/>
    <w:rsid w:val="002928D8"/>
    <w:rsid w:val="00292986"/>
    <w:rsid w:val="00292998"/>
    <w:rsid w:val="00292A69"/>
    <w:rsid w:val="00292A8F"/>
    <w:rsid w:val="00292F2B"/>
    <w:rsid w:val="00292FB3"/>
    <w:rsid w:val="0029300E"/>
    <w:rsid w:val="00293379"/>
    <w:rsid w:val="0029359E"/>
    <w:rsid w:val="00293655"/>
    <w:rsid w:val="00293678"/>
    <w:rsid w:val="002936CA"/>
    <w:rsid w:val="0029374D"/>
    <w:rsid w:val="002937EC"/>
    <w:rsid w:val="0029386F"/>
    <w:rsid w:val="002938AA"/>
    <w:rsid w:val="00293929"/>
    <w:rsid w:val="002939A0"/>
    <w:rsid w:val="00293CDD"/>
    <w:rsid w:val="00293D87"/>
    <w:rsid w:val="00293E59"/>
    <w:rsid w:val="00293E6D"/>
    <w:rsid w:val="00293F71"/>
    <w:rsid w:val="00293F80"/>
    <w:rsid w:val="002940C4"/>
    <w:rsid w:val="00294228"/>
    <w:rsid w:val="0029436E"/>
    <w:rsid w:val="002943BC"/>
    <w:rsid w:val="002943E0"/>
    <w:rsid w:val="002943F4"/>
    <w:rsid w:val="002945B3"/>
    <w:rsid w:val="002946B5"/>
    <w:rsid w:val="002947B3"/>
    <w:rsid w:val="0029490C"/>
    <w:rsid w:val="00294911"/>
    <w:rsid w:val="00294A29"/>
    <w:rsid w:val="00294A7D"/>
    <w:rsid w:val="00294A8F"/>
    <w:rsid w:val="00294AA2"/>
    <w:rsid w:val="00294B48"/>
    <w:rsid w:val="00294B9D"/>
    <w:rsid w:val="00294CFD"/>
    <w:rsid w:val="00294D74"/>
    <w:rsid w:val="00294E69"/>
    <w:rsid w:val="00294F3D"/>
    <w:rsid w:val="00295029"/>
    <w:rsid w:val="002951F5"/>
    <w:rsid w:val="00295216"/>
    <w:rsid w:val="00295375"/>
    <w:rsid w:val="002953AF"/>
    <w:rsid w:val="00295428"/>
    <w:rsid w:val="00295673"/>
    <w:rsid w:val="002956FC"/>
    <w:rsid w:val="00295786"/>
    <w:rsid w:val="00295856"/>
    <w:rsid w:val="00295901"/>
    <w:rsid w:val="0029595E"/>
    <w:rsid w:val="002959CB"/>
    <w:rsid w:val="00295A34"/>
    <w:rsid w:val="00295A62"/>
    <w:rsid w:val="00295CD3"/>
    <w:rsid w:val="00295D24"/>
    <w:rsid w:val="00295DF3"/>
    <w:rsid w:val="00295E65"/>
    <w:rsid w:val="00295EBD"/>
    <w:rsid w:val="00295FE7"/>
    <w:rsid w:val="0029606D"/>
    <w:rsid w:val="00296123"/>
    <w:rsid w:val="00296167"/>
    <w:rsid w:val="00296229"/>
    <w:rsid w:val="00296372"/>
    <w:rsid w:val="002963F8"/>
    <w:rsid w:val="0029641D"/>
    <w:rsid w:val="00296422"/>
    <w:rsid w:val="00296428"/>
    <w:rsid w:val="002964A7"/>
    <w:rsid w:val="002964CD"/>
    <w:rsid w:val="002965EA"/>
    <w:rsid w:val="0029668C"/>
    <w:rsid w:val="002966C9"/>
    <w:rsid w:val="002967D0"/>
    <w:rsid w:val="00296901"/>
    <w:rsid w:val="00296AAA"/>
    <w:rsid w:val="00296B32"/>
    <w:rsid w:val="00296C6A"/>
    <w:rsid w:val="00296CB4"/>
    <w:rsid w:val="00296CC3"/>
    <w:rsid w:val="00296D90"/>
    <w:rsid w:val="00296F84"/>
    <w:rsid w:val="0029709C"/>
    <w:rsid w:val="002970F2"/>
    <w:rsid w:val="0029720F"/>
    <w:rsid w:val="0029734A"/>
    <w:rsid w:val="00297385"/>
    <w:rsid w:val="002973F5"/>
    <w:rsid w:val="0029748E"/>
    <w:rsid w:val="002974CE"/>
    <w:rsid w:val="0029753E"/>
    <w:rsid w:val="002975C5"/>
    <w:rsid w:val="00297635"/>
    <w:rsid w:val="002979B8"/>
    <w:rsid w:val="002979DB"/>
    <w:rsid w:val="002979E6"/>
    <w:rsid w:val="00297A39"/>
    <w:rsid w:val="00297AF4"/>
    <w:rsid w:val="00297B12"/>
    <w:rsid w:val="00297B33"/>
    <w:rsid w:val="00297D56"/>
    <w:rsid w:val="00297D6F"/>
    <w:rsid w:val="00297E4A"/>
    <w:rsid w:val="00297F4A"/>
    <w:rsid w:val="00297FAE"/>
    <w:rsid w:val="00297FE2"/>
    <w:rsid w:val="00297FE7"/>
    <w:rsid w:val="002A0079"/>
    <w:rsid w:val="002A0091"/>
    <w:rsid w:val="002A00CB"/>
    <w:rsid w:val="002A0234"/>
    <w:rsid w:val="002A0236"/>
    <w:rsid w:val="002A05A9"/>
    <w:rsid w:val="002A0698"/>
    <w:rsid w:val="002A06E2"/>
    <w:rsid w:val="002A0770"/>
    <w:rsid w:val="002A07A4"/>
    <w:rsid w:val="002A09EB"/>
    <w:rsid w:val="002A0A9D"/>
    <w:rsid w:val="002A0B4A"/>
    <w:rsid w:val="002A0BDE"/>
    <w:rsid w:val="002A0CE8"/>
    <w:rsid w:val="002A0D52"/>
    <w:rsid w:val="002A0DA6"/>
    <w:rsid w:val="002A0DCC"/>
    <w:rsid w:val="002A0E36"/>
    <w:rsid w:val="002A0EED"/>
    <w:rsid w:val="002A1104"/>
    <w:rsid w:val="002A1132"/>
    <w:rsid w:val="002A133C"/>
    <w:rsid w:val="002A1360"/>
    <w:rsid w:val="002A141B"/>
    <w:rsid w:val="002A142C"/>
    <w:rsid w:val="002A149F"/>
    <w:rsid w:val="002A1530"/>
    <w:rsid w:val="002A1533"/>
    <w:rsid w:val="002A1756"/>
    <w:rsid w:val="002A1989"/>
    <w:rsid w:val="002A19B3"/>
    <w:rsid w:val="002A1B83"/>
    <w:rsid w:val="002A1D14"/>
    <w:rsid w:val="002A1E30"/>
    <w:rsid w:val="002A1FA0"/>
    <w:rsid w:val="002A2075"/>
    <w:rsid w:val="002A2083"/>
    <w:rsid w:val="002A23EA"/>
    <w:rsid w:val="002A244B"/>
    <w:rsid w:val="002A2522"/>
    <w:rsid w:val="002A26FD"/>
    <w:rsid w:val="002A281C"/>
    <w:rsid w:val="002A29C7"/>
    <w:rsid w:val="002A2A07"/>
    <w:rsid w:val="002A2C02"/>
    <w:rsid w:val="002A2CA9"/>
    <w:rsid w:val="002A2D10"/>
    <w:rsid w:val="002A2E88"/>
    <w:rsid w:val="002A2F31"/>
    <w:rsid w:val="002A310D"/>
    <w:rsid w:val="002A316B"/>
    <w:rsid w:val="002A3299"/>
    <w:rsid w:val="002A334F"/>
    <w:rsid w:val="002A3395"/>
    <w:rsid w:val="002A3459"/>
    <w:rsid w:val="002A35D2"/>
    <w:rsid w:val="002A367B"/>
    <w:rsid w:val="002A36BA"/>
    <w:rsid w:val="002A372D"/>
    <w:rsid w:val="002A3754"/>
    <w:rsid w:val="002A38CB"/>
    <w:rsid w:val="002A3902"/>
    <w:rsid w:val="002A39F4"/>
    <w:rsid w:val="002A3A45"/>
    <w:rsid w:val="002A3A67"/>
    <w:rsid w:val="002A3AE6"/>
    <w:rsid w:val="002A3AF5"/>
    <w:rsid w:val="002A3CC4"/>
    <w:rsid w:val="002A3E7D"/>
    <w:rsid w:val="002A3FF4"/>
    <w:rsid w:val="002A404D"/>
    <w:rsid w:val="002A40B7"/>
    <w:rsid w:val="002A412D"/>
    <w:rsid w:val="002A41FD"/>
    <w:rsid w:val="002A4380"/>
    <w:rsid w:val="002A4404"/>
    <w:rsid w:val="002A4638"/>
    <w:rsid w:val="002A4821"/>
    <w:rsid w:val="002A4919"/>
    <w:rsid w:val="002A492C"/>
    <w:rsid w:val="002A4976"/>
    <w:rsid w:val="002A4B53"/>
    <w:rsid w:val="002A4DAC"/>
    <w:rsid w:val="002A5123"/>
    <w:rsid w:val="002A5635"/>
    <w:rsid w:val="002A5689"/>
    <w:rsid w:val="002A569E"/>
    <w:rsid w:val="002A57C0"/>
    <w:rsid w:val="002A58AF"/>
    <w:rsid w:val="002A59A8"/>
    <w:rsid w:val="002A59AE"/>
    <w:rsid w:val="002A5A0A"/>
    <w:rsid w:val="002A5A6B"/>
    <w:rsid w:val="002A5BF4"/>
    <w:rsid w:val="002A5C44"/>
    <w:rsid w:val="002A5D2E"/>
    <w:rsid w:val="002A5D6F"/>
    <w:rsid w:val="002A5E7D"/>
    <w:rsid w:val="002A600C"/>
    <w:rsid w:val="002A6190"/>
    <w:rsid w:val="002A62B7"/>
    <w:rsid w:val="002A6328"/>
    <w:rsid w:val="002A637C"/>
    <w:rsid w:val="002A656E"/>
    <w:rsid w:val="002A6620"/>
    <w:rsid w:val="002A67B3"/>
    <w:rsid w:val="002A681F"/>
    <w:rsid w:val="002A6870"/>
    <w:rsid w:val="002A6877"/>
    <w:rsid w:val="002A68B6"/>
    <w:rsid w:val="002A68E4"/>
    <w:rsid w:val="002A6910"/>
    <w:rsid w:val="002A6B21"/>
    <w:rsid w:val="002A6B47"/>
    <w:rsid w:val="002A6B5D"/>
    <w:rsid w:val="002A6B77"/>
    <w:rsid w:val="002A6C62"/>
    <w:rsid w:val="002A6CB2"/>
    <w:rsid w:val="002A6E23"/>
    <w:rsid w:val="002A6EBC"/>
    <w:rsid w:val="002A6FE8"/>
    <w:rsid w:val="002A7054"/>
    <w:rsid w:val="002A70D6"/>
    <w:rsid w:val="002A7144"/>
    <w:rsid w:val="002A71F2"/>
    <w:rsid w:val="002A7228"/>
    <w:rsid w:val="002A725F"/>
    <w:rsid w:val="002A73C9"/>
    <w:rsid w:val="002A74CE"/>
    <w:rsid w:val="002A74F2"/>
    <w:rsid w:val="002A7630"/>
    <w:rsid w:val="002A7734"/>
    <w:rsid w:val="002A785E"/>
    <w:rsid w:val="002A7867"/>
    <w:rsid w:val="002A7880"/>
    <w:rsid w:val="002A7918"/>
    <w:rsid w:val="002A79AA"/>
    <w:rsid w:val="002A79E1"/>
    <w:rsid w:val="002A7C0D"/>
    <w:rsid w:val="002A7C12"/>
    <w:rsid w:val="002A7CD1"/>
    <w:rsid w:val="002A7D04"/>
    <w:rsid w:val="002A7DA9"/>
    <w:rsid w:val="002A7EFC"/>
    <w:rsid w:val="002B009D"/>
    <w:rsid w:val="002B011A"/>
    <w:rsid w:val="002B0136"/>
    <w:rsid w:val="002B035F"/>
    <w:rsid w:val="002B0377"/>
    <w:rsid w:val="002B0430"/>
    <w:rsid w:val="002B0498"/>
    <w:rsid w:val="002B04E5"/>
    <w:rsid w:val="002B062E"/>
    <w:rsid w:val="002B0680"/>
    <w:rsid w:val="002B086E"/>
    <w:rsid w:val="002B0875"/>
    <w:rsid w:val="002B08D4"/>
    <w:rsid w:val="002B0BA3"/>
    <w:rsid w:val="002B0BCE"/>
    <w:rsid w:val="002B0CE8"/>
    <w:rsid w:val="002B0CFC"/>
    <w:rsid w:val="002B0DA4"/>
    <w:rsid w:val="002B0EDE"/>
    <w:rsid w:val="002B0F59"/>
    <w:rsid w:val="002B101E"/>
    <w:rsid w:val="002B112E"/>
    <w:rsid w:val="002B120F"/>
    <w:rsid w:val="002B154B"/>
    <w:rsid w:val="002B15BE"/>
    <w:rsid w:val="002B164D"/>
    <w:rsid w:val="002B16AF"/>
    <w:rsid w:val="002B16E5"/>
    <w:rsid w:val="002B17AF"/>
    <w:rsid w:val="002B17BE"/>
    <w:rsid w:val="002B18C7"/>
    <w:rsid w:val="002B1A0E"/>
    <w:rsid w:val="002B1A14"/>
    <w:rsid w:val="002B1A89"/>
    <w:rsid w:val="002B1B39"/>
    <w:rsid w:val="002B1B5B"/>
    <w:rsid w:val="002B1BCE"/>
    <w:rsid w:val="002B1C0A"/>
    <w:rsid w:val="002B1C4E"/>
    <w:rsid w:val="002B1D16"/>
    <w:rsid w:val="002B1D37"/>
    <w:rsid w:val="002B1D81"/>
    <w:rsid w:val="002B1DC8"/>
    <w:rsid w:val="002B1FA4"/>
    <w:rsid w:val="002B205D"/>
    <w:rsid w:val="002B2152"/>
    <w:rsid w:val="002B2337"/>
    <w:rsid w:val="002B237D"/>
    <w:rsid w:val="002B24CC"/>
    <w:rsid w:val="002B2604"/>
    <w:rsid w:val="002B260B"/>
    <w:rsid w:val="002B264F"/>
    <w:rsid w:val="002B26C5"/>
    <w:rsid w:val="002B275E"/>
    <w:rsid w:val="002B281B"/>
    <w:rsid w:val="002B2848"/>
    <w:rsid w:val="002B2893"/>
    <w:rsid w:val="002B2B49"/>
    <w:rsid w:val="002B2C2F"/>
    <w:rsid w:val="002B2D3C"/>
    <w:rsid w:val="002B2D7A"/>
    <w:rsid w:val="002B2F89"/>
    <w:rsid w:val="002B2FA0"/>
    <w:rsid w:val="002B2FE7"/>
    <w:rsid w:val="002B3056"/>
    <w:rsid w:val="002B326B"/>
    <w:rsid w:val="002B3361"/>
    <w:rsid w:val="002B3626"/>
    <w:rsid w:val="002B37B2"/>
    <w:rsid w:val="002B38B0"/>
    <w:rsid w:val="002B38CA"/>
    <w:rsid w:val="002B392B"/>
    <w:rsid w:val="002B3B04"/>
    <w:rsid w:val="002B3B9F"/>
    <w:rsid w:val="002B3DE1"/>
    <w:rsid w:val="002B3DF6"/>
    <w:rsid w:val="002B3E13"/>
    <w:rsid w:val="002B3E4E"/>
    <w:rsid w:val="002B3EC9"/>
    <w:rsid w:val="002B3FB1"/>
    <w:rsid w:val="002B4007"/>
    <w:rsid w:val="002B41B3"/>
    <w:rsid w:val="002B43EF"/>
    <w:rsid w:val="002B4400"/>
    <w:rsid w:val="002B44B7"/>
    <w:rsid w:val="002B4541"/>
    <w:rsid w:val="002B456A"/>
    <w:rsid w:val="002B463D"/>
    <w:rsid w:val="002B4702"/>
    <w:rsid w:val="002B471D"/>
    <w:rsid w:val="002B48FA"/>
    <w:rsid w:val="002B4A5B"/>
    <w:rsid w:val="002B4A81"/>
    <w:rsid w:val="002B4A9D"/>
    <w:rsid w:val="002B4B6B"/>
    <w:rsid w:val="002B4C21"/>
    <w:rsid w:val="002B4C42"/>
    <w:rsid w:val="002B4CD4"/>
    <w:rsid w:val="002B4DCC"/>
    <w:rsid w:val="002B50F6"/>
    <w:rsid w:val="002B519F"/>
    <w:rsid w:val="002B51AB"/>
    <w:rsid w:val="002B5385"/>
    <w:rsid w:val="002B545C"/>
    <w:rsid w:val="002B559E"/>
    <w:rsid w:val="002B55B0"/>
    <w:rsid w:val="002B55B8"/>
    <w:rsid w:val="002B55CE"/>
    <w:rsid w:val="002B571B"/>
    <w:rsid w:val="002B5729"/>
    <w:rsid w:val="002B5741"/>
    <w:rsid w:val="002B5756"/>
    <w:rsid w:val="002B5A8B"/>
    <w:rsid w:val="002B5BB1"/>
    <w:rsid w:val="002B5C2D"/>
    <w:rsid w:val="002B5F35"/>
    <w:rsid w:val="002B5FE4"/>
    <w:rsid w:val="002B5FED"/>
    <w:rsid w:val="002B609D"/>
    <w:rsid w:val="002B60B0"/>
    <w:rsid w:val="002B6525"/>
    <w:rsid w:val="002B6623"/>
    <w:rsid w:val="002B66C2"/>
    <w:rsid w:val="002B6701"/>
    <w:rsid w:val="002B6754"/>
    <w:rsid w:val="002B6804"/>
    <w:rsid w:val="002B6861"/>
    <w:rsid w:val="002B68D5"/>
    <w:rsid w:val="002B6917"/>
    <w:rsid w:val="002B6A5A"/>
    <w:rsid w:val="002B6A60"/>
    <w:rsid w:val="002B6CDB"/>
    <w:rsid w:val="002B6CFE"/>
    <w:rsid w:val="002B6DA0"/>
    <w:rsid w:val="002B6DDA"/>
    <w:rsid w:val="002B6EC4"/>
    <w:rsid w:val="002B6FE9"/>
    <w:rsid w:val="002B6FF1"/>
    <w:rsid w:val="002B7082"/>
    <w:rsid w:val="002B717E"/>
    <w:rsid w:val="002B71C5"/>
    <w:rsid w:val="002B72F9"/>
    <w:rsid w:val="002B7339"/>
    <w:rsid w:val="002B73C9"/>
    <w:rsid w:val="002B73E4"/>
    <w:rsid w:val="002B748F"/>
    <w:rsid w:val="002B74A1"/>
    <w:rsid w:val="002B758B"/>
    <w:rsid w:val="002B75E0"/>
    <w:rsid w:val="002B761A"/>
    <w:rsid w:val="002B7769"/>
    <w:rsid w:val="002B7826"/>
    <w:rsid w:val="002B7841"/>
    <w:rsid w:val="002B7872"/>
    <w:rsid w:val="002B7A6B"/>
    <w:rsid w:val="002B7AB9"/>
    <w:rsid w:val="002B7ADF"/>
    <w:rsid w:val="002B7B0D"/>
    <w:rsid w:val="002B7C2C"/>
    <w:rsid w:val="002B7C34"/>
    <w:rsid w:val="002B7D22"/>
    <w:rsid w:val="002B7D3A"/>
    <w:rsid w:val="002B7DDA"/>
    <w:rsid w:val="002B7DDD"/>
    <w:rsid w:val="002B7EA3"/>
    <w:rsid w:val="002B7EAD"/>
    <w:rsid w:val="002B7F2C"/>
    <w:rsid w:val="002B7FA3"/>
    <w:rsid w:val="002B7FFD"/>
    <w:rsid w:val="002C0152"/>
    <w:rsid w:val="002C0212"/>
    <w:rsid w:val="002C0239"/>
    <w:rsid w:val="002C045D"/>
    <w:rsid w:val="002C0463"/>
    <w:rsid w:val="002C0492"/>
    <w:rsid w:val="002C0587"/>
    <w:rsid w:val="002C05AE"/>
    <w:rsid w:val="002C065C"/>
    <w:rsid w:val="002C082D"/>
    <w:rsid w:val="002C0A3B"/>
    <w:rsid w:val="002C0A8A"/>
    <w:rsid w:val="002C0ACB"/>
    <w:rsid w:val="002C0B1C"/>
    <w:rsid w:val="002C0B4C"/>
    <w:rsid w:val="002C0B4F"/>
    <w:rsid w:val="002C0C86"/>
    <w:rsid w:val="002C0EA5"/>
    <w:rsid w:val="002C0F27"/>
    <w:rsid w:val="002C1076"/>
    <w:rsid w:val="002C1123"/>
    <w:rsid w:val="002C1293"/>
    <w:rsid w:val="002C13B0"/>
    <w:rsid w:val="002C14F7"/>
    <w:rsid w:val="002C154C"/>
    <w:rsid w:val="002C1595"/>
    <w:rsid w:val="002C15CD"/>
    <w:rsid w:val="002C1629"/>
    <w:rsid w:val="002C1844"/>
    <w:rsid w:val="002C18EB"/>
    <w:rsid w:val="002C197A"/>
    <w:rsid w:val="002C199B"/>
    <w:rsid w:val="002C19B6"/>
    <w:rsid w:val="002C19C6"/>
    <w:rsid w:val="002C1AE6"/>
    <w:rsid w:val="002C1AE9"/>
    <w:rsid w:val="002C1C06"/>
    <w:rsid w:val="002C1C17"/>
    <w:rsid w:val="002C1C51"/>
    <w:rsid w:val="002C1CF4"/>
    <w:rsid w:val="002C1E02"/>
    <w:rsid w:val="002C1E1C"/>
    <w:rsid w:val="002C1F1D"/>
    <w:rsid w:val="002C1F4F"/>
    <w:rsid w:val="002C1F59"/>
    <w:rsid w:val="002C2132"/>
    <w:rsid w:val="002C22D4"/>
    <w:rsid w:val="002C22FB"/>
    <w:rsid w:val="002C230A"/>
    <w:rsid w:val="002C236C"/>
    <w:rsid w:val="002C237D"/>
    <w:rsid w:val="002C2448"/>
    <w:rsid w:val="002C24AF"/>
    <w:rsid w:val="002C271F"/>
    <w:rsid w:val="002C27BB"/>
    <w:rsid w:val="002C27BD"/>
    <w:rsid w:val="002C284B"/>
    <w:rsid w:val="002C28C9"/>
    <w:rsid w:val="002C2A10"/>
    <w:rsid w:val="002C2AA7"/>
    <w:rsid w:val="002C2AF1"/>
    <w:rsid w:val="002C2CFD"/>
    <w:rsid w:val="002C2D22"/>
    <w:rsid w:val="002C2D62"/>
    <w:rsid w:val="002C2E09"/>
    <w:rsid w:val="002C2ECA"/>
    <w:rsid w:val="002C2FA8"/>
    <w:rsid w:val="002C2FEF"/>
    <w:rsid w:val="002C305D"/>
    <w:rsid w:val="002C30EB"/>
    <w:rsid w:val="002C3122"/>
    <w:rsid w:val="002C347D"/>
    <w:rsid w:val="002C3497"/>
    <w:rsid w:val="002C357F"/>
    <w:rsid w:val="002C35E9"/>
    <w:rsid w:val="002C3789"/>
    <w:rsid w:val="002C3825"/>
    <w:rsid w:val="002C38D3"/>
    <w:rsid w:val="002C390D"/>
    <w:rsid w:val="002C3911"/>
    <w:rsid w:val="002C397A"/>
    <w:rsid w:val="002C3A41"/>
    <w:rsid w:val="002C3B69"/>
    <w:rsid w:val="002C3C8E"/>
    <w:rsid w:val="002C3CA7"/>
    <w:rsid w:val="002C3DDF"/>
    <w:rsid w:val="002C3DFF"/>
    <w:rsid w:val="002C3E3D"/>
    <w:rsid w:val="002C3E5A"/>
    <w:rsid w:val="002C3E5D"/>
    <w:rsid w:val="002C4007"/>
    <w:rsid w:val="002C4049"/>
    <w:rsid w:val="002C410F"/>
    <w:rsid w:val="002C417C"/>
    <w:rsid w:val="002C41F4"/>
    <w:rsid w:val="002C442B"/>
    <w:rsid w:val="002C44CF"/>
    <w:rsid w:val="002C4562"/>
    <w:rsid w:val="002C45CE"/>
    <w:rsid w:val="002C465F"/>
    <w:rsid w:val="002C46C9"/>
    <w:rsid w:val="002C470D"/>
    <w:rsid w:val="002C4752"/>
    <w:rsid w:val="002C47AB"/>
    <w:rsid w:val="002C482A"/>
    <w:rsid w:val="002C48CC"/>
    <w:rsid w:val="002C4911"/>
    <w:rsid w:val="002C492D"/>
    <w:rsid w:val="002C49A3"/>
    <w:rsid w:val="002C49CE"/>
    <w:rsid w:val="002C4AB9"/>
    <w:rsid w:val="002C4ACB"/>
    <w:rsid w:val="002C4B10"/>
    <w:rsid w:val="002C4B7B"/>
    <w:rsid w:val="002C4CF9"/>
    <w:rsid w:val="002C4EB6"/>
    <w:rsid w:val="002C4EFB"/>
    <w:rsid w:val="002C4F1B"/>
    <w:rsid w:val="002C4F4E"/>
    <w:rsid w:val="002C4FEF"/>
    <w:rsid w:val="002C50A3"/>
    <w:rsid w:val="002C50AB"/>
    <w:rsid w:val="002C50AF"/>
    <w:rsid w:val="002C51D3"/>
    <w:rsid w:val="002C51D4"/>
    <w:rsid w:val="002C5232"/>
    <w:rsid w:val="002C52D5"/>
    <w:rsid w:val="002C54C2"/>
    <w:rsid w:val="002C554E"/>
    <w:rsid w:val="002C5583"/>
    <w:rsid w:val="002C574B"/>
    <w:rsid w:val="002C57CC"/>
    <w:rsid w:val="002C580D"/>
    <w:rsid w:val="002C5949"/>
    <w:rsid w:val="002C5AA7"/>
    <w:rsid w:val="002C5D82"/>
    <w:rsid w:val="002C5E28"/>
    <w:rsid w:val="002C6142"/>
    <w:rsid w:val="002C6352"/>
    <w:rsid w:val="002C6419"/>
    <w:rsid w:val="002C64A0"/>
    <w:rsid w:val="002C64D8"/>
    <w:rsid w:val="002C6659"/>
    <w:rsid w:val="002C666A"/>
    <w:rsid w:val="002C676F"/>
    <w:rsid w:val="002C67A6"/>
    <w:rsid w:val="002C6923"/>
    <w:rsid w:val="002C6A8B"/>
    <w:rsid w:val="002C6AAB"/>
    <w:rsid w:val="002C6AD6"/>
    <w:rsid w:val="002C6AE9"/>
    <w:rsid w:val="002C6B39"/>
    <w:rsid w:val="002C6CE5"/>
    <w:rsid w:val="002C6D4C"/>
    <w:rsid w:val="002C6E06"/>
    <w:rsid w:val="002C6FD1"/>
    <w:rsid w:val="002C703D"/>
    <w:rsid w:val="002C7235"/>
    <w:rsid w:val="002C73AB"/>
    <w:rsid w:val="002C74CF"/>
    <w:rsid w:val="002C751B"/>
    <w:rsid w:val="002C769C"/>
    <w:rsid w:val="002C7788"/>
    <w:rsid w:val="002C7926"/>
    <w:rsid w:val="002C7B32"/>
    <w:rsid w:val="002C7CF3"/>
    <w:rsid w:val="002C7DBB"/>
    <w:rsid w:val="002C7EF3"/>
    <w:rsid w:val="002C7F31"/>
    <w:rsid w:val="002C7F3A"/>
    <w:rsid w:val="002D0057"/>
    <w:rsid w:val="002D0120"/>
    <w:rsid w:val="002D0205"/>
    <w:rsid w:val="002D02A2"/>
    <w:rsid w:val="002D034A"/>
    <w:rsid w:val="002D04C1"/>
    <w:rsid w:val="002D04C8"/>
    <w:rsid w:val="002D04ED"/>
    <w:rsid w:val="002D067F"/>
    <w:rsid w:val="002D0684"/>
    <w:rsid w:val="002D0777"/>
    <w:rsid w:val="002D07C9"/>
    <w:rsid w:val="002D0809"/>
    <w:rsid w:val="002D09DD"/>
    <w:rsid w:val="002D0A3F"/>
    <w:rsid w:val="002D0C03"/>
    <w:rsid w:val="002D0CA2"/>
    <w:rsid w:val="002D0EC9"/>
    <w:rsid w:val="002D0F53"/>
    <w:rsid w:val="002D0F6D"/>
    <w:rsid w:val="002D1133"/>
    <w:rsid w:val="002D11D6"/>
    <w:rsid w:val="002D126C"/>
    <w:rsid w:val="002D12DC"/>
    <w:rsid w:val="002D12F7"/>
    <w:rsid w:val="002D1348"/>
    <w:rsid w:val="002D1470"/>
    <w:rsid w:val="002D1471"/>
    <w:rsid w:val="002D149A"/>
    <w:rsid w:val="002D167C"/>
    <w:rsid w:val="002D1713"/>
    <w:rsid w:val="002D178A"/>
    <w:rsid w:val="002D18A3"/>
    <w:rsid w:val="002D1962"/>
    <w:rsid w:val="002D1967"/>
    <w:rsid w:val="002D19F9"/>
    <w:rsid w:val="002D1A19"/>
    <w:rsid w:val="002D1A58"/>
    <w:rsid w:val="002D1BB9"/>
    <w:rsid w:val="002D1BCA"/>
    <w:rsid w:val="002D1C63"/>
    <w:rsid w:val="002D1C9E"/>
    <w:rsid w:val="002D1CD4"/>
    <w:rsid w:val="002D1EFB"/>
    <w:rsid w:val="002D1F30"/>
    <w:rsid w:val="002D1F8D"/>
    <w:rsid w:val="002D1FBD"/>
    <w:rsid w:val="002D2017"/>
    <w:rsid w:val="002D213D"/>
    <w:rsid w:val="002D226A"/>
    <w:rsid w:val="002D22D3"/>
    <w:rsid w:val="002D22F9"/>
    <w:rsid w:val="002D2319"/>
    <w:rsid w:val="002D2396"/>
    <w:rsid w:val="002D24E3"/>
    <w:rsid w:val="002D269A"/>
    <w:rsid w:val="002D286F"/>
    <w:rsid w:val="002D28DC"/>
    <w:rsid w:val="002D29FB"/>
    <w:rsid w:val="002D2B6C"/>
    <w:rsid w:val="002D2BDB"/>
    <w:rsid w:val="002D2C2A"/>
    <w:rsid w:val="002D2C87"/>
    <w:rsid w:val="002D2D18"/>
    <w:rsid w:val="002D2E8C"/>
    <w:rsid w:val="002D2EAB"/>
    <w:rsid w:val="002D2EB3"/>
    <w:rsid w:val="002D2F49"/>
    <w:rsid w:val="002D2FCA"/>
    <w:rsid w:val="002D30C3"/>
    <w:rsid w:val="002D3192"/>
    <w:rsid w:val="002D31E7"/>
    <w:rsid w:val="002D329B"/>
    <w:rsid w:val="002D3389"/>
    <w:rsid w:val="002D33FB"/>
    <w:rsid w:val="002D342D"/>
    <w:rsid w:val="002D344F"/>
    <w:rsid w:val="002D3465"/>
    <w:rsid w:val="002D35E3"/>
    <w:rsid w:val="002D36F1"/>
    <w:rsid w:val="002D37A6"/>
    <w:rsid w:val="002D37D0"/>
    <w:rsid w:val="002D3816"/>
    <w:rsid w:val="002D384E"/>
    <w:rsid w:val="002D38C2"/>
    <w:rsid w:val="002D3A30"/>
    <w:rsid w:val="002D3B41"/>
    <w:rsid w:val="002D3BD1"/>
    <w:rsid w:val="002D3C0A"/>
    <w:rsid w:val="002D3C6A"/>
    <w:rsid w:val="002D3C9B"/>
    <w:rsid w:val="002D3D4A"/>
    <w:rsid w:val="002D3FCC"/>
    <w:rsid w:val="002D3FE5"/>
    <w:rsid w:val="002D414E"/>
    <w:rsid w:val="002D43C2"/>
    <w:rsid w:val="002D4552"/>
    <w:rsid w:val="002D46F0"/>
    <w:rsid w:val="002D483F"/>
    <w:rsid w:val="002D48F9"/>
    <w:rsid w:val="002D49B4"/>
    <w:rsid w:val="002D4B55"/>
    <w:rsid w:val="002D4B58"/>
    <w:rsid w:val="002D4C8F"/>
    <w:rsid w:val="002D4E2F"/>
    <w:rsid w:val="002D4E55"/>
    <w:rsid w:val="002D5041"/>
    <w:rsid w:val="002D50A8"/>
    <w:rsid w:val="002D5108"/>
    <w:rsid w:val="002D51AF"/>
    <w:rsid w:val="002D51B0"/>
    <w:rsid w:val="002D51F3"/>
    <w:rsid w:val="002D51F5"/>
    <w:rsid w:val="002D5273"/>
    <w:rsid w:val="002D5295"/>
    <w:rsid w:val="002D53AF"/>
    <w:rsid w:val="002D54DC"/>
    <w:rsid w:val="002D55BC"/>
    <w:rsid w:val="002D56DC"/>
    <w:rsid w:val="002D575B"/>
    <w:rsid w:val="002D577B"/>
    <w:rsid w:val="002D5806"/>
    <w:rsid w:val="002D5A4A"/>
    <w:rsid w:val="002D5ADD"/>
    <w:rsid w:val="002D5AFE"/>
    <w:rsid w:val="002D5B53"/>
    <w:rsid w:val="002D5B61"/>
    <w:rsid w:val="002D5BCC"/>
    <w:rsid w:val="002D5BF1"/>
    <w:rsid w:val="002D5C7C"/>
    <w:rsid w:val="002D5C8A"/>
    <w:rsid w:val="002D5D95"/>
    <w:rsid w:val="002D5DEA"/>
    <w:rsid w:val="002D5E92"/>
    <w:rsid w:val="002D5F89"/>
    <w:rsid w:val="002D5FCA"/>
    <w:rsid w:val="002D6158"/>
    <w:rsid w:val="002D6170"/>
    <w:rsid w:val="002D61B9"/>
    <w:rsid w:val="002D61E0"/>
    <w:rsid w:val="002D6279"/>
    <w:rsid w:val="002D62BB"/>
    <w:rsid w:val="002D63B1"/>
    <w:rsid w:val="002D63B9"/>
    <w:rsid w:val="002D6404"/>
    <w:rsid w:val="002D6419"/>
    <w:rsid w:val="002D64AE"/>
    <w:rsid w:val="002D6540"/>
    <w:rsid w:val="002D6541"/>
    <w:rsid w:val="002D6597"/>
    <w:rsid w:val="002D6713"/>
    <w:rsid w:val="002D6842"/>
    <w:rsid w:val="002D6874"/>
    <w:rsid w:val="002D68D1"/>
    <w:rsid w:val="002D68EA"/>
    <w:rsid w:val="002D6920"/>
    <w:rsid w:val="002D69AC"/>
    <w:rsid w:val="002D69B0"/>
    <w:rsid w:val="002D6A3E"/>
    <w:rsid w:val="002D6A59"/>
    <w:rsid w:val="002D6BCD"/>
    <w:rsid w:val="002D6BE2"/>
    <w:rsid w:val="002D6CC0"/>
    <w:rsid w:val="002D6E1F"/>
    <w:rsid w:val="002D6E36"/>
    <w:rsid w:val="002D6EA3"/>
    <w:rsid w:val="002D6EC2"/>
    <w:rsid w:val="002D71BF"/>
    <w:rsid w:val="002D7264"/>
    <w:rsid w:val="002D72A3"/>
    <w:rsid w:val="002D749D"/>
    <w:rsid w:val="002D7695"/>
    <w:rsid w:val="002D76A0"/>
    <w:rsid w:val="002D777E"/>
    <w:rsid w:val="002D788B"/>
    <w:rsid w:val="002D7A59"/>
    <w:rsid w:val="002D7B47"/>
    <w:rsid w:val="002D7BA0"/>
    <w:rsid w:val="002D7D50"/>
    <w:rsid w:val="002E00CC"/>
    <w:rsid w:val="002E0103"/>
    <w:rsid w:val="002E0171"/>
    <w:rsid w:val="002E039B"/>
    <w:rsid w:val="002E047E"/>
    <w:rsid w:val="002E052E"/>
    <w:rsid w:val="002E06EF"/>
    <w:rsid w:val="002E071B"/>
    <w:rsid w:val="002E074B"/>
    <w:rsid w:val="002E0865"/>
    <w:rsid w:val="002E0A52"/>
    <w:rsid w:val="002E0A8F"/>
    <w:rsid w:val="002E0AC2"/>
    <w:rsid w:val="002E0BE7"/>
    <w:rsid w:val="002E0C73"/>
    <w:rsid w:val="002E0D6A"/>
    <w:rsid w:val="002E0D9F"/>
    <w:rsid w:val="002E0ED9"/>
    <w:rsid w:val="002E0F86"/>
    <w:rsid w:val="002E10A9"/>
    <w:rsid w:val="002E11AF"/>
    <w:rsid w:val="002E11D1"/>
    <w:rsid w:val="002E1272"/>
    <w:rsid w:val="002E1401"/>
    <w:rsid w:val="002E14D9"/>
    <w:rsid w:val="002E1520"/>
    <w:rsid w:val="002E15F3"/>
    <w:rsid w:val="002E1650"/>
    <w:rsid w:val="002E168B"/>
    <w:rsid w:val="002E17C2"/>
    <w:rsid w:val="002E1867"/>
    <w:rsid w:val="002E1876"/>
    <w:rsid w:val="002E18E2"/>
    <w:rsid w:val="002E19ED"/>
    <w:rsid w:val="002E1A74"/>
    <w:rsid w:val="002E1B77"/>
    <w:rsid w:val="002E1B90"/>
    <w:rsid w:val="002E1D71"/>
    <w:rsid w:val="002E1E96"/>
    <w:rsid w:val="002E2037"/>
    <w:rsid w:val="002E2121"/>
    <w:rsid w:val="002E2181"/>
    <w:rsid w:val="002E21AF"/>
    <w:rsid w:val="002E225C"/>
    <w:rsid w:val="002E23D9"/>
    <w:rsid w:val="002E25E7"/>
    <w:rsid w:val="002E2623"/>
    <w:rsid w:val="002E26B0"/>
    <w:rsid w:val="002E278A"/>
    <w:rsid w:val="002E27CB"/>
    <w:rsid w:val="002E2834"/>
    <w:rsid w:val="002E290A"/>
    <w:rsid w:val="002E29C7"/>
    <w:rsid w:val="002E29E5"/>
    <w:rsid w:val="002E2AB8"/>
    <w:rsid w:val="002E2B39"/>
    <w:rsid w:val="002E2C3E"/>
    <w:rsid w:val="002E2E0D"/>
    <w:rsid w:val="002E2E72"/>
    <w:rsid w:val="002E2E7F"/>
    <w:rsid w:val="002E2E88"/>
    <w:rsid w:val="002E2F04"/>
    <w:rsid w:val="002E2F9A"/>
    <w:rsid w:val="002E3014"/>
    <w:rsid w:val="002E3123"/>
    <w:rsid w:val="002E3139"/>
    <w:rsid w:val="002E31AB"/>
    <w:rsid w:val="002E3253"/>
    <w:rsid w:val="002E3282"/>
    <w:rsid w:val="002E32D4"/>
    <w:rsid w:val="002E32FB"/>
    <w:rsid w:val="002E334C"/>
    <w:rsid w:val="002E3378"/>
    <w:rsid w:val="002E3664"/>
    <w:rsid w:val="002E3669"/>
    <w:rsid w:val="002E378E"/>
    <w:rsid w:val="002E37F8"/>
    <w:rsid w:val="002E3860"/>
    <w:rsid w:val="002E3866"/>
    <w:rsid w:val="002E3BA8"/>
    <w:rsid w:val="002E3D3A"/>
    <w:rsid w:val="002E3E26"/>
    <w:rsid w:val="002E3EDF"/>
    <w:rsid w:val="002E3F43"/>
    <w:rsid w:val="002E3F70"/>
    <w:rsid w:val="002E4074"/>
    <w:rsid w:val="002E40FF"/>
    <w:rsid w:val="002E413B"/>
    <w:rsid w:val="002E4170"/>
    <w:rsid w:val="002E4191"/>
    <w:rsid w:val="002E421E"/>
    <w:rsid w:val="002E4256"/>
    <w:rsid w:val="002E42B2"/>
    <w:rsid w:val="002E4353"/>
    <w:rsid w:val="002E4512"/>
    <w:rsid w:val="002E4590"/>
    <w:rsid w:val="002E463E"/>
    <w:rsid w:val="002E483C"/>
    <w:rsid w:val="002E4933"/>
    <w:rsid w:val="002E494D"/>
    <w:rsid w:val="002E4A51"/>
    <w:rsid w:val="002E4AA1"/>
    <w:rsid w:val="002E5067"/>
    <w:rsid w:val="002E5098"/>
    <w:rsid w:val="002E547C"/>
    <w:rsid w:val="002E5631"/>
    <w:rsid w:val="002E567A"/>
    <w:rsid w:val="002E576F"/>
    <w:rsid w:val="002E5784"/>
    <w:rsid w:val="002E58F8"/>
    <w:rsid w:val="002E5920"/>
    <w:rsid w:val="002E5932"/>
    <w:rsid w:val="002E599A"/>
    <w:rsid w:val="002E5A4E"/>
    <w:rsid w:val="002E5C06"/>
    <w:rsid w:val="002E5C16"/>
    <w:rsid w:val="002E5CFE"/>
    <w:rsid w:val="002E5E63"/>
    <w:rsid w:val="002E5EA5"/>
    <w:rsid w:val="002E5F33"/>
    <w:rsid w:val="002E5F3A"/>
    <w:rsid w:val="002E5F97"/>
    <w:rsid w:val="002E61F2"/>
    <w:rsid w:val="002E61F8"/>
    <w:rsid w:val="002E620A"/>
    <w:rsid w:val="002E6299"/>
    <w:rsid w:val="002E6324"/>
    <w:rsid w:val="002E6391"/>
    <w:rsid w:val="002E63F9"/>
    <w:rsid w:val="002E66A4"/>
    <w:rsid w:val="002E6753"/>
    <w:rsid w:val="002E688B"/>
    <w:rsid w:val="002E6897"/>
    <w:rsid w:val="002E6A57"/>
    <w:rsid w:val="002E6AD0"/>
    <w:rsid w:val="002E6C00"/>
    <w:rsid w:val="002E6DCA"/>
    <w:rsid w:val="002E6EA8"/>
    <w:rsid w:val="002E6F6F"/>
    <w:rsid w:val="002E7120"/>
    <w:rsid w:val="002E712F"/>
    <w:rsid w:val="002E71CC"/>
    <w:rsid w:val="002E724C"/>
    <w:rsid w:val="002E7292"/>
    <w:rsid w:val="002E7490"/>
    <w:rsid w:val="002E75D7"/>
    <w:rsid w:val="002E7640"/>
    <w:rsid w:val="002E7671"/>
    <w:rsid w:val="002E7685"/>
    <w:rsid w:val="002E7705"/>
    <w:rsid w:val="002E771D"/>
    <w:rsid w:val="002E7800"/>
    <w:rsid w:val="002E797E"/>
    <w:rsid w:val="002E7A94"/>
    <w:rsid w:val="002E7B2A"/>
    <w:rsid w:val="002E7E34"/>
    <w:rsid w:val="002E7EAA"/>
    <w:rsid w:val="002E7F26"/>
    <w:rsid w:val="002E7FE5"/>
    <w:rsid w:val="002F00DC"/>
    <w:rsid w:val="002F0119"/>
    <w:rsid w:val="002F01BB"/>
    <w:rsid w:val="002F0211"/>
    <w:rsid w:val="002F02D8"/>
    <w:rsid w:val="002F032F"/>
    <w:rsid w:val="002F0444"/>
    <w:rsid w:val="002F047B"/>
    <w:rsid w:val="002F0559"/>
    <w:rsid w:val="002F05A7"/>
    <w:rsid w:val="002F0649"/>
    <w:rsid w:val="002F0874"/>
    <w:rsid w:val="002F08DF"/>
    <w:rsid w:val="002F0C17"/>
    <w:rsid w:val="002F0C9E"/>
    <w:rsid w:val="002F0CAE"/>
    <w:rsid w:val="002F0CB9"/>
    <w:rsid w:val="002F0DD3"/>
    <w:rsid w:val="002F0F30"/>
    <w:rsid w:val="002F0FD7"/>
    <w:rsid w:val="002F1068"/>
    <w:rsid w:val="002F1110"/>
    <w:rsid w:val="002F119B"/>
    <w:rsid w:val="002F11EA"/>
    <w:rsid w:val="002F11EF"/>
    <w:rsid w:val="002F124B"/>
    <w:rsid w:val="002F14F4"/>
    <w:rsid w:val="002F164E"/>
    <w:rsid w:val="002F170E"/>
    <w:rsid w:val="002F177E"/>
    <w:rsid w:val="002F197C"/>
    <w:rsid w:val="002F197D"/>
    <w:rsid w:val="002F19D7"/>
    <w:rsid w:val="002F1A46"/>
    <w:rsid w:val="002F1AF6"/>
    <w:rsid w:val="002F1CFF"/>
    <w:rsid w:val="002F1DD5"/>
    <w:rsid w:val="002F1E08"/>
    <w:rsid w:val="002F1F74"/>
    <w:rsid w:val="002F1F8A"/>
    <w:rsid w:val="002F1FA3"/>
    <w:rsid w:val="002F1FBE"/>
    <w:rsid w:val="002F212F"/>
    <w:rsid w:val="002F21DF"/>
    <w:rsid w:val="002F21FF"/>
    <w:rsid w:val="002F22EE"/>
    <w:rsid w:val="002F2303"/>
    <w:rsid w:val="002F235A"/>
    <w:rsid w:val="002F2417"/>
    <w:rsid w:val="002F2459"/>
    <w:rsid w:val="002F24E4"/>
    <w:rsid w:val="002F256E"/>
    <w:rsid w:val="002F2593"/>
    <w:rsid w:val="002F25D8"/>
    <w:rsid w:val="002F25EA"/>
    <w:rsid w:val="002F2722"/>
    <w:rsid w:val="002F284E"/>
    <w:rsid w:val="002F293D"/>
    <w:rsid w:val="002F2A5F"/>
    <w:rsid w:val="002F2C88"/>
    <w:rsid w:val="002F2E2A"/>
    <w:rsid w:val="002F3065"/>
    <w:rsid w:val="002F30F5"/>
    <w:rsid w:val="002F3254"/>
    <w:rsid w:val="002F3358"/>
    <w:rsid w:val="002F342A"/>
    <w:rsid w:val="002F34C8"/>
    <w:rsid w:val="002F34CE"/>
    <w:rsid w:val="002F3544"/>
    <w:rsid w:val="002F375E"/>
    <w:rsid w:val="002F3809"/>
    <w:rsid w:val="002F38AC"/>
    <w:rsid w:val="002F39B1"/>
    <w:rsid w:val="002F3B2A"/>
    <w:rsid w:val="002F3B31"/>
    <w:rsid w:val="002F3B81"/>
    <w:rsid w:val="002F3D98"/>
    <w:rsid w:val="002F3E2A"/>
    <w:rsid w:val="002F3EB4"/>
    <w:rsid w:val="002F3EC2"/>
    <w:rsid w:val="002F3FD2"/>
    <w:rsid w:val="002F4005"/>
    <w:rsid w:val="002F403E"/>
    <w:rsid w:val="002F4242"/>
    <w:rsid w:val="002F4348"/>
    <w:rsid w:val="002F454C"/>
    <w:rsid w:val="002F457B"/>
    <w:rsid w:val="002F4593"/>
    <w:rsid w:val="002F471C"/>
    <w:rsid w:val="002F475E"/>
    <w:rsid w:val="002F48C1"/>
    <w:rsid w:val="002F493C"/>
    <w:rsid w:val="002F497F"/>
    <w:rsid w:val="002F49C7"/>
    <w:rsid w:val="002F4A98"/>
    <w:rsid w:val="002F4B12"/>
    <w:rsid w:val="002F4B50"/>
    <w:rsid w:val="002F4D13"/>
    <w:rsid w:val="002F4D6C"/>
    <w:rsid w:val="002F4DB1"/>
    <w:rsid w:val="002F4EB9"/>
    <w:rsid w:val="002F4F30"/>
    <w:rsid w:val="002F4F72"/>
    <w:rsid w:val="002F5015"/>
    <w:rsid w:val="002F51B7"/>
    <w:rsid w:val="002F5238"/>
    <w:rsid w:val="002F524F"/>
    <w:rsid w:val="002F52C8"/>
    <w:rsid w:val="002F52CF"/>
    <w:rsid w:val="002F5385"/>
    <w:rsid w:val="002F539E"/>
    <w:rsid w:val="002F553A"/>
    <w:rsid w:val="002F55E0"/>
    <w:rsid w:val="002F5677"/>
    <w:rsid w:val="002F56B0"/>
    <w:rsid w:val="002F56E1"/>
    <w:rsid w:val="002F5766"/>
    <w:rsid w:val="002F57C9"/>
    <w:rsid w:val="002F592A"/>
    <w:rsid w:val="002F59E7"/>
    <w:rsid w:val="002F5A4B"/>
    <w:rsid w:val="002F5B51"/>
    <w:rsid w:val="002F5C6F"/>
    <w:rsid w:val="002F5C9C"/>
    <w:rsid w:val="002F5CDA"/>
    <w:rsid w:val="002F5D81"/>
    <w:rsid w:val="002F5E71"/>
    <w:rsid w:val="002F5EC3"/>
    <w:rsid w:val="002F5F71"/>
    <w:rsid w:val="002F6013"/>
    <w:rsid w:val="002F6039"/>
    <w:rsid w:val="002F6097"/>
    <w:rsid w:val="002F6365"/>
    <w:rsid w:val="002F6455"/>
    <w:rsid w:val="002F6539"/>
    <w:rsid w:val="002F6616"/>
    <w:rsid w:val="002F66E4"/>
    <w:rsid w:val="002F670C"/>
    <w:rsid w:val="002F6714"/>
    <w:rsid w:val="002F6872"/>
    <w:rsid w:val="002F6958"/>
    <w:rsid w:val="002F696C"/>
    <w:rsid w:val="002F6A49"/>
    <w:rsid w:val="002F6B0F"/>
    <w:rsid w:val="002F6C74"/>
    <w:rsid w:val="002F6D05"/>
    <w:rsid w:val="002F6F77"/>
    <w:rsid w:val="002F7018"/>
    <w:rsid w:val="002F7044"/>
    <w:rsid w:val="002F706D"/>
    <w:rsid w:val="002F7177"/>
    <w:rsid w:val="002F7234"/>
    <w:rsid w:val="002F7261"/>
    <w:rsid w:val="002F72AA"/>
    <w:rsid w:val="002F72B8"/>
    <w:rsid w:val="002F7308"/>
    <w:rsid w:val="002F739B"/>
    <w:rsid w:val="002F73EE"/>
    <w:rsid w:val="002F74F2"/>
    <w:rsid w:val="002F75BC"/>
    <w:rsid w:val="002F761D"/>
    <w:rsid w:val="002F783B"/>
    <w:rsid w:val="002F78F8"/>
    <w:rsid w:val="002F7A0F"/>
    <w:rsid w:val="002F7B52"/>
    <w:rsid w:val="002F7BCB"/>
    <w:rsid w:val="002F7CDF"/>
    <w:rsid w:val="002F7D08"/>
    <w:rsid w:val="002F7D68"/>
    <w:rsid w:val="002F7D8E"/>
    <w:rsid w:val="002F7E87"/>
    <w:rsid w:val="002F7FEC"/>
    <w:rsid w:val="002FED25"/>
    <w:rsid w:val="0030001B"/>
    <w:rsid w:val="003000B3"/>
    <w:rsid w:val="00300176"/>
    <w:rsid w:val="0030027E"/>
    <w:rsid w:val="00300319"/>
    <w:rsid w:val="00300345"/>
    <w:rsid w:val="00300397"/>
    <w:rsid w:val="003004CD"/>
    <w:rsid w:val="00300563"/>
    <w:rsid w:val="00300588"/>
    <w:rsid w:val="0030067F"/>
    <w:rsid w:val="00300715"/>
    <w:rsid w:val="00300811"/>
    <w:rsid w:val="00300867"/>
    <w:rsid w:val="00300C2C"/>
    <w:rsid w:val="00300C83"/>
    <w:rsid w:val="00300EB0"/>
    <w:rsid w:val="003010AF"/>
    <w:rsid w:val="00301152"/>
    <w:rsid w:val="00301199"/>
    <w:rsid w:val="003012F5"/>
    <w:rsid w:val="0030133D"/>
    <w:rsid w:val="00301368"/>
    <w:rsid w:val="0030136A"/>
    <w:rsid w:val="0030140B"/>
    <w:rsid w:val="00301472"/>
    <w:rsid w:val="0030150C"/>
    <w:rsid w:val="00301715"/>
    <w:rsid w:val="00301732"/>
    <w:rsid w:val="0030180B"/>
    <w:rsid w:val="00301901"/>
    <w:rsid w:val="00301958"/>
    <w:rsid w:val="003019F7"/>
    <w:rsid w:val="003019F9"/>
    <w:rsid w:val="00301A9F"/>
    <w:rsid w:val="00301BD3"/>
    <w:rsid w:val="00301BD9"/>
    <w:rsid w:val="00301DDA"/>
    <w:rsid w:val="00301F6B"/>
    <w:rsid w:val="00301FB8"/>
    <w:rsid w:val="0030216A"/>
    <w:rsid w:val="003021A6"/>
    <w:rsid w:val="00302210"/>
    <w:rsid w:val="00302285"/>
    <w:rsid w:val="00302290"/>
    <w:rsid w:val="003022A5"/>
    <w:rsid w:val="003022FD"/>
    <w:rsid w:val="00302466"/>
    <w:rsid w:val="003026E2"/>
    <w:rsid w:val="00302731"/>
    <w:rsid w:val="003027B0"/>
    <w:rsid w:val="003027D8"/>
    <w:rsid w:val="003029A6"/>
    <w:rsid w:val="00302ACD"/>
    <w:rsid w:val="00302BB7"/>
    <w:rsid w:val="00302C70"/>
    <w:rsid w:val="00302DB3"/>
    <w:rsid w:val="00302DB7"/>
    <w:rsid w:val="00302F55"/>
    <w:rsid w:val="00303068"/>
    <w:rsid w:val="00303235"/>
    <w:rsid w:val="0030328E"/>
    <w:rsid w:val="003032BA"/>
    <w:rsid w:val="003033AF"/>
    <w:rsid w:val="003035D5"/>
    <w:rsid w:val="00303627"/>
    <w:rsid w:val="0030366E"/>
    <w:rsid w:val="00303776"/>
    <w:rsid w:val="003037C5"/>
    <w:rsid w:val="00303895"/>
    <w:rsid w:val="00303962"/>
    <w:rsid w:val="00303998"/>
    <w:rsid w:val="00303AD7"/>
    <w:rsid w:val="00303BD3"/>
    <w:rsid w:val="00303D48"/>
    <w:rsid w:val="00303DEF"/>
    <w:rsid w:val="00304125"/>
    <w:rsid w:val="00304141"/>
    <w:rsid w:val="00304288"/>
    <w:rsid w:val="0030430B"/>
    <w:rsid w:val="0030439B"/>
    <w:rsid w:val="003043B0"/>
    <w:rsid w:val="003043E3"/>
    <w:rsid w:val="0030448C"/>
    <w:rsid w:val="003044DE"/>
    <w:rsid w:val="0030455B"/>
    <w:rsid w:val="00304715"/>
    <w:rsid w:val="00304732"/>
    <w:rsid w:val="00304757"/>
    <w:rsid w:val="003047CF"/>
    <w:rsid w:val="00304901"/>
    <w:rsid w:val="00304960"/>
    <w:rsid w:val="003049FD"/>
    <w:rsid w:val="00304B5F"/>
    <w:rsid w:val="00304BE4"/>
    <w:rsid w:val="00304DB2"/>
    <w:rsid w:val="00304DEA"/>
    <w:rsid w:val="00304E09"/>
    <w:rsid w:val="00304E2E"/>
    <w:rsid w:val="00304F0C"/>
    <w:rsid w:val="00304FC1"/>
    <w:rsid w:val="003050AD"/>
    <w:rsid w:val="00305129"/>
    <w:rsid w:val="00305217"/>
    <w:rsid w:val="003052E0"/>
    <w:rsid w:val="0030532D"/>
    <w:rsid w:val="00305484"/>
    <w:rsid w:val="00305551"/>
    <w:rsid w:val="00305590"/>
    <w:rsid w:val="00305629"/>
    <w:rsid w:val="00305728"/>
    <w:rsid w:val="00305778"/>
    <w:rsid w:val="00305795"/>
    <w:rsid w:val="00305A95"/>
    <w:rsid w:val="00305DE8"/>
    <w:rsid w:val="00305E83"/>
    <w:rsid w:val="00305F24"/>
    <w:rsid w:val="00306165"/>
    <w:rsid w:val="003062C2"/>
    <w:rsid w:val="003065F9"/>
    <w:rsid w:val="00306628"/>
    <w:rsid w:val="00306639"/>
    <w:rsid w:val="0030669D"/>
    <w:rsid w:val="0030678D"/>
    <w:rsid w:val="0030683A"/>
    <w:rsid w:val="0030686E"/>
    <w:rsid w:val="00306908"/>
    <w:rsid w:val="00306C0E"/>
    <w:rsid w:val="00306C51"/>
    <w:rsid w:val="00306CC2"/>
    <w:rsid w:val="00306CDD"/>
    <w:rsid w:val="00306CEC"/>
    <w:rsid w:val="00306E20"/>
    <w:rsid w:val="00306E68"/>
    <w:rsid w:val="00306EAF"/>
    <w:rsid w:val="00306EDE"/>
    <w:rsid w:val="00306F19"/>
    <w:rsid w:val="00307018"/>
    <w:rsid w:val="0030707F"/>
    <w:rsid w:val="00307110"/>
    <w:rsid w:val="00307281"/>
    <w:rsid w:val="003072E2"/>
    <w:rsid w:val="0030762A"/>
    <w:rsid w:val="00307650"/>
    <w:rsid w:val="00307703"/>
    <w:rsid w:val="00307873"/>
    <w:rsid w:val="003078E5"/>
    <w:rsid w:val="00307B45"/>
    <w:rsid w:val="00307B68"/>
    <w:rsid w:val="00307DE8"/>
    <w:rsid w:val="00307E6B"/>
    <w:rsid w:val="00307E8A"/>
    <w:rsid w:val="00307F20"/>
    <w:rsid w:val="00307F60"/>
    <w:rsid w:val="00307FA6"/>
    <w:rsid w:val="003100C4"/>
    <w:rsid w:val="00310129"/>
    <w:rsid w:val="0031013B"/>
    <w:rsid w:val="003101D6"/>
    <w:rsid w:val="00310226"/>
    <w:rsid w:val="00310270"/>
    <w:rsid w:val="003103C7"/>
    <w:rsid w:val="00310437"/>
    <w:rsid w:val="003104DC"/>
    <w:rsid w:val="0031058A"/>
    <w:rsid w:val="003105C1"/>
    <w:rsid w:val="0031074A"/>
    <w:rsid w:val="00310764"/>
    <w:rsid w:val="003107ED"/>
    <w:rsid w:val="00310808"/>
    <w:rsid w:val="00310891"/>
    <w:rsid w:val="00310A0A"/>
    <w:rsid w:val="00310B55"/>
    <w:rsid w:val="00310BCA"/>
    <w:rsid w:val="00310CD2"/>
    <w:rsid w:val="00310E72"/>
    <w:rsid w:val="00311083"/>
    <w:rsid w:val="003111F0"/>
    <w:rsid w:val="00311245"/>
    <w:rsid w:val="00311326"/>
    <w:rsid w:val="0031141D"/>
    <w:rsid w:val="003114B0"/>
    <w:rsid w:val="00311544"/>
    <w:rsid w:val="00311581"/>
    <w:rsid w:val="003115AF"/>
    <w:rsid w:val="00311684"/>
    <w:rsid w:val="00311697"/>
    <w:rsid w:val="003116B6"/>
    <w:rsid w:val="0031175E"/>
    <w:rsid w:val="003118C6"/>
    <w:rsid w:val="0031190A"/>
    <w:rsid w:val="00311960"/>
    <w:rsid w:val="00311A1D"/>
    <w:rsid w:val="00311A25"/>
    <w:rsid w:val="00311A30"/>
    <w:rsid w:val="00311A5C"/>
    <w:rsid w:val="00311B8C"/>
    <w:rsid w:val="00311C72"/>
    <w:rsid w:val="00311D27"/>
    <w:rsid w:val="00311DFD"/>
    <w:rsid w:val="00311E1C"/>
    <w:rsid w:val="00311FC8"/>
    <w:rsid w:val="0031216E"/>
    <w:rsid w:val="00312188"/>
    <w:rsid w:val="00312189"/>
    <w:rsid w:val="00312220"/>
    <w:rsid w:val="00312297"/>
    <w:rsid w:val="003123BD"/>
    <w:rsid w:val="0031241E"/>
    <w:rsid w:val="003124C7"/>
    <w:rsid w:val="003124EA"/>
    <w:rsid w:val="0031250F"/>
    <w:rsid w:val="00312702"/>
    <w:rsid w:val="0031271B"/>
    <w:rsid w:val="003127C7"/>
    <w:rsid w:val="0031284A"/>
    <w:rsid w:val="00312894"/>
    <w:rsid w:val="003128C6"/>
    <w:rsid w:val="00312979"/>
    <w:rsid w:val="003129E0"/>
    <w:rsid w:val="003129FE"/>
    <w:rsid w:val="00312AD2"/>
    <w:rsid w:val="00312AF7"/>
    <w:rsid w:val="00312C55"/>
    <w:rsid w:val="00312E20"/>
    <w:rsid w:val="00312F83"/>
    <w:rsid w:val="00312FC3"/>
    <w:rsid w:val="003130D3"/>
    <w:rsid w:val="003131CC"/>
    <w:rsid w:val="00313272"/>
    <w:rsid w:val="0031333E"/>
    <w:rsid w:val="003133A5"/>
    <w:rsid w:val="003133AD"/>
    <w:rsid w:val="00313417"/>
    <w:rsid w:val="003134F0"/>
    <w:rsid w:val="00313549"/>
    <w:rsid w:val="00313594"/>
    <w:rsid w:val="003135FD"/>
    <w:rsid w:val="003135FF"/>
    <w:rsid w:val="0031361C"/>
    <w:rsid w:val="003137EB"/>
    <w:rsid w:val="003137EE"/>
    <w:rsid w:val="00313823"/>
    <w:rsid w:val="00313912"/>
    <w:rsid w:val="00313A75"/>
    <w:rsid w:val="00313A84"/>
    <w:rsid w:val="00313B1E"/>
    <w:rsid w:val="00313C2F"/>
    <w:rsid w:val="00313C6F"/>
    <w:rsid w:val="00313CB6"/>
    <w:rsid w:val="00313D5B"/>
    <w:rsid w:val="00313E7B"/>
    <w:rsid w:val="00314024"/>
    <w:rsid w:val="00314080"/>
    <w:rsid w:val="00314100"/>
    <w:rsid w:val="00314189"/>
    <w:rsid w:val="003141E9"/>
    <w:rsid w:val="00314228"/>
    <w:rsid w:val="00314299"/>
    <w:rsid w:val="003142D0"/>
    <w:rsid w:val="003142FB"/>
    <w:rsid w:val="003143C5"/>
    <w:rsid w:val="00314577"/>
    <w:rsid w:val="0031461D"/>
    <w:rsid w:val="00314642"/>
    <w:rsid w:val="0031471F"/>
    <w:rsid w:val="00314762"/>
    <w:rsid w:val="00314894"/>
    <w:rsid w:val="003149B3"/>
    <w:rsid w:val="00314AC0"/>
    <w:rsid w:val="00314B25"/>
    <w:rsid w:val="00314BB2"/>
    <w:rsid w:val="00314BF2"/>
    <w:rsid w:val="00314D21"/>
    <w:rsid w:val="00314D9D"/>
    <w:rsid w:val="00315014"/>
    <w:rsid w:val="0031504D"/>
    <w:rsid w:val="00315088"/>
    <w:rsid w:val="00315341"/>
    <w:rsid w:val="00315351"/>
    <w:rsid w:val="003156B3"/>
    <w:rsid w:val="003157EF"/>
    <w:rsid w:val="003157FE"/>
    <w:rsid w:val="0031595D"/>
    <w:rsid w:val="0031598A"/>
    <w:rsid w:val="00315A3B"/>
    <w:rsid w:val="00315BA9"/>
    <w:rsid w:val="00315BAF"/>
    <w:rsid w:val="00315DC4"/>
    <w:rsid w:val="00315DF4"/>
    <w:rsid w:val="00315E36"/>
    <w:rsid w:val="00315E84"/>
    <w:rsid w:val="00315EFF"/>
    <w:rsid w:val="00315F04"/>
    <w:rsid w:val="00315FC6"/>
    <w:rsid w:val="00315FD9"/>
    <w:rsid w:val="00316106"/>
    <w:rsid w:val="00316115"/>
    <w:rsid w:val="003162B6"/>
    <w:rsid w:val="003165B4"/>
    <w:rsid w:val="003165F0"/>
    <w:rsid w:val="00316694"/>
    <w:rsid w:val="003166AB"/>
    <w:rsid w:val="003166F6"/>
    <w:rsid w:val="00316744"/>
    <w:rsid w:val="00316823"/>
    <w:rsid w:val="0031696D"/>
    <w:rsid w:val="00316A08"/>
    <w:rsid w:val="00316A2D"/>
    <w:rsid w:val="00316A38"/>
    <w:rsid w:val="00316D50"/>
    <w:rsid w:val="00316DBE"/>
    <w:rsid w:val="00316E19"/>
    <w:rsid w:val="00316FAF"/>
    <w:rsid w:val="0031701A"/>
    <w:rsid w:val="00317021"/>
    <w:rsid w:val="00317023"/>
    <w:rsid w:val="003170B3"/>
    <w:rsid w:val="003170D0"/>
    <w:rsid w:val="003171FB"/>
    <w:rsid w:val="00317264"/>
    <w:rsid w:val="003172D0"/>
    <w:rsid w:val="00317317"/>
    <w:rsid w:val="00317328"/>
    <w:rsid w:val="003173F2"/>
    <w:rsid w:val="0031745D"/>
    <w:rsid w:val="00317668"/>
    <w:rsid w:val="0031766C"/>
    <w:rsid w:val="0031771C"/>
    <w:rsid w:val="00317754"/>
    <w:rsid w:val="003178CE"/>
    <w:rsid w:val="00317912"/>
    <w:rsid w:val="00317918"/>
    <w:rsid w:val="00317A24"/>
    <w:rsid w:val="00317B14"/>
    <w:rsid w:val="00317B32"/>
    <w:rsid w:val="00317C67"/>
    <w:rsid w:val="00317E07"/>
    <w:rsid w:val="00317EF3"/>
    <w:rsid w:val="0032006C"/>
    <w:rsid w:val="003201C6"/>
    <w:rsid w:val="00320241"/>
    <w:rsid w:val="00320242"/>
    <w:rsid w:val="0032030B"/>
    <w:rsid w:val="00320337"/>
    <w:rsid w:val="00320375"/>
    <w:rsid w:val="00320401"/>
    <w:rsid w:val="00320476"/>
    <w:rsid w:val="0032048C"/>
    <w:rsid w:val="0032054F"/>
    <w:rsid w:val="00320600"/>
    <w:rsid w:val="00320777"/>
    <w:rsid w:val="00320951"/>
    <w:rsid w:val="00320A17"/>
    <w:rsid w:val="00320A2E"/>
    <w:rsid w:val="00320B6B"/>
    <w:rsid w:val="00320CE5"/>
    <w:rsid w:val="00320E94"/>
    <w:rsid w:val="00320FAA"/>
    <w:rsid w:val="003210AB"/>
    <w:rsid w:val="003212FA"/>
    <w:rsid w:val="0032133F"/>
    <w:rsid w:val="0032135D"/>
    <w:rsid w:val="00321514"/>
    <w:rsid w:val="003215B0"/>
    <w:rsid w:val="003216AE"/>
    <w:rsid w:val="0032171E"/>
    <w:rsid w:val="003217A0"/>
    <w:rsid w:val="003217B5"/>
    <w:rsid w:val="003218C3"/>
    <w:rsid w:val="003219FD"/>
    <w:rsid w:val="00321A39"/>
    <w:rsid w:val="00321B38"/>
    <w:rsid w:val="00321B8E"/>
    <w:rsid w:val="00321CEC"/>
    <w:rsid w:val="00321DAD"/>
    <w:rsid w:val="00321F30"/>
    <w:rsid w:val="0032200D"/>
    <w:rsid w:val="00322023"/>
    <w:rsid w:val="003220BB"/>
    <w:rsid w:val="00322146"/>
    <w:rsid w:val="003221E3"/>
    <w:rsid w:val="003222B5"/>
    <w:rsid w:val="003222E1"/>
    <w:rsid w:val="00322365"/>
    <w:rsid w:val="003223B2"/>
    <w:rsid w:val="0032250E"/>
    <w:rsid w:val="00322560"/>
    <w:rsid w:val="003225C8"/>
    <w:rsid w:val="00322856"/>
    <w:rsid w:val="003229C4"/>
    <w:rsid w:val="00322AAD"/>
    <w:rsid w:val="00322B12"/>
    <w:rsid w:val="00322C13"/>
    <w:rsid w:val="00322C78"/>
    <w:rsid w:val="00322DC9"/>
    <w:rsid w:val="00322F5D"/>
    <w:rsid w:val="00322F80"/>
    <w:rsid w:val="00323003"/>
    <w:rsid w:val="003231A2"/>
    <w:rsid w:val="003231BE"/>
    <w:rsid w:val="00323294"/>
    <w:rsid w:val="00323319"/>
    <w:rsid w:val="003233D1"/>
    <w:rsid w:val="0032344A"/>
    <w:rsid w:val="003234AF"/>
    <w:rsid w:val="00323624"/>
    <w:rsid w:val="00323740"/>
    <w:rsid w:val="00323767"/>
    <w:rsid w:val="003237AA"/>
    <w:rsid w:val="0032389B"/>
    <w:rsid w:val="00323997"/>
    <w:rsid w:val="003239E5"/>
    <w:rsid w:val="00323AEC"/>
    <w:rsid w:val="00323B16"/>
    <w:rsid w:val="00323B1B"/>
    <w:rsid w:val="00323C62"/>
    <w:rsid w:val="00323DCD"/>
    <w:rsid w:val="003240D9"/>
    <w:rsid w:val="003240DB"/>
    <w:rsid w:val="00324196"/>
    <w:rsid w:val="003241C9"/>
    <w:rsid w:val="0032425D"/>
    <w:rsid w:val="003242B6"/>
    <w:rsid w:val="003243EC"/>
    <w:rsid w:val="00324405"/>
    <w:rsid w:val="003244CD"/>
    <w:rsid w:val="003246A0"/>
    <w:rsid w:val="003246DA"/>
    <w:rsid w:val="0032478C"/>
    <w:rsid w:val="00324BA8"/>
    <w:rsid w:val="00324DC0"/>
    <w:rsid w:val="00324E75"/>
    <w:rsid w:val="00324F1C"/>
    <w:rsid w:val="0032519E"/>
    <w:rsid w:val="003251C0"/>
    <w:rsid w:val="0032536D"/>
    <w:rsid w:val="00325403"/>
    <w:rsid w:val="0032541A"/>
    <w:rsid w:val="00325479"/>
    <w:rsid w:val="003254B8"/>
    <w:rsid w:val="003256A8"/>
    <w:rsid w:val="0032591D"/>
    <w:rsid w:val="0032598C"/>
    <w:rsid w:val="00325A1D"/>
    <w:rsid w:val="00325A8D"/>
    <w:rsid w:val="00325D82"/>
    <w:rsid w:val="00325DFF"/>
    <w:rsid w:val="00325EB5"/>
    <w:rsid w:val="00325EC0"/>
    <w:rsid w:val="0032609B"/>
    <w:rsid w:val="003261E1"/>
    <w:rsid w:val="003264C6"/>
    <w:rsid w:val="00326540"/>
    <w:rsid w:val="0032677E"/>
    <w:rsid w:val="0032684B"/>
    <w:rsid w:val="0032686E"/>
    <w:rsid w:val="003268C6"/>
    <w:rsid w:val="0032692E"/>
    <w:rsid w:val="00326A08"/>
    <w:rsid w:val="00326A72"/>
    <w:rsid w:val="00326B07"/>
    <w:rsid w:val="00326BF7"/>
    <w:rsid w:val="00326D05"/>
    <w:rsid w:val="00326D9F"/>
    <w:rsid w:val="00326F07"/>
    <w:rsid w:val="00326FE5"/>
    <w:rsid w:val="003270F4"/>
    <w:rsid w:val="00327242"/>
    <w:rsid w:val="0032735B"/>
    <w:rsid w:val="00327566"/>
    <w:rsid w:val="003276A5"/>
    <w:rsid w:val="00327A8B"/>
    <w:rsid w:val="00327A8D"/>
    <w:rsid w:val="00327AAF"/>
    <w:rsid w:val="00327ABA"/>
    <w:rsid w:val="00327C10"/>
    <w:rsid w:val="00327D00"/>
    <w:rsid w:val="00327D1F"/>
    <w:rsid w:val="00327D27"/>
    <w:rsid w:val="00327D75"/>
    <w:rsid w:val="00327E14"/>
    <w:rsid w:val="00327E4C"/>
    <w:rsid w:val="00327E78"/>
    <w:rsid w:val="00327F65"/>
    <w:rsid w:val="00327F98"/>
    <w:rsid w:val="0033006A"/>
    <w:rsid w:val="003300E6"/>
    <w:rsid w:val="00330159"/>
    <w:rsid w:val="003303A2"/>
    <w:rsid w:val="003303AF"/>
    <w:rsid w:val="003303B6"/>
    <w:rsid w:val="00330441"/>
    <w:rsid w:val="00330543"/>
    <w:rsid w:val="0033056D"/>
    <w:rsid w:val="0033074E"/>
    <w:rsid w:val="003307FA"/>
    <w:rsid w:val="0033080D"/>
    <w:rsid w:val="00330999"/>
    <w:rsid w:val="00330B02"/>
    <w:rsid w:val="00330B10"/>
    <w:rsid w:val="00330B4C"/>
    <w:rsid w:val="00330BC1"/>
    <w:rsid w:val="00330FCD"/>
    <w:rsid w:val="00331076"/>
    <w:rsid w:val="00331120"/>
    <w:rsid w:val="00331121"/>
    <w:rsid w:val="003311F4"/>
    <w:rsid w:val="003312DB"/>
    <w:rsid w:val="00331305"/>
    <w:rsid w:val="00331331"/>
    <w:rsid w:val="00331375"/>
    <w:rsid w:val="00331440"/>
    <w:rsid w:val="00331473"/>
    <w:rsid w:val="003315C2"/>
    <w:rsid w:val="00331745"/>
    <w:rsid w:val="00331798"/>
    <w:rsid w:val="003317D3"/>
    <w:rsid w:val="003317E3"/>
    <w:rsid w:val="00331917"/>
    <w:rsid w:val="00331A10"/>
    <w:rsid w:val="00331B0F"/>
    <w:rsid w:val="00331B16"/>
    <w:rsid w:val="00331C8A"/>
    <w:rsid w:val="00331DFF"/>
    <w:rsid w:val="00331E2D"/>
    <w:rsid w:val="00331E4A"/>
    <w:rsid w:val="00331EAE"/>
    <w:rsid w:val="00331FFD"/>
    <w:rsid w:val="00332034"/>
    <w:rsid w:val="003321C1"/>
    <w:rsid w:val="00332242"/>
    <w:rsid w:val="00332291"/>
    <w:rsid w:val="0033237C"/>
    <w:rsid w:val="003323F4"/>
    <w:rsid w:val="003324F6"/>
    <w:rsid w:val="00332554"/>
    <w:rsid w:val="0033269C"/>
    <w:rsid w:val="00332774"/>
    <w:rsid w:val="00332825"/>
    <w:rsid w:val="00332826"/>
    <w:rsid w:val="00332931"/>
    <w:rsid w:val="00332960"/>
    <w:rsid w:val="003329B7"/>
    <w:rsid w:val="003329F6"/>
    <w:rsid w:val="00332A4A"/>
    <w:rsid w:val="00332A4D"/>
    <w:rsid w:val="00332AC6"/>
    <w:rsid w:val="00332B26"/>
    <w:rsid w:val="00332D5E"/>
    <w:rsid w:val="00332EA7"/>
    <w:rsid w:val="00332FA0"/>
    <w:rsid w:val="00333018"/>
    <w:rsid w:val="003330B6"/>
    <w:rsid w:val="00333107"/>
    <w:rsid w:val="0033314F"/>
    <w:rsid w:val="0033324D"/>
    <w:rsid w:val="00333255"/>
    <w:rsid w:val="00333267"/>
    <w:rsid w:val="00333310"/>
    <w:rsid w:val="0033332B"/>
    <w:rsid w:val="0033340C"/>
    <w:rsid w:val="003334B7"/>
    <w:rsid w:val="00333522"/>
    <w:rsid w:val="00333669"/>
    <w:rsid w:val="00333768"/>
    <w:rsid w:val="00333812"/>
    <w:rsid w:val="00333855"/>
    <w:rsid w:val="00333EFD"/>
    <w:rsid w:val="00333F89"/>
    <w:rsid w:val="0033417F"/>
    <w:rsid w:val="003341EE"/>
    <w:rsid w:val="003342E2"/>
    <w:rsid w:val="003342F0"/>
    <w:rsid w:val="00334316"/>
    <w:rsid w:val="00334378"/>
    <w:rsid w:val="0033440F"/>
    <w:rsid w:val="003345EB"/>
    <w:rsid w:val="003345FC"/>
    <w:rsid w:val="00334604"/>
    <w:rsid w:val="00334809"/>
    <w:rsid w:val="00334A77"/>
    <w:rsid w:val="00334B62"/>
    <w:rsid w:val="00334B75"/>
    <w:rsid w:val="00334BF8"/>
    <w:rsid w:val="00334C39"/>
    <w:rsid w:val="00334EEF"/>
    <w:rsid w:val="003350C5"/>
    <w:rsid w:val="00335107"/>
    <w:rsid w:val="00335113"/>
    <w:rsid w:val="00335142"/>
    <w:rsid w:val="00335147"/>
    <w:rsid w:val="00335187"/>
    <w:rsid w:val="003353C7"/>
    <w:rsid w:val="00335421"/>
    <w:rsid w:val="00335449"/>
    <w:rsid w:val="00335463"/>
    <w:rsid w:val="0033547E"/>
    <w:rsid w:val="003354D6"/>
    <w:rsid w:val="003354FA"/>
    <w:rsid w:val="003355A7"/>
    <w:rsid w:val="00335632"/>
    <w:rsid w:val="0033566D"/>
    <w:rsid w:val="00335690"/>
    <w:rsid w:val="003356CC"/>
    <w:rsid w:val="00335786"/>
    <w:rsid w:val="003357DB"/>
    <w:rsid w:val="003357DC"/>
    <w:rsid w:val="00335961"/>
    <w:rsid w:val="00335988"/>
    <w:rsid w:val="003359A8"/>
    <w:rsid w:val="00335A8A"/>
    <w:rsid w:val="00335AB9"/>
    <w:rsid w:val="00335B50"/>
    <w:rsid w:val="00335BB7"/>
    <w:rsid w:val="00335C7E"/>
    <w:rsid w:val="00335E4F"/>
    <w:rsid w:val="00335ED4"/>
    <w:rsid w:val="00335FED"/>
    <w:rsid w:val="0033610B"/>
    <w:rsid w:val="003364CC"/>
    <w:rsid w:val="003364ED"/>
    <w:rsid w:val="003365D6"/>
    <w:rsid w:val="00336618"/>
    <w:rsid w:val="00336806"/>
    <w:rsid w:val="00336843"/>
    <w:rsid w:val="0033688F"/>
    <w:rsid w:val="00336954"/>
    <w:rsid w:val="00336A10"/>
    <w:rsid w:val="00336A20"/>
    <w:rsid w:val="00336A5E"/>
    <w:rsid w:val="00336B7B"/>
    <w:rsid w:val="00336C65"/>
    <w:rsid w:val="00336C93"/>
    <w:rsid w:val="00336EB2"/>
    <w:rsid w:val="00336FC6"/>
    <w:rsid w:val="00337094"/>
    <w:rsid w:val="00337097"/>
    <w:rsid w:val="003371CB"/>
    <w:rsid w:val="00337210"/>
    <w:rsid w:val="0033734C"/>
    <w:rsid w:val="00337435"/>
    <w:rsid w:val="00337500"/>
    <w:rsid w:val="00337588"/>
    <w:rsid w:val="0033792B"/>
    <w:rsid w:val="003379EF"/>
    <w:rsid w:val="00337ACC"/>
    <w:rsid w:val="00337D97"/>
    <w:rsid w:val="00337DD0"/>
    <w:rsid w:val="00337E90"/>
    <w:rsid w:val="00337F24"/>
    <w:rsid w:val="00340028"/>
    <w:rsid w:val="00340059"/>
    <w:rsid w:val="00340241"/>
    <w:rsid w:val="003402B8"/>
    <w:rsid w:val="00340406"/>
    <w:rsid w:val="003404C8"/>
    <w:rsid w:val="003404E1"/>
    <w:rsid w:val="0034065B"/>
    <w:rsid w:val="0034078F"/>
    <w:rsid w:val="00340956"/>
    <w:rsid w:val="00340D27"/>
    <w:rsid w:val="00340D91"/>
    <w:rsid w:val="00340DCE"/>
    <w:rsid w:val="00340F28"/>
    <w:rsid w:val="00340F50"/>
    <w:rsid w:val="00341018"/>
    <w:rsid w:val="00341037"/>
    <w:rsid w:val="00341087"/>
    <w:rsid w:val="003410C9"/>
    <w:rsid w:val="00341323"/>
    <w:rsid w:val="003413A3"/>
    <w:rsid w:val="003414A6"/>
    <w:rsid w:val="003415B4"/>
    <w:rsid w:val="0034165C"/>
    <w:rsid w:val="0034174E"/>
    <w:rsid w:val="003418BF"/>
    <w:rsid w:val="003418CF"/>
    <w:rsid w:val="003419A5"/>
    <w:rsid w:val="00341A15"/>
    <w:rsid w:val="00341AC6"/>
    <w:rsid w:val="00341B12"/>
    <w:rsid w:val="00341B6B"/>
    <w:rsid w:val="00341B71"/>
    <w:rsid w:val="00341C42"/>
    <w:rsid w:val="00341CD5"/>
    <w:rsid w:val="00341D78"/>
    <w:rsid w:val="00341F1A"/>
    <w:rsid w:val="00341F82"/>
    <w:rsid w:val="00341FBA"/>
    <w:rsid w:val="00342048"/>
    <w:rsid w:val="003422E3"/>
    <w:rsid w:val="00342463"/>
    <w:rsid w:val="00342544"/>
    <w:rsid w:val="003427D2"/>
    <w:rsid w:val="00342806"/>
    <w:rsid w:val="003428E6"/>
    <w:rsid w:val="00342CA3"/>
    <w:rsid w:val="00342CB1"/>
    <w:rsid w:val="00342DA2"/>
    <w:rsid w:val="00342DCF"/>
    <w:rsid w:val="003431AF"/>
    <w:rsid w:val="003431E6"/>
    <w:rsid w:val="003431FD"/>
    <w:rsid w:val="00343215"/>
    <w:rsid w:val="003433D6"/>
    <w:rsid w:val="00343444"/>
    <w:rsid w:val="003436E1"/>
    <w:rsid w:val="00343717"/>
    <w:rsid w:val="003437D1"/>
    <w:rsid w:val="00343830"/>
    <w:rsid w:val="00343D20"/>
    <w:rsid w:val="00343E09"/>
    <w:rsid w:val="00343E81"/>
    <w:rsid w:val="00343ED4"/>
    <w:rsid w:val="00343EE4"/>
    <w:rsid w:val="00343FA8"/>
    <w:rsid w:val="00343FB4"/>
    <w:rsid w:val="00343FBD"/>
    <w:rsid w:val="00344099"/>
    <w:rsid w:val="0034418C"/>
    <w:rsid w:val="003442F1"/>
    <w:rsid w:val="00344424"/>
    <w:rsid w:val="00344500"/>
    <w:rsid w:val="003447B6"/>
    <w:rsid w:val="003447E6"/>
    <w:rsid w:val="00344857"/>
    <w:rsid w:val="00344A01"/>
    <w:rsid w:val="00344B52"/>
    <w:rsid w:val="00344D7B"/>
    <w:rsid w:val="00344ED4"/>
    <w:rsid w:val="00344F81"/>
    <w:rsid w:val="00344F82"/>
    <w:rsid w:val="00344FA0"/>
    <w:rsid w:val="00345291"/>
    <w:rsid w:val="00345331"/>
    <w:rsid w:val="00345349"/>
    <w:rsid w:val="003457BD"/>
    <w:rsid w:val="00345959"/>
    <w:rsid w:val="0034595A"/>
    <w:rsid w:val="00345AA4"/>
    <w:rsid w:val="00345B5A"/>
    <w:rsid w:val="00345B81"/>
    <w:rsid w:val="00345C62"/>
    <w:rsid w:val="00345E0C"/>
    <w:rsid w:val="0034600A"/>
    <w:rsid w:val="003461DA"/>
    <w:rsid w:val="003461DB"/>
    <w:rsid w:val="00346311"/>
    <w:rsid w:val="003463B9"/>
    <w:rsid w:val="0034643B"/>
    <w:rsid w:val="00346553"/>
    <w:rsid w:val="003465B0"/>
    <w:rsid w:val="003466C4"/>
    <w:rsid w:val="0034677A"/>
    <w:rsid w:val="00346B78"/>
    <w:rsid w:val="00346B7D"/>
    <w:rsid w:val="00346C3D"/>
    <w:rsid w:val="00346DC2"/>
    <w:rsid w:val="003470DD"/>
    <w:rsid w:val="0034717A"/>
    <w:rsid w:val="003471FA"/>
    <w:rsid w:val="003472A2"/>
    <w:rsid w:val="00347300"/>
    <w:rsid w:val="00347382"/>
    <w:rsid w:val="0034738B"/>
    <w:rsid w:val="003473B7"/>
    <w:rsid w:val="003474C4"/>
    <w:rsid w:val="003475EC"/>
    <w:rsid w:val="00347622"/>
    <w:rsid w:val="00347629"/>
    <w:rsid w:val="00347774"/>
    <w:rsid w:val="003477A6"/>
    <w:rsid w:val="00347871"/>
    <w:rsid w:val="00347980"/>
    <w:rsid w:val="00347A04"/>
    <w:rsid w:val="00347A4C"/>
    <w:rsid w:val="00347A7A"/>
    <w:rsid w:val="00347E7E"/>
    <w:rsid w:val="00347F41"/>
    <w:rsid w:val="00350013"/>
    <w:rsid w:val="00350081"/>
    <w:rsid w:val="003501EC"/>
    <w:rsid w:val="00350217"/>
    <w:rsid w:val="00350297"/>
    <w:rsid w:val="003502A3"/>
    <w:rsid w:val="003502C1"/>
    <w:rsid w:val="003503C7"/>
    <w:rsid w:val="003503F6"/>
    <w:rsid w:val="00350510"/>
    <w:rsid w:val="003506CE"/>
    <w:rsid w:val="0035087F"/>
    <w:rsid w:val="00350942"/>
    <w:rsid w:val="0035094A"/>
    <w:rsid w:val="0035094F"/>
    <w:rsid w:val="00350961"/>
    <w:rsid w:val="00350A98"/>
    <w:rsid w:val="00350B76"/>
    <w:rsid w:val="00350C1D"/>
    <w:rsid w:val="00350C33"/>
    <w:rsid w:val="00350CF2"/>
    <w:rsid w:val="00350D14"/>
    <w:rsid w:val="00350DC0"/>
    <w:rsid w:val="00350EAA"/>
    <w:rsid w:val="00351027"/>
    <w:rsid w:val="00351222"/>
    <w:rsid w:val="0035131B"/>
    <w:rsid w:val="00351437"/>
    <w:rsid w:val="00351483"/>
    <w:rsid w:val="00351505"/>
    <w:rsid w:val="00351565"/>
    <w:rsid w:val="0035157B"/>
    <w:rsid w:val="00351738"/>
    <w:rsid w:val="003517FA"/>
    <w:rsid w:val="003518F0"/>
    <w:rsid w:val="003519ED"/>
    <w:rsid w:val="00351A82"/>
    <w:rsid w:val="00351B7F"/>
    <w:rsid w:val="00351B98"/>
    <w:rsid w:val="00351D32"/>
    <w:rsid w:val="00351FEE"/>
    <w:rsid w:val="0035205D"/>
    <w:rsid w:val="0035211E"/>
    <w:rsid w:val="003521DE"/>
    <w:rsid w:val="003522A7"/>
    <w:rsid w:val="00352308"/>
    <w:rsid w:val="00352362"/>
    <w:rsid w:val="00352403"/>
    <w:rsid w:val="003525CD"/>
    <w:rsid w:val="00352631"/>
    <w:rsid w:val="00352683"/>
    <w:rsid w:val="003526F6"/>
    <w:rsid w:val="003527DD"/>
    <w:rsid w:val="00352818"/>
    <w:rsid w:val="0035284F"/>
    <w:rsid w:val="00352881"/>
    <w:rsid w:val="00352901"/>
    <w:rsid w:val="003529CC"/>
    <w:rsid w:val="00352CE1"/>
    <w:rsid w:val="00352E43"/>
    <w:rsid w:val="00352F55"/>
    <w:rsid w:val="00353013"/>
    <w:rsid w:val="003530DF"/>
    <w:rsid w:val="00353148"/>
    <w:rsid w:val="0035339B"/>
    <w:rsid w:val="00353400"/>
    <w:rsid w:val="00353436"/>
    <w:rsid w:val="0035343E"/>
    <w:rsid w:val="003534F1"/>
    <w:rsid w:val="00353525"/>
    <w:rsid w:val="00353548"/>
    <w:rsid w:val="003536D7"/>
    <w:rsid w:val="0035371B"/>
    <w:rsid w:val="003537E3"/>
    <w:rsid w:val="003538A6"/>
    <w:rsid w:val="00353A05"/>
    <w:rsid w:val="00353C41"/>
    <w:rsid w:val="00353C8D"/>
    <w:rsid w:val="00353CEE"/>
    <w:rsid w:val="00353D51"/>
    <w:rsid w:val="00353D64"/>
    <w:rsid w:val="00353E9F"/>
    <w:rsid w:val="00353EB3"/>
    <w:rsid w:val="00353F6B"/>
    <w:rsid w:val="00353F6C"/>
    <w:rsid w:val="00354090"/>
    <w:rsid w:val="00354094"/>
    <w:rsid w:val="0035419B"/>
    <w:rsid w:val="003541D2"/>
    <w:rsid w:val="00354262"/>
    <w:rsid w:val="0035430B"/>
    <w:rsid w:val="003543EA"/>
    <w:rsid w:val="00354432"/>
    <w:rsid w:val="003544C6"/>
    <w:rsid w:val="0035456F"/>
    <w:rsid w:val="00354884"/>
    <w:rsid w:val="003548B7"/>
    <w:rsid w:val="003548D9"/>
    <w:rsid w:val="00354BAD"/>
    <w:rsid w:val="00354BC0"/>
    <w:rsid w:val="00354D6C"/>
    <w:rsid w:val="00354D9F"/>
    <w:rsid w:val="00354E0C"/>
    <w:rsid w:val="00354E32"/>
    <w:rsid w:val="00354E55"/>
    <w:rsid w:val="00354E66"/>
    <w:rsid w:val="00354E7E"/>
    <w:rsid w:val="00354F1E"/>
    <w:rsid w:val="00354F77"/>
    <w:rsid w:val="00354F89"/>
    <w:rsid w:val="00354FB1"/>
    <w:rsid w:val="00355110"/>
    <w:rsid w:val="00355178"/>
    <w:rsid w:val="003551A6"/>
    <w:rsid w:val="00355207"/>
    <w:rsid w:val="00355286"/>
    <w:rsid w:val="003554F1"/>
    <w:rsid w:val="00355503"/>
    <w:rsid w:val="003555B0"/>
    <w:rsid w:val="0035566F"/>
    <w:rsid w:val="0035571F"/>
    <w:rsid w:val="003557A3"/>
    <w:rsid w:val="0035587B"/>
    <w:rsid w:val="003558D3"/>
    <w:rsid w:val="003558E3"/>
    <w:rsid w:val="00355914"/>
    <w:rsid w:val="00355975"/>
    <w:rsid w:val="00355AA1"/>
    <w:rsid w:val="00355B83"/>
    <w:rsid w:val="00355C50"/>
    <w:rsid w:val="00355CED"/>
    <w:rsid w:val="00355D0A"/>
    <w:rsid w:val="00355DFB"/>
    <w:rsid w:val="00355EC3"/>
    <w:rsid w:val="00355F16"/>
    <w:rsid w:val="00356071"/>
    <w:rsid w:val="003561B4"/>
    <w:rsid w:val="00356223"/>
    <w:rsid w:val="00356366"/>
    <w:rsid w:val="0035656D"/>
    <w:rsid w:val="003565B2"/>
    <w:rsid w:val="003568D1"/>
    <w:rsid w:val="00356A0D"/>
    <w:rsid w:val="00356AB0"/>
    <w:rsid w:val="00356C81"/>
    <w:rsid w:val="00356CE0"/>
    <w:rsid w:val="00356EA0"/>
    <w:rsid w:val="00356EAE"/>
    <w:rsid w:val="00356F4E"/>
    <w:rsid w:val="00357084"/>
    <w:rsid w:val="00357406"/>
    <w:rsid w:val="0035748C"/>
    <w:rsid w:val="00357596"/>
    <w:rsid w:val="003576F2"/>
    <w:rsid w:val="003577AB"/>
    <w:rsid w:val="00357822"/>
    <w:rsid w:val="003578FD"/>
    <w:rsid w:val="00357968"/>
    <w:rsid w:val="00357A81"/>
    <w:rsid w:val="00357AED"/>
    <w:rsid w:val="00357C3A"/>
    <w:rsid w:val="00357DA6"/>
    <w:rsid w:val="00357ED4"/>
    <w:rsid w:val="00357F32"/>
    <w:rsid w:val="00357F47"/>
    <w:rsid w:val="0035C517"/>
    <w:rsid w:val="0036001F"/>
    <w:rsid w:val="00360068"/>
    <w:rsid w:val="003601CB"/>
    <w:rsid w:val="003601D9"/>
    <w:rsid w:val="003605CB"/>
    <w:rsid w:val="00360670"/>
    <w:rsid w:val="003606B6"/>
    <w:rsid w:val="00360712"/>
    <w:rsid w:val="00360761"/>
    <w:rsid w:val="00360789"/>
    <w:rsid w:val="0036080B"/>
    <w:rsid w:val="00360899"/>
    <w:rsid w:val="0036099C"/>
    <w:rsid w:val="00360B39"/>
    <w:rsid w:val="00360C1C"/>
    <w:rsid w:val="00360C68"/>
    <w:rsid w:val="00360C90"/>
    <w:rsid w:val="00360F48"/>
    <w:rsid w:val="00360F53"/>
    <w:rsid w:val="00361041"/>
    <w:rsid w:val="00361089"/>
    <w:rsid w:val="003610A3"/>
    <w:rsid w:val="003611E3"/>
    <w:rsid w:val="003613B0"/>
    <w:rsid w:val="00361542"/>
    <w:rsid w:val="003616D6"/>
    <w:rsid w:val="003616EE"/>
    <w:rsid w:val="00361809"/>
    <w:rsid w:val="00361860"/>
    <w:rsid w:val="00361B60"/>
    <w:rsid w:val="00361B72"/>
    <w:rsid w:val="00361B7C"/>
    <w:rsid w:val="00361C3D"/>
    <w:rsid w:val="00361C43"/>
    <w:rsid w:val="00361D39"/>
    <w:rsid w:val="00361D4F"/>
    <w:rsid w:val="00361D80"/>
    <w:rsid w:val="00361F6B"/>
    <w:rsid w:val="00362041"/>
    <w:rsid w:val="003621C0"/>
    <w:rsid w:val="003622DE"/>
    <w:rsid w:val="0036231F"/>
    <w:rsid w:val="00362331"/>
    <w:rsid w:val="003623E8"/>
    <w:rsid w:val="00362517"/>
    <w:rsid w:val="00362552"/>
    <w:rsid w:val="0036259A"/>
    <w:rsid w:val="0036259C"/>
    <w:rsid w:val="00362603"/>
    <w:rsid w:val="0036263A"/>
    <w:rsid w:val="0036281C"/>
    <w:rsid w:val="00362837"/>
    <w:rsid w:val="00362AA7"/>
    <w:rsid w:val="00362B5A"/>
    <w:rsid w:val="00362C43"/>
    <w:rsid w:val="00362C60"/>
    <w:rsid w:val="00362C94"/>
    <w:rsid w:val="00362CCB"/>
    <w:rsid w:val="00362D09"/>
    <w:rsid w:val="00362D22"/>
    <w:rsid w:val="00362EC4"/>
    <w:rsid w:val="00362F7B"/>
    <w:rsid w:val="00362FEF"/>
    <w:rsid w:val="00363080"/>
    <w:rsid w:val="003630BE"/>
    <w:rsid w:val="0036313E"/>
    <w:rsid w:val="003631E9"/>
    <w:rsid w:val="0036321E"/>
    <w:rsid w:val="00363249"/>
    <w:rsid w:val="003632FD"/>
    <w:rsid w:val="003635A1"/>
    <w:rsid w:val="003636E2"/>
    <w:rsid w:val="003638AA"/>
    <w:rsid w:val="003639D1"/>
    <w:rsid w:val="00363A2E"/>
    <w:rsid w:val="00363A97"/>
    <w:rsid w:val="00363DE9"/>
    <w:rsid w:val="00363F77"/>
    <w:rsid w:val="00363FA0"/>
    <w:rsid w:val="00363FBA"/>
    <w:rsid w:val="00363FF5"/>
    <w:rsid w:val="003642D6"/>
    <w:rsid w:val="003643DA"/>
    <w:rsid w:val="0036450A"/>
    <w:rsid w:val="0036461C"/>
    <w:rsid w:val="00364624"/>
    <w:rsid w:val="00364645"/>
    <w:rsid w:val="003646E4"/>
    <w:rsid w:val="00364773"/>
    <w:rsid w:val="00364838"/>
    <w:rsid w:val="00364949"/>
    <w:rsid w:val="00364AF5"/>
    <w:rsid w:val="00364BBA"/>
    <w:rsid w:val="00364C30"/>
    <w:rsid w:val="00364D3D"/>
    <w:rsid w:val="00364DC0"/>
    <w:rsid w:val="00364E9A"/>
    <w:rsid w:val="00364F41"/>
    <w:rsid w:val="00364FDD"/>
    <w:rsid w:val="00365049"/>
    <w:rsid w:val="003650D0"/>
    <w:rsid w:val="00365190"/>
    <w:rsid w:val="0036519A"/>
    <w:rsid w:val="003651E1"/>
    <w:rsid w:val="0036524F"/>
    <w:rsid w:val="00365331"/>
    <w:rsid w:val="00365360"/>
    <w:rsid w:val="0036571F"/>
    <w:rsid w:val="003658BA"/>
    <w:rsid w:val="003659AC"/>
    <w:rsid w:val="003659F9"/>
    <w:rsid w:val="00365AA2"/>
    <w:rsid w:val="00365AB9"/>
    <w:rsid w:val="00365BE4"/>
    <w:rsid w:val="00365CCE"/>
    <w:rsid w:val="00365CF2"/>
    <w:rsid w:val="00365E8B"/>
    <w:rsid w:val="00365E93"/>
    <w:rsid w:val="00365E98"/>
    <w:rsid w:val="00365FFB"/>
    <w:rsid w:val="0036605C"/>
    <w:rsid w:val="00366108"/>
    <w:rsid w:val="0036614B"/>
    <w:rsid w:val="0036627C"/>
    <w:rsid w:val="003664EF"/>
    <w:rsid w:val="003668E7"/>
    <w:rsid w:val="00366900"/>
    <w:rsid w:val="00366916"/>
    <w:rsid w:val="00366AA8"/>
    <w:rsid w:val="00366E2B"/>
    <w:rsid w:val="00366F07"/>
    <w:rsid w:val="0036711A"/>
    <w:rsid w:val="0036711E"/>
    <w:rsid w:val="0036716A"/>
    <w:rsid w:val="0036745A"/>
    <w:rsid w:val="003674AB"/>
    <w:rsid w:val="003674BA"/>
    <w:rsid w:val="0036756A"/>
    <w:rsid w:val="003676A0"/>
    <w:rsid w:val="003676F9"/>
    <w:rsid w:val="0036774D"/>
    <w:rsid w:val="0036788D"/>
    <w:rsid w:val="0036790A"/>
    <w:rsid w:val="003679FC"/>
    <w:rsid w:val="00367AB1"/>
    <w:rsid w:val="00367B50"/>
    <w:rsid w:val="00367B8E"/>
    <w:rsid w:val="00367C36"/>
    <w:rsid w:val="00367D43"/>
    <w:rsid w:val="00367DB4"/>
    <w:rsid w:val="00367DCB"/>
    <w:rsid w:val="00367EAE"/>
    <w:rsid w:val="00367F28"/>
    <w:rsid w:val="0037013C"/>
    <w:rsid w:val="003703A1"/>
    <w:rsid w:val="003705D8"/>
    <w:rsid w:val="0037066B"/>
    <w:rsid w:val="00370710"/>
    <w:rsid w:val="00370715"/>
    <w:rsid w:val="00370749"/>
    <w:rsid w:val="003708ED"/>
    <w:rsid w:val="00370910"/>
    <w:rsid w:val="0037091C"/>
    <w:rsid w:val="003709B2"/>
    <w:rsid w:val="00370AAB"/>
    <w:rsid w:val="00370BE9"/>
    <w:rsid w:val="00370C4A"/>
    <w:rsid w:val="00370D74"/>
    <w:rsid w:val="00370E55"/>
    <w:rsid w:val="00370F5B"/>
    <w:rsid w:val="0037108E"/>
    <w:rsid w:val="003711D0"/>
    <w:rsid w:val="003711D9"/>
    <w:rsid w:val="00371367"/>
    <w:rsid w:val="00371445"/>
    <w:rsid w:val="0037155A"/>
    <w:rsid w:val="00371751"/>
    <w:rsid w:val="003717F8"/>
    <w:rsid w:val="00371A02"/>
    <w:rsid w:val="00371AC5"/>
    <w:rsid w:val="00371C0B"/>
    <w:rsid w:val="00371C74"/>
    <w:rsid w:val="00371C8D"/>
    <w:rsid w:val="00371CDE"/>
    <w:rsid w:val="00371D06"/>
    <w:rsid w:val="00371D36"/>
    <w:rsid w:val="00371DC2"/>
    <w:rsid w:val="00371E2D"/>
    <w:rsid w:val="00371E81"/>
    <w:rsid w:val="003720C0"/>
    <w:rsid w:val="00372115"/>
    <w:rsid w:val="003721C5"/>
    <w:rsid w:val="003722C2"/>
    <w:rsid w:val="003722F0"/>
    <w:rsid w:val="0037241B"/>
    <w:rsid w:val="00372441"/>
    <w:rsid w:val="00372600"/>
    <w:rsid w:val="00372663"/>
    <w:rsid w:val="0037266B"/>
    <w:rsid w:val="00372740"/>
    <w:rsid w:val="00372741"/>
    <w:rsid w:val="0037284E"/>
    <w:rsid w:val="0037286D"/>
    <w:rsid w:val="00372A46"/>
    <w:rsid w:val="00372A7B"/>
    <w:rsid w:val="00372A80"/>
    <w:rsid w:val="00372B54"/>
    <w:rsid w:val="00372EB0"/>
    <w:rsid w:val="00372EDF"/>
    <w:rsid w:val="003730B7"/>
    <w:rsid w:val="003731C0"/>
    <w:rsid w:val="003731C4"/>
    <w:rsid w:val="0037321A"/>
    <w:rsid w:val="0037336D"/>
    <w:rsid w:val="003733D2"/>
    <w:rsid w:val="003733DD"/>
    <w:rsid w:val="0037340D"/>
    <w:rsid w:val="0037350E"/>
    <w:rsid w:val="0037359E"/>
    <w:rsid w:val="00373616"/>
    <w:rsid w:val="00373645"/>
    <w:rsid w:val="0037372E"/>
    <w:rsid w:val="00373730"/>
    <w:rsid w:val="0037378A"/>
    <w:rsid w:val="003737CC"/>
    <w:rsid w:val="0037395B"/>
    <w:rsid w:val="00373984"/>
    <w:rsid w:val="00373A56"/>
    <w:rsid w:val="00373B1F"/>
    <w:rsid w:val="00373B4A"/>
    <w:rsid w:val="00373B73"/>
    <w:rsid w:val="00373C23"/>
    <w:rsid w:val="00373C40"/>
    <w:rsid w:val="00373C62"/>
    <w:rsid w:val="00373D7B"/>
    <w:rsid w:val="00373E5B"/>
    <w:rsid w:val="00373EB0"/>
    <w:rsid w:val="00373EE0"/>
    <w:rsid w:val="00373F46"/>
    <w:rsid w:val="00373F91"/>
    <w:rsid w:val="00373FEC"/>
    <w:rsid w:val="00374001"/>
    <w:rsid w:val="003740F6"/>
    <w:rsid w:val="0037421A"/>
    <w:rsid w:val="00374369"/>
    <w:rsid w:val="00374435"/>
    <w:rsid w:val="00374647"/>
    <w:rsid w:val="003746A6"/>
    <w:rsid w:val="00374774"/>
    <w:rsid w:val="00374992"/>
    <w:rsid w:val="00374A86"/>
    <w:rsid w:val="00374AE7"/>
    <w:rsid w:val="00374AFB"/>
    <w:rsid w:val="00374B7F"/>
    <w:rsid w:val="00374E07"/>
    <w:rsid w:val="00374E97"/>
    <w:rsid w:val="0037502F"/>
    <w:rsid w:val="00375132"/>
    <w:rsid w:val="00375165"/>
    <w:rsid w:val="00375182"/>
    <w:rsid w:val="003752FF"/>
    <w:rsid w:val="003754D4"/>
    <w:rsid w:val="00375518"/>
    <w:rsid w:val="00375547"/>
    <w:rsid w:val="0037554D"/>
    <w:rsid w:val="0037580F"/>
    <w:rsid w:val="00375995"/>
    <w:rsid w:val="003759C0"/>
    <w:rsid w:val="00375AF5"/>
    <w:rsid w:val="00375BF0"/>
    <w:rsid w:val="00375D50"/>
    <w:rsid w:val="00375D81"/>
    <w:rsid w:val="00375F00"/>
    <w:rsid w:val="00375F4C"/>
    <w:rsid w:val="00375FD0"/>
    <w:rsid w:val="00375FEA"/>
    <w:rsid w:val="00376058"/>
    <w:rsid w:val="003760EC"/>
    <w:rsid w:val="003762ED"/>
    <w:rsid w:val="00376438"/>
    <w:rsid w:val="0037650C"/>
    <w:rsid w:val="00376575"/>
    <w:rsid w:val="00376642"/>
    <w:rsid w:val="003767C3"/>
    <w:rsid w:val="0037680E"/>
    <w:rsid w:val="00376881"/>
    <w:rsid w:val="003769AC"/>
    <w:rsid w:val="003769D0"/>
    <w:rsid w:val="00376A51"/>
    <w:rsid w:val="00376ACD"/>
    <w:rsid w:val="00376B1E"/>
    <w:rsid w:val="00376B7C"/>
    <w:rsid w:val="00376B8F"/>
    <w:rsid w:val="00376C43"/>
    <w:rsid w:val="00376DB7"/>
    <w:rsid w:val="00376F3C"/>
    <w:rsid w:val="00376FFE"/>
    <w:rsid w:val="00377047"/>
    <w:rsid w:val="00377143"/>
    <w:rsid w:val="00377240"/>
    <w:rsid w:val="003772FF"/>
    <w:rsid w:val="00377316"/>
    <w:rsid w:val="00377392"/>
    <w:rsid w:val="00377472"/>
    <w:rsid w:val="00377489"/>
    <w:rsid w:val="003774B8"/>
    <w:rsid w:val="0037756A"/>
    <w:rsid w:val="0037757F"/>
    <w:rsid w:val="003775A7"/>
    <w:rsid w:val="003776FE"/>
    <w:rsid w:val="0037775F"/>
    <w:rsid w:val="003777B1"/>
    <w:rsid w:val="00377884"/>
    <w:rsid w:val="003778A5"/>
    <w:rsid w:val="00377A9F"/>
    <w:rsid w:val="00377C79"/>
    <w:rsid w:val="00377CE2"/>
    <w:rsid w:val="00377DD7"/>
    <w:rsid w:val="00377E47"/>
    <w:rsid w:val="00377E79"/>
    <w:rsid w:val="00377EA5"/>
    <w:rsid w:val="00377FDE"/>
    <w:rsid w:val="003800A9"/>
    <w:rsid w:val="003800F4"/>
    <w:rsid w:val="0038012D"/>
    <w:rsid w:val="00380134"/>
    <w:rsid w:val="0038017B"/>
    <w:rsid w:val="003801DD"/>
    <w:rsid w:val="003802BC"/>
    <w:rsid w:val="00380451"/>
    <w:rsid w:val="00380488"/>
    <w:rsid w:val="003804BF"/>
    <w:rsid w:val="0038051E"/>
    <w:rsid w:val="00380543"/>
    <w:rsid w:val="00380674"/>
    <w:rsid w:val="00380846"/>
    <w:rsid w:val="003808C3"/>
    <w:rsid w:val="0038094C"/>
    <w:rsid w:val="00380A29"/>
    <w:rsid w:val="00380AA5"/>
    <w:rsid w:val="00380B66"/>
    <w:rsid w:val="00380B68"/>
    <w:rsid w:val="00380E35"/>
    <w:rsid w:val="00380EAD"/>
    <w:rsid w:val="003810C0"/>
    <w:rsid w:val="00381127"/>
    <w:rsid w:val="00381234"/>
    <w:rsid w:val="0038131C"/>
    <w:rsid w:val="00381446"/>
    <w:rsid w:val="00381525"/>
    <w:rsid w:val="00381589"/>
    <w:rsid w:val="003815CA"/>
    <w:rsid w:val="003815CD"/>
    <w:rsid w:val="00381667"/>
    <w:rsid w:val="003816A0"/>
    <w:rsid w:val="0038179D"/>
    <w:rsid w:val="00381976"/>
    <w:rsid w:val="003819BB"/>
    <w:rsid w:val="003819BF"/>
    <w:rsid w:val="003819D0"/>
    <w:rsid w:val="003819EA"/>
    <w:rsid w:val="00381A19"/>
    <w:rsid w:val="00381BB7"/>
    <w:rsid w:val="00381D20"/>
    <w:rsid w:val="00381D4E"/>
    <w:rsid w:val="00381DBE"/>
    <w:rsid w:val="00381E3C"/>
    <w:rsid w:val="00381F43"/>
    <w:rsid w:val="00381FDF"/>
    <w:rsid w:val="003821CC"/>
    <w:rsid w:val="00382350"/>
    <w:rsid w:val="0038241A"/>
    <w:rsid w:val="003824D9"/>
    <w:rsid w:val="003825FF"/>
    <w:rsid w:val="00382649"/>
    <w:rsid w:val="003826C4"/>
    <w:rsid w:val="00382701"/>
    <w:rsid w:val="0038274F"/>
    <w:rsid w:val="00382876"/>
    <w:rsid w:val="003829E1"/>
    <w:rsid w:val="00382A9A"/>
    <w:rsid w:val="00382AAD"/>
    <w:rsid w:val="00382BF9"/>
    <w:rsid w:val="00382D49"/>
    <w:rsid w:val="00382D54"/>
    <w:rsid w:val="00382DB5"/>
    <w:rsid w:val="00382ECA"/>
    <w:rsid w:val="00383286"/>
    <w:rsid w:val="003832C0"/>
    <w:rsid w:val="00383379"/>
    <w:rsid w:val="00383422"/>
    <w:rsid w:val="0038346B"/>
    <w:rsid w:val="00383612"/>
    <w:rsid w:val="00383639"/>
    <w:rsid w:val="003836CC"/>
    <w:rsid w:val="00383751"/>
    <w:rsid w:val="003837FF"/>
    <w:rsid w:val="003838A0"/>
    <w:rsid w:val="00383A45"/>
    <w:rsid w:val="00383ABB"/>
    <w:rsid w:val="00383B50"/>
    <w:rsid w:val="00383BAA"/>
    <w:rsid w:val="00383BF1"/>
    <w:rsid w:val="00383C48"/>
    <w:rsid w:val="00383D17"/>
    <w:rsid w:val="00383D66"/>
    <w:rsid w:val="00383DED"/>
    <w:rsid w:val="00384004"/>
    <w:rsid w:val="00384027"/>
    <w:rsid w:val="00384167"/>
    <w:rsid w:val="003841F2"/>
    <w:rsid w:val="0038422E"/>
    <w:rsid w:val="00384259"/>
    <w:rsid w:val="0038455A"/>
    <w:rsid w:val="0038459C"/>
    <w:rsid w:val="003845B6"/>
    <w:rsid w:val="003845F2"/>
    <w:rsid w:val="003846B5"/>
    <w:rsid w:val="0038472E"/>
    <w:rsid w:val="00384740"/>
    <w:rsid w:val="00384870"/>
    <w:rsid w:val="003848B7"/>
    <w:rsid w:val="003848BA"/>
    <w:rsid w:val="00384932"/>
    <w:rsid w:val="00384982"/>
    <w:rsid w:val="00384A5C"/>
    <w:rsid w:val="00384B9A"/>
    <w:rsid w:val="00384BED"/>
    <w:rsid w:val="00384C35"/>
    <w:rsid w:val="00384C76"/>
    <w:rsid w:val="00384D98"/>
    <w:rsid w:val="00384F9C"/>
    <w:rsid w:val="00385001"/>
    <w:rsid w:val="0038501B"/>
    <w:rsid w:val="0038507C"/>
    <w:rsid w:val="00385131"/>
    <w:rsid w:val="00385236"/>
    <w:rsid w:val="0038527F"/>
    <w:rsid w:val="003852FA"/>
    <w:rsid w:val="00385309"/>
    <w:rsid w:val="00385420"/>
    <w:rsid w:val="00385481"/>
    <w:rsid w:val="003857AD"/>
    <w:rsid w:val="00385B5D"/>
    <w:rsid w:val="00385C23"/>
    <w:rsid w:val="00385C62"/>
    <w:rsid w:val="00385CE5"/>
    <w:rsid w:val="00385DD7"/>
    <w:rsid w:val="00385E1F"/>
    <w:rsid w:val="00385F9B"/>
    <w:rsid w:val="00386033"/>
    <w:rsid w:val="0038606E"/>
    <w:rsid w:val="003861C4"/>
    <w:rsid w:val="00386259"/>
    <w:rsid w:val="00386380"/>
    <w:rsid w:val="00386403"/>
    <w:rsid w:val="003864CB"/>
    <w:rsid w:val="003865E0"/>
    <w:rsid w:val="00386642"/>
    <w:rsid w:val="0038665B"/>
    <w:rsid w:val="003866D3"/>
    <w:rsid w:val="003866F2"/>
    <w:rsid w:val="00386715"/>
    <w:rsid w:val="00386849"/>
    <w:rsid w:val="0038694A"/>
    <w:rsid w:val="0038697B"/>
    <w:rsid w:val="003869CE"/>
    <w:rsid w:val="00386A4A"/>
    <w:rsid w:val="00386B88"/>
    <w:rsid w:val="00386BF1"/>
    <w:rsid w:val="00386C54"/>
    <w:rsid w:val="00386D78"/>
    <w:rsid w:val="00386EC8"/>
    <w:rsid w:val="0038704D"/>
    <w:rsid w:val="00387093"/>
    <w:rsid w:val="00387133"/>
    <w:rsid w:val="00387194"/>
    <w:rsid w:val="00387269"/>
    <w:rsid w:val="00387362"/>
    <w:rsid w:val="003873D4"/>
    <w:rsid w:val="00387470"/>
    <w:rsid w:val="003874E0"/>
    <w:rsid w:val="003874EE"/>
    <w:rsid w:val="0038753B"/>
    <w:rsid w:val="0038758B"/>
    <w:rsid w:val="003875F4"/>
    <w:rsid w:val="003876BD"/>
    <w:rsid w:val="003876FD"/>
    <w:rsid w:val="003877C3"/>
    <w:rsid w:val="00387811"/>
    <w:rsid w:val="00387845"/>
    <w:rsid w:val="003878AD"/>
    <w:rsid w:val="00387B58"/>
    <w:rsid w:val="00387BA3"/>
    <w:rsid w:val="00387BBB"/>
    <w:rsid w:val="00387C7E"/>
    <w:rsid w:val="00387C9C"/>
    <w:rsid w:val="00387D61"/>
    <w:rsid w:val="00387DD6"/>
    <w:rsid w:val="00387E6D"/>
    <w:rsid w:val="00387EDE"/>
    <w:rsid w:val="00387EF5"/>
    <w:rsid w:val="00387FDB"/>
    <w:rsid w:val="003900BE"/>
    <w:rsid w:val="0039015C"/>
    <w:rsid w:val="003901C1"/>
    <w:rsid w:val="00390261"/>
    <w:rsid w:val="00390293"/>
    <w:rsid w:val="003903F8"/>
    <w:rsid w:val="0039041A"/>
    <w:rsid w:val="00390420"/>
    <w:rsid w:val="00390471"/>
    <w:rsid w:val="003904F5"/>
    <w:rsid w:val="00390573"/>
    <w:rsid w:val="0039058B"/>
    <w:rsid w:val="0039089A"/>
    <w:rsid w:val="003908D2"/>
    <w:rsid w:val="00390A02"/>
    <w:rsid w:val="00390A05"/>
    <w:rsid w:val="00390CC0"/>
    <w:rsid w:val="00390DE1"/>
    <w:rsid w:val="00390DEF"/>
    <w:rsid w:val="00390E56"/>
    <w:rsid w:val="003910E3"/>
    <w:rsid w:val="003911A0"/>
    <w:rsid w:val="00391277"/>
    <w:rsid w:val="00391338"/>
    <w:rsid w:val="003913D9"/>
    <w:rsid w:val="003913EE"/>
    <w:rsid w:val="003913F1"/>
    <w:rsid w:val="00391507"/>
    <w:rsid w:val="00391588"/>
    <w:rsid w:val="0039160D"/>
    <w:rsid w:val="00391664"/>
    <w:rsid w:val="00391758"/>
    <w:rsid w:val="003917A3"/>
    <w:rsid w:val="003917DC"/>
    <w:rsid w:val="00391A33"/>
    <w:rsid w:val="00391BFE"/>
    <w:rsid w:val="00391C5C"/>
    <w:rsid w:val="00391CED"/>
    <w:rsid w:val="00391D25"/>
    <w:rsid w:val="00391DB6"/>
    <w:rsid w:val="00391E05"/>
    <w:rsid w:val="00391E68"/>
    <w:rsid w:val="00391F5C"/>
    <w:rsid w:val="00391F79"/>
    <w:rsid w:val="00391FCF"/>
    <w:rsid w:val="00392188"/>
    <w:rsid w:val="003921C7"/>
    <w:rsid w:val="00392291"/>
    <w:rsid w:val="00392373"/>
    <w:rsid w:val="0039237B"/>
    <w:rsid w:val="003923A0"/>
    <w:rsid w:val="003923DB"/>
    <w:rsid w:val="00392425"/>
    <w:rsid w:val="0039254A"/>
    <w:rsid w:val="00392634"/>
    <w:rsid w:val="00392648"/>
    <w:rsid w:val="00392666"/>
    <w:rsid w:val="0039278E"/>
    <w:rsid w:val="003927E7"/>
    <w:rsid w:val="0039287A"/>
    <w:rsid w:val="003928DD"/>
    <w:rsid w:val="00392908"/>
    <w:rsid w:val="003929CE"/>
    <w:rsid w:val="003929D5"/>
    <w:rsid w:val="00392A39"/>
    <w:rsid w:val="00392A74"/>
    <w:rsid w:val="00392BA0"/>
    <w:rsid w:val="00392DB1"/>
    <w:rsid w:val="00392E3F"/>
    <w:rsid w:val="00392EDB"/>
    <w:rsid w:val="00392F1A"/>
    <w:rsid w:val="00392F95"/>
    <w:rsid w:val="0039314E"/>
    <w:rsid w:val="00393275"/>
    <w:rsid w:val="00393372"/>
    <w:rsid w:val="00393432"/>
    <w:rsid w:val="003936A1"/>
    <w:rsid w:val="003936CE"/>
    <w:rsid w:val="003936E0"/>
    <w:rsid w:val="00393701"/>
    <w:rsid w:val="0039381F"/>
    <w:rsid w:val="0039387F"/>
    <w:rsid w:val="00393928"/>
    <w:rsid w:val="003939B3"/>
    <w:rsid w:val="00393B61"/>
    <w:rsid w:val="00393D39"/>
    <w:rsid w:val="00393EA2"/>
    <w:rsid w:val="00393FC6"/>
    <w:rsid w:val="00394035"/>
    <w:rsid w:val="003940F4"/>
    <w:rsid w:val="0039416E"/>
    <w:rsid w:val="00394203"/>
    <w:rsid w:val="00394310"/>
    <w:rsid w:val="00394378"/>
    <w:rsid w:val="003943D2"/>
    <w:rsid w:val="00394442"/>
    <w:rsid w:val="003944A1"/>
    <w:rsid w:val="003944D0"/>
    <w:rsid w:val="00394514"/>
    <w:rsid w:val="0039457E"/>
    <w:rsid w:val="003945A1"/>
    <w:rsid w:val="00394605"/>
    <w:rsid w:val="0039465D"/>
    <w:rsid w:val="00394683"/>
    <w:rsid w:val="00394745"/>
    <w:rsid w:val="00394841"/>
    <w:rsid w:val="0039487D"/>
    <w:rsid w:val="0039492A"/>
    <w:rsid w:val="00394A56"/>
    <w:rsid w:val="00394A5E"/>
    <w:rsid w:val="00394B66"/>
    <w:rsid w:val="00394B73"/>
    <w:rsid w:val="00394C4A"/>
    <w:rsid w:val="00394CF0"/>
    <w:rsid w:val="00394DE0"/>
    <w:rsid w:val="00394E3F"/>
    <w:rsid w:val="00394FAB"/>
    <w:rsid w:val="00395077"/>
    <w:rsid w:val="0039507E"/>
    <w:rsid w:val="0039508A"/>
    <w:rsid w:val="00395091"/>
    <w:rsid w:val="00395095"/>
    <w:rsid w:val="0039518F"/>
    <w:rsid w:val="003951A3"/>
    <w:rsid w:val="003951DB"/>
    <w:rsid w:val="00395212"/>
    <w:rsid w:val="0039531C"/>
    <w:rsid w:val="003953D0"/>
    <w:rsid w:val="0039547C"/>
    <w:rsid w:val="003954E6"/>
    <w:rsid w:val="0039563D"/>
    <w:rsid w:val="003956DC"/>
    <w:rsid w:val="00395715"/>
    <w:rsid w:val="00395A10"/>
    <w:rsid w:val="00395A6D"/>
    <w:rsid w:val="00395B10"/>
    <w:rsid w:val="00395C1C"/>
    <w:rsid w:val="00395C8E"/>
    <w:rsid w:val="00395E16"/>
    <w:rsid w:val="00395E8A"/>
    <w:rsid w:val="00395EF2"/>
    <w:rsid w:val="00395FAA"/>
    <w:rsid w:val="00396163"/>
    <w:rsid w:val="003963C6"/>
    <w:rsid w:val="003965F2"/>
    <w:rsid w:val="00396780"/>
    <w:rsid w:val="003968F8"/>
    <w:rsid w:val="003969A8"/>
    <w:rsid w:val="00396E0B"/>
    <w:rsid w:val="00396E31"/>
    <w:rsid w:val="00396EA6"/>
    <w:rsid w:val="00396ECA"/>
    <w:rsid w:val="00396F05"/>
    <w:rsid w:val="00396F83"/>
    <w:rsid w:val="00396FA6"/>
    <w:rsid w:val="0039703F"/>
    <w:rsid w:val="003970AA"/>
    <w:rsid w:val="003972C1"/>
    <w:rsid w:val="003972D9"/>
    <w:rsid w:val="0039745E"/>
    <w:rsid w:val="0039757D"/>
    <w:rsid w:val="003975AD"/>
    <w:rsid w:val="003975B6"/>
    <w:rsid w:val="003975BD"/>
    <w:rsid w:val="00397608"/>
    <w:rsid w:val="003976CF"/>
    <w:rsid w:val="0039770E"/>
    <w:rsid w:val="003977AD"/>
    <w:rsid w:val="003979F8"/>
    <w:rsid w:val="00397ABB"/>
    <w:rsid w:val="00397B5A"/>
    <w:rsid w:val="00397B97"/>
    <w:rsid w:val="00397BD6"/>
    <w:rsid w:val="00397C53"/>
    <w:rsid w:val="00397CC0"/>
    <w:rsid w:val="00397DDF"/>
    <w:rsid w:val="00397E12"/>
    <w:rsid w:val="00397E4C"/>
    <w:rsid w:val="00397E67"/>
    <w:rsid w:val="00397EA2"/>
    <w:rsid w:val="00397ED6"/>
    <w:rsid w:val="00397EFF"/>
    <w:rsid w:val="00397F06"/>
    <w:rsid w:val="00397F58"/>
    <w:rsid w:val="00397FF0"/>
    <w:rsid w:val="003A0091"/>
    <w:rsid w:val="003A00B2"/>
    <w:rsid w:val="003A00D9"/>
    <w:rsid w:val="003A015B"/>
    <w:rsid w:val="003A01EC"/>
    <w:rsid w:val="003A0274"/>
    <w:rsid w:val="003A028D"/>
    <w:rsid w:val="003A02AE"/>
    <w:rsid w:val="003A03D4"/>
    <w:rsid w:val="003A0546"/>
    <w:rsid w:val="003A05C4"/>
    <w:rsid w:val="003A068D"/>
    <w:rsid w:val="003A07B9"/>
    <w:rsid w:val="003A085C"/>
    <w:rsid w:val="003A086D"/>
    <w:rsid w:val="003A09BB"/>
    <w:rsid w:val="003A09DD"/>
    <w:rsid w:val="003A0B4A"/>
    <w:rsid w:val="003A0BAF"/>
    <w:rsid w:val="003A0C17"/>
    <w:rsid w:val="003A0C19"/>
    <w:rsid w:val="003A0C5E"/>
    <w:rsid w:val="003A1039"/>
    <w:rsid w:val="003A1059"/>
    <w:rsid w:val="003A10B9"/>
    <w:rsid w:val="003A1222"/>
    <w:rsid w:val="003A13E8"/>
    <w:rsid w:val="003A16F6"/>
    <w:rsid w:val="003A1711"/>
    <w:rsid w:val="003A1757"/>
    <w:rsid w:val="003A17F7"/>
    <w:rsid w:val="003A1997"/>
    <w:rsid w:val="003A1C70"/>
    <w:rsid w:val="003A1D5B"/>
    <w:rsid w:val="003A1D7E"/>
    <w:rsid w:val="003A1DF9"/>
    <w:rsid w:val="003A1EC3"/>
    <w:rsid w:val="003A1F8A"/>
    <w:rsid w:val="003A2537"/>
    <w:rsid w:val="003A2630"/>
    <w:rsid w:val="003A2738"/>
    <w:rsid w:val="003A27AB"/>
    <w:rsid w:val="003A2951"/>
    <w:rsid w:val="003A298A"/>
    <w:rsid w:val="003A2A19"/>
    <w:rsid w:val="003A2ACF"/>
    <w:rsid w:val="003A2B82"/>
    <w:rsid w:val="003A2CC1"/>
    <w:rsid w:val="003A2CD5"/>
    <w:rsid w:val="003A2D7F"/>
    <w:rsid w:val="003A2DE5"/>
    <w:rsid w:val="003A2EFD"/>
    <w:rsid w:val="003A2F2C"/>
    <w:rsid w:val="003A3046"/>
    <w:rsid w:val="003A3097"/>
    <w:rsid w:val="003A3221"/>
    <w:rsid w:val="003A3227"/>
    <w:rsid w:val="003A32A3"/>
    <w:rsid w:val="003A3377"/>
    <w:rsid w:val="003A33CF"/>
    <w:rsid w:val="003A3462"/>
    <w:rsid w:val="003A350D"/>
    <w:rsid w:val="003A35DE"/>
    <w:rsid w:val="003A3636"/>
    <w:rsid w:val="003A3766"/>
    <w:rsid w:val="003A382D"/>
    <w:rsid w:val="003A3957"/>
    <w:rsid w:val="003A398B"/>
    <w:rsid w:val="003A3A62"/>
    <w:rsid w:val="003A3B4B"/>
    <w:rsid w:val="003A3B96"/>
    <w:rsid w:val="003A3C84"/>
    <w:rsid w:val="003A3D56"/>
    <w:rsid w:val="003A3E10"/>
    <w:rsid w:val="003A3E27"/>
    <w:rsid w:val="003A3FA7"/>
    <w:rsid w:val="003A41D7"/>
    <w:rsid w:val="003A41F8"/>
    <w:rsid w:val="003A430C"/>
    <w:rsid w:val="003A4358"/>
    <w:rsid w:val="003A43CD"/>
    <w:rsid w:val="003A43D4"/>
    <w:rsid w:val="003A43D5"/>
    <w:rsid w:val="003A443A"/>
    <w:rsid w:val="003A4584"/>
    <w:rsid w:val="003A45D2"/>
    <w:rsid w:val="003A4632"/>
    <w:rsid w:val="003A4638"/>
    <w:rsid w:val="003A4679"/>
    <w:rsid w:val="003A47B9"/>
    <w:rsid w:val="003A4851"/>
    <w:rsid w:val="003A495D"/>
    <w:rsid w:val="003A49E1"/>
    <w:rsid w:val="003A4A1F"/>
    <w:rsid w:val="003A4AD5"/>
    <w:rsid w:val="003A4C31"/>
    <w:rsid w:val="003A4CE1"/>
    <w:rsid w:val="003A4D4C"/>
    <w:rsid w:val="003A4D7B"/>
    <w:rsid w:val="003A4D7E"/>
    <w:rsid w:val="003A4D8D"/>
    <w:rsid w:val="003A4F83"/>
    <w:rsid w:val="003A4FB1"/>
    <w:rsid w:val="003A5285"/>
    <w:rsid w:val="003A5305"/>
    <w:rsid w:val="003A5399"/>
    <w:rsid w:val="003A53AF"/>
    <w:rsid w:val="003A542B"/>
    <w:rsid w:val="003A5577"/>
    <w:rsid w:val="003A55B1"/>
    <w:rsid w:val="003A56A1"/>
    <w:rsid w:val="003A56C1"/>
    <w:rsid w:val="003A5776"/>
    <w:rsid w:val="003A578E"/>
    <w:rsid w:val="003A5883"/>
    <w:rsid w:val="003A5945"/>
    <w:rsid w:val="003A59D7"/>
    <w:rsid w:val="003A5B05"/>
    <w:rsid w:val="003A5C49"/>
    <w:rsid w:val="003A5C6C"/>
    <w:rsid w:val="003A5EA7"/>
    <w:rsid w:val="003A5EDF"/>
    <w:rsid w:val="003A5FB3"/>
    <w:rsid w:val="003A5FB4"/>
    <w:rsid w:val="003A5FC8"/>
    <w:rsid w:val="003A6277"/>
    <w:rsid w:val="003A64A3"/>
    <w:rsid w:val="003A64F7"/>
    <w:rsid w:val="003A659D"/>
    <w:rsid w:val="003A65E1"/>
    <w:rsid w:val="003A65FC"/>
    <w:rsid w:val="003A66BD"/>
    <w:rsid w:val="003A6718"/>
    <w:rsid w:val="003A6725"/>
    <w:rsid w:val="003A67E6"/>
    <w:rsid w:val="003A696E"/>
    <w:rsid w:val="003A6986"/>
    <w:rsid w:val="003A6B9F"/>
    <w:rsid w:val="003A6BE9"/>
    <w:rsid w:val="003A6E80"/>
    <w:rsid w:val="003A6F58"/>
    <w:rsid w:val="003A6FDE"/>
    <w:rsid w:val="003A6FEA"/>
    <w:rsid w:val="003A7083"/>
    <w:rsid w:val="003A7219"/>
    <w:rsid w:val="003A7244"/>
    <w:rsid w:val="003A726E"/>
    <w:rsid w:val="003A7631"/>
    <w:rsid w:val="003A764D"/>
    <w:rsid w:val="003A7755"/>
    <w:rsid w:val="003A78CD"/>
    <w:rsid w:val="003A790D"/>
    <w:rsid w:val="003A79B9"/>
    <w:rsid w:val="003A7BED"/>
    <w:rsid w:val="003A7C12"/>
    <w:rsid w:val="003A7C13"/>
    <w:rsid w:val="003A7DCD"/>
    <w:rsid w:val="003A7DD0"/>
    <w:rsid w:val="003A7DF9"/>
    <w:rsid w:val="003A7E19"/>
    <w:rsid w:val="003B007E"/>
    <w:rsid w:val="003B00DF"/>
    <w:rsid w:val="003B04CF"/>
    <w:rsid w:val="003B05AD"/>
    <w:rsid w:val="003B0611"/>
    <w:rsid w:val="003B0701"/>
    <w:rsid w:val="003B07C8"/>
    <w:rsid w:val="003B07CE"/>
    <w:rsid w:val="003B0993"/>
    <w:rsid w:val="003B0998"/>
    <w:rsid w:val="003B0AA2"/>
    <w:rsid w:val="003B0AEB"/>
    <w:rsid w:val="003B0B17"/>
    <w:rsid w:val="003B0D7B"/>
    <w:rsid w:val="003B0E40"/>
    <w:rsid w:val="003B0EA5"/>
    <w:rsid w:val="003B0EEB"/>
    <w:rsid w:val="003B0F73"/>
    <w:rsid w:val="003B1076"/>
    <w:rsid w:val="003B117F"/>
    <w:rsid w:val="003B11E6"/>
    <w:rsid w:val="003B12A0"/>
    <w:rsid w:val="003B1395"/>
    <w:rsid w:val="003B1456"/>
    <w:rsid w:val="003B14AC"/>
    <w:rsid w:val="003B1524"/>
    <w:rsid w:val="003B15E6"/>
    <w:rsid w:val="003B1698"/>
    <w:rsid w:val="003B175D"/>
    <w:rsid w:val="003B1859"/>
    <w:rsid w:val="003B1896"/>
    <w:rsid w:val="003B19FC"/>
    <w:rsid w:val="003B1BD9"/>
    <w:rsid w:val="003B1C16"/>
    <w:rsid w:val="003B1CB0"/>
    <w:rsid w:val="003B1D0E"/>
    <w:rsid w:val="003B1DF7"/>
    <w:rsid w:val="003B1F08"/>
    <w:rsid w:val="003B1F83"/>
    <w:rsid w:val="003B1F85"/>
    <w:rsid w:val="003B1FAB"/>
    <w:rsid w:val="003B22B6"/>
    <w:rsid w:val="003B2313"/>
    <w:rsid w:val="003B2351"/>
    <w:rsid w:val="003B23F0"/>
    <w:rsid w:val="003B23F6"/>
    <w:rsid w:val="003B25B8"/>
    <w:rsid w:val="003B260C"/>
    <w:rsid w:val="003B27A8"/>
    <w:rsid w:val="003B2852"/>
    <w:rsid w:val="003B2CF5"/>
    <w:rsid w:val="003B2D27"/>
    <w:rsid w:val="003B2DA1"/>
    <w:rsid w:val="003B3025"/>
    <w:rsid w:val="003B32DE"/>
    <w:rsid w:val="003B3339"/>
    <w:rsid w:val="003B33BC"/>
    <w:rsid w:val="003B3409"/>
    <w:rsid w:val="003B344C"/>
    <w:rsid w:val="003B3562"/>
    <w:rsid w:val="003B377F"/>
    <w:rsid w:val="003B37D3"/>
    <w:rsid w:val="003B3828"/>
    <w:rsid w:val="003B38FA"/>
    <w:rsid w:val="003B392D"/>
    <w:rsid w:val="003B3954"/>
    <w:rsid w:val="003B3A3D"/>
    <w:rsid w:val="003B3B09"/>
    <w:rsid w:val="003B3C41"/>
    <w:rsid w:val="003B3C7C"/>
    <w:rsid w:val="003B3DC8"/>
    <w:rsid w:val="003B3DF0"/>
    <w:rsid w:val="003B3FAA"/>
    <w:rsid w:val="003B413C"/>
    <w:rsid w:val="003B41F2"/>
    <w:rsid w:val="003B4217"/>
    <w:rsid w:val="003B4357"/>
    <w:rsid w:val="003B4399"/>
    <w:rsid w:val="003B4471"/>
    <w:rsid w:val="003B44A5"/>
    <w:rsid w:val="003B454B"/>
    <w:rsid w:val="003B4616"/>
    <w:rsid w:val="003B46D7"/>
    <w:rsid w:val="003B47D9"/>
    <w:rsid w:val="003B4897"/>
    <w:rsid w:val="003B48B0"/>
    <w:rsid w:val="003B4998"/>
    <w:rsid w:val="003B4A9D"/>
    <w:rsid w:val="003B4AB4"/>
    <w:rsid w:val="003B4B06"/>
    <w:rsid w:val="003B4BB1"/>
    <w:rsid w:val="003B4C23"/>
    <w:rsid w:val="003B4CD0"/>
    <w:rsid w:val="003B4F84"/>
    <w:rsid w:val="003B52AB"/>
    <w:rsid w:val="003B53C5"/>
    <w:rsid w:val="003B5553"/>
    <w:rsid w:val="003B575B"/>
    <w:rsid w:val="003B59BE"/>
    <w:rsid w:val="003B5A66"/>
    <w:rsid w:val="003B5B45"/>
    <w:rsid w:val="003B5B7D"/>
    <w:rsid w:val="003B5D88"/>
    <w:rsid w:val="003B5DF7"/>
    <w:rsid w:val="003B5EB7"/>
    <w:rsid w:val="003B6114"/>
    <w:rsid w:val="003B6209"/>
    <w:rsid w:val="003B65A3"/>
    <w:rsid w:val="003B65AB"/>
    <w:rsid w:val="003B65C8"/>
    <w:rsid w:val="003B6680"/>
    <w:rsid w:val="003B66E5"/>
    <w:rsid w:val="003B67B5"/>
    <w:rsid w:val="003B683C"/>
    <w:rsid w:val="003B690E"/>
    <w:rsid w:val="003B693E"/>
    <w:rsid w:val="003B6AC9"/>
    <w:rsid w:val="003B6BB4"/>
    <w:rsid w:val="003B6BEF"/>
    <w:rsid w:val="003B6C51"/>
    <w:rsid w:val="003B6E44"/>
    <w:rsid w:val="003B6F46"/>
    <w:rsid w:val="003B701C"/>
    <w:rsid w:val="003B70F3"/>
    <w:rsid w:val="003B711E"/>
    <w:rsid w:val="003B721B"/>
    <w:rsid w:val="003B7274"/>
    <w:rsid w:val="003B732E"/>
    <w:rsid w:val="003B73D8"/>
    <w:rsid w:val="003B7467"/>
    <w:rsid w:val="003B75B8"/>
    <w:rsid w:val="003B75F1"/>
    <w:rsid w:val="003B760F"/>
    <w:rsid w:val="003B77EF"/>
    <w:rsid w:val="003B795A"/>
    <w:rsid w:val="003B7962"/>
    <w:rsid w:val="003B79F8"/>
    <w:rsid w:val="003B7A10"/>
    <w:rsid w:val="003B7AD5"/>
    <w:rsid w:val="003B7B63"/>
    <w:rsid w:val="003B7C4E"/>
    <w:rsid w:val="003B7CEB"/>
    <w:rsid w:val="003B7DE2"/>
    <w:rsid w:val="003B7E01"/>
    <w:rsid w:val="003B7E54"/>
    <w:rsid w:val="003B7F4C"/>
    <w:rsid w:val="003C0131"/>
    <w:rsid w:val="003C0324"/>
    <w:rsid w:val="003C0409"/>
    <w:rsid w:val="003C0423"/>
    <w:rsid w:val="003C047C"/>
    <w:rsid w:val="003C0672"/>
    <w:rsid w:val="003C075B"/>
    <w:rsid w:val="003C07BA"/>
    <w:rsid w:val="003C0841"/>
    <w:rsid w:val="003C0884"/>
    <w:rsid w:val="003C0A0C"/>
    <w:rsid w:val="003C0ABA"/>
    <w:rsid w:val="003C0CC2"/>
    <w:rsid w:val="003C0CEA"/>
    <w:rsid w:val="003C0E98"/>
    <w:rsid w:val="003C0EAE"/>
    <w:rsid w:val="003C0FBE"/>
    <w:rsid w:val="003C1005"/>
    <w:rsid w:val="003C10FA"/>
    <w:rsid w:val="003C122F"/>
    <w:rsid w:val="003C12C4"/>
    <w:rsid w:val="003C1350"/>
    <w:rsid w:val="003C148B"/>
    <w:rsid w:val="003C1578"/>
    <w:rsid w:val="003C16E7"/>
    <w:rsid w:val="003C1911"/>
    <w:rsid w:val="003C1930"/>
    <w:rsid w:val="003C193B"/>
    <w:rsid w:val="003C1974"/>
    <w:rsid w:val="003C1998"/>
    <w:rsid w:val="003C19DC"/>
    <w:rsid w:val="003C1AAA"/>
    <w:rsid w:val="003C1CBF"/>
    <w:rsid w:val="003C1E0F"/>
    <w:rsid w:val="003C20B8"/>
    <w:rsid w:val="003C2371"/>
    <w:rsid w:val="003C23AE"/>
    <w:rsid w:val="003C23F2"/>
    <w:rsid w:val="003C2551"/>
    <w:rsid w:val="003C2553"/>
    <w:rsid w:val="003C2635"/>
    <w:rsid w:val="003C27D3"/>
    <w:rsid w:val="003C2A3F"/>
    <w:rsid w:val="003C2AA2"/>
    <w:rsid w:val="003C2AF2"/>
    <w:rsid w:val="003C2C7F"/>
    <w:rsid w:val="003C2C9E"/>
    <w:rsid w:val="003C2CA8"/>
    <w:rsid w:val="003C2E6A"/>
    <w:rsid w:val="003C31CD"/>
    <w:rsid w:val="003C3261"/>
    <w:rsid w:val="003C32A5"/>
    <w:rsid w:val="003C33F0"/>
    <w:rsid w:val="003C358E"/>
    <w:rsid w:val="003C3679"/>
    <w:rsid w:val="003C3906"/>
    <w:rsid w:val="003C3AE3"/>
    <w:rsid w:val="003C3B3B"/>
    <w:rsid w:val="003C3B3E"/>
    <w:rsid w:val="003C3B87"/>
    <w:rsid w:val="003C3BC8"/>
    <w:rsid w:val="003C3BEE"/>
    <w:rsid w:val="003C3C20"/>
    <w:rsid w:val="003C3CA5"/>
    <w:rsid w:val="003C3D4C"/>
    <w:rsid w:val="003C3D72"/>
    <w:rsid w:val="003C3DCA"/>
    <w:rsid w:val="003C3DDE"/>
    <w:rsid w:val="003C3E67"/>
    <w:rsid w:val="003C3F55"/>
    <w:rsid w:val="003C4018"/>
    <w:rsid w:val="003C41AB"/>
    <w:rsid w:val="003C42CE"/>
    <w:rsid w:val="003C4529"/>
    <w:rsid w:val="003C462E"/>
    <w:rsid w:val="003C4644"/>
    <w:rsid w:val="003C464C"/>
    <w:rsid w:val="003C478D"/>
    <w:rsid w:val="003C47C2"/>
    <w:rsid w:val="003C480D"/>
    <w:rsid w:val="003C4855"/>
    <w:rsid w:val="003C4CDF"/>
    <w:rsid w:val="003C4F8C"/>
    <w:rsid w:val="003C512C"/>
    <w:rsid w:val="003C518C"/>
    <w:rsid w:val="003C5209"/>
    <w:rsid w:val="003C5263"/>
    <w:rsid w:val="003C5315"/>
    <w:rsid w:val="003C53EC"/>
    <w:rsid w:val="003C55F9"/>
    <w:rsid w:val="003C5664"/>
    <w:rsid w:val="003C56C1"/>
    <w:rsid w:val="003C57AD"/>
    <w:rsid w:val="003C57C6"/>
    <w:rsid w:val="003C580A"/>
    <w:rsid w:val="003C5913"/>
    <w:rsid w:val="003C5A17"/>
    <w:rsid w:val="003C5A6C"/>
    <w:rsid w:val="003C5AA6"/>
    <w:rsid w:val="003C5AF9"/>
    <w:rsid w:val="003C5B04"/>
    <w:rsid w:val="003C5C98"/>
    <w:rsid w:val="003C5D15"/>
    <w:rsid w:val="003C5F92"/>
    <w:rsid w:val="003C6015"/>
    <w:rsid w:val="003C6055"/>
    <w:rsid w:val="003C6068"/>
    <w:rsid w:val="003C619B"/>
    <w:rsid w:val="003C6248"/>
    <w:rsid w:val="003C6374"/>
    <w:rsid w:val="003C63AA"/>
    <w:rsid w:val="003C63FE"/>
    <w:rsid w:val="003C6424"/>
    <w:rsid w:val="003C65B5"/>
    <w:rsid w:val="003C65ED"/>
    <w:rsid w:val="003C6653"/>
    <w:rsid w:val="003C66E0"/>
    <w:rsid w:val="003C67B9"/>
    <w:rsid w:val="003C67E5"/>
    <w:rsid w:val="003C6846"/>
    <w:rsid w:val="003C6877"/>
    <w:rsid w:val="003C68BA"/>
    <w:rsid w:val="003C68FF"/>
    <w:rsid w:val="003C693B"/>
    <w:rsid w:val="003C696C"/>
    <w:rsid w:val="003C69E0"/>
    <w:rsid w:val="003C69EB"/>
    <w:rsid w:val="003C6A29"/>
    <w:rsid w:val="003C6B4F"/>
    <w:rsid w:val="003C6C84"/>
    <w:rsid w:val="003C6DDD"/>
    <w:rsid w:val="003C6E1C"/>
    <w:rsid w:val="003C6F7F"/>
    <w:rsid w:val="003C6FC9"/>
    <w:rsid w:val="003C7112"/>
    <w:rsid w:val="003C73AE"/>
    <w:rsid w:val="003C7421"/>
    <w:rsid w:val="003C7446"/>
    <w:rsid w:val="003C7495"/>
    <w:rsid w:val="003C74BF"/>
    <w:rsid w:val="003C7575"/>
    <w:rsid w:val="003C7786"/>
    <w:rsid w:val="003C77D2"/>
    <w:rsid w:val="003C7819"/>
    <w:rsid w:val="003C7A6D"/>
    <w:rsid w:val="003C7AD2"/>
    <w:rsid w:val="003C7CBA"/>
    <w:rsid w:val="003C7D1D"/>
    <w:rsid w:val="003C7D3A"/>
    <w:rsid w:val="003C7F21"/>
    <w:rsid w:val="003C7F56"/>
    <w:rsid w:val="003C7F9A"/>
    <w:rsid w:val="003C7FEC"/>
    <w:rsid w:val="003D00E9"/>
    <w:rsid w:val="003D00FC"/>
    <w:rsid w:val="003D0122"/>
    <w:rsid w:val="003D0157"/>
    <w:rsid w:val="003D0229"/>
    <w:rsid w:val="003D038E"/>
    <w:rsid w:val="003D04CD"/>
    <w:rsid w:val="003D06DC"/>
    <w:rsid w:val="003D079E"/>
    <w:rsid w:val="003D092D"/>
    <w:rsid w:val="003D0989"/>
    <w:rsid w:val="003D0A60"/>
    <w:rsid w:val="003D0B51"/>
    <w:rsid w:val="003D0B55"/>
    <w:rsid w:val="003D0E8E"/>
    <w:rsid w:val="003D0EB1"/>
    <w:rsid w:val="003D0F75"/>
    <w:rsid w:val="003D10B4"/>
    <w:rsid w:val="003D113E"/>
    <w:rsid w:val="003D11AD"/>
    <w:rsid w:val="003D1348"/>
    <w:rsid w:val="003D145D"/>
    <w:rsid w:val="003D145F"/>
    <w:rsid w:val="003D1539"/>
    <w:rsid w:val="003D1646"/>
    <w:rsid w:val="003D1650"/>
    <w:rsid w:val="003D1663"/>
    <w:rsid w:val="003D1738"/>
    <w:rsid w:val="003D1817"/>
    <w:rsid w:val="003D19AC"/>
    <w:rsid w:val="003D1AF8"/>
    <w:rsid w:val="003D1B1A"/>
    <w:rsid w:val="003D1B4A"/>
    <w:rsid w:val="003D1D5F"/>
    <w:rsid w:val="003D1D78"/>
    <w:rsid w:val="003D1EA4"/>
    <w:rsid w:val="003D2115"/>
    <w:rsid w:val="003D21F1"/>
    <w:rsid w:val="003D22CD"/>
    <w:rsid w:val="003D2382"/>
    <w:rsid w:val="003D25CB"/>
    <w:rsid w:val="003D2642"/>
    <w:rsid w:val="003D2671"/>
    <w:rsid w:val="003D27B8"/>
    <w:rsid w:val="003D2C3C"/>
    <w:rsid w:val="003D2D40"/>
    <w:rsid w:val="003D2E1C"/>
    <w:rsid w:val="003D2EFE"/>
    <w:rsid w:val="003D3046"/>
    <w:rsid w:val="003D30C6"/>
    <w:rsid w:val="003D3217"/>
    <w:rsid w:val="003D323C"/>
    <w:rsid w:val="003D3442"/>
    <w:rsid w:val="003D3462"/>
    <w:rsid w:val="003D3620"/>
    <w:rsid w:val="003D364A"/>
    <w:rsid w:val="003D3664"/>
    <w:rsid w:val="003D367D"/>
    <w:rsid w:val="003D36EF"/>
    <w:rsid w:val="003D37E2"/>
    <w:rsid w:val="003D387D"/>
    <w:rsid w:val="003D39AB"/>
    <w:rsid w:val="003D39C6"/>
    <w:rsid w:val="003D3B11"/>
    <w:rsid w:val="003D3B5A"/>
    <w:rsid w:val="003D3C39"/>
    <w:rsid w:val="003D3C5A"/>
    <w:rsid w:val="003D3C6C"/>
    <w:rsid w:val="003D3C82"/>
    <w:rsid w:val="003D3CB3"/>
    <w:rsid w:val="003D3D68"/>
    <w:rsid w:val="003D3D7B"/>
    <w:rsid w:val="003D3DAC"/>
    <w:rsid w:val="003D3ED3"/>
    <w:rsid w:val="003D3F68"/>
    <w:rsid w:val="003D406E"/>
    <w:rsid w:val="003D4091"/>
    <w:rsid w:val="003D4126"/>
    <w:rsid w:val="003D419C"/>
    <w:rsid w:val="003D41D9"/>
    <w:rsid w:val="003D4267"/>
    <w:rsid w:val="003D4487"/>
    <w:rsid w:val="003D45D1"/>
    <w:rsid w:val="003D4705"/>
    <w:rsid w:val="003D485A"/>
    <w:rsid w:val="003D49DC"/>
    <w:rsid w:val="003D4A76"/>
    <w:rsid w:val="003D4AE5"/>
    <w:rsid w:val="003D4BDA"/>
    <w:rsid w:val="003D4C6C"/>
    <w:rsid w:val="003D4C95"/>
    <w:rsid w:val="003D4E4F"/>
    <w:rsid w:val="003D4ED1"/>
    <w:rsid w:val="003D4F2A"/>
    <w:rsid w:val="003D4FFE"/>
    <w:rsid w:val="003D506D"/>
    <w:rsid w:val="003D519C"/>
    <w:rsid w:val="003D51D6"/>
    <w:rsid w:val="003D51DB"/>
    <w:rsid w:val="003D533D"/>
    <w:rsid w:val="003D53F5"/>
    <w:rsid w:val="003D5478"/>
    <w:rsid w:val="003D54A1"/>
    <w:rsid w:val="003D54A2"/>
    <w:rsid w:val="003D54BD"/>
    <w:rsid w:val="003D55A5"/>
    <w:rsid w:val="003D5768"/>
    <w:rsid w:val="003D57A8"/>
    <w:rsid w:val="003D5857"/>
    <w:rsid w:val="003D5A6D"/>
    <w:rsid w:val="003D5AA2"/>
    <w:rsid w:val="003D5AB7"/>
    <w:rsid w:val="003D5B1A"/>
    <w:rsid w:val="003D5B33"/>
    <w:rsid w:val="003D5B44"/>
    <w:rsid w:val="003D5B97"/>
    <w:rsid w:val="003D5D38"/>
    <w:rsid w:val="003D5DA2"/>
    <w:rsid w:val="003D5E5F"/>
    <w:rsid w:val="003D5EBF"/>
    <w:rsid w:val="003D5FAD"/>
    <w:rsid w:val="003D5FBC"/>
    <w:rsid w:val="003D5FC1"/>
    <w:rsid w:val="003D6060"/>
    <w:rsid w:val="003D6061"/>
    <w:rsid w:val="003D616D"/>
    <w:rsid w:val="003D61C3"/>
    <w:rsid w:val="003D6206"/>
    <w:rsid w:val="003D620E"/>
    <w:rsid w:val="003D621B"/>
    <w:rsid w:val="003D637F"/>
    <w:rsid w:val="003D6555"/>
    <w:rsid w:val="003D65C8"/>
    <w:rsid w:val="003D65EF"/>
    <w:rsid w:val="003D6854"/>
    <w:rsid w:val="003D688F"/>
    <w:rsid w:val="003D6984"/>
    <w:rsid w:val="003D6E1A"/>
    <w:rsid w:val="003D6E4E"/>
    <w:rsid w:val="003D6FE0"/>
    <w:rsid w:val="003D7198"/>
    <w:rsid w:val="003D71B6"/>
    <w:rsid w:val="003D72DE"/>
    <w:rsid w:val="003D740D"/>
    <w:rsid w:val="003D7561"/>
    <w:rsid w:val="003D75A4"/>
    <w:rsid w:val="003D75B4"/>
    <w:rsid w:val="003D76E0"/>
    <w:rsid w:val="003D7B28"/>
    <w:rsid w:val="003D7BEA"/>
    <w:rsid w:val="003D7C5F"/>
    <w:rsid w:val="003D7EC0"/>
    <w:rsid w:val="003D7F1F"/>
    <w:rsid w:val="003D7F59"/>
    <w:rsid w:val="003E037A"/>
    <w:rsid w:val="003E0629"/>
    <w:rsid w:val="003E0666"/>
    <w:rsid w:val="003E06E4"/>
    <w:rsid w:val="003E0706"/>
    <w:rsid w:val="003E07C9"/>
    <w:rsid w:val="003E0851"/>
    <w:rsid w:val="003E088D"/>
    <w:rsid w:val="003E08BA"/>
    <w:rsid w:val="003E08ED"/>
    <w:rsid w:val="003E093A"/>
    <w:rsid w:val="003E0976"/>
    <w:rsid w:val="003E099D"/>
    <w:rsid w:val="003E0AB3"/>
    <w:rsid w:val="003E0ABE"/>
    <w:rsid w:val="003E0CD7"/>
    <w:rsid w:val="003E0CED"/>
    <w:rsid w:val="003E0D0A"/>
    <w:rsid w:val="003E0D0D"/>
    <w:rsid w:val="003E0DC3"/>
    <w:rsid w:val="003E0F52"/>
    <w:rsid w:val="003E1015"/>
    <w:rsid w:val="003E10EA"/>
    <w:rsid w:val="003E1204"/>
    <w:rsid w:val="003E1376"/>
    <w:rsid w:val="003E13C5"/>
    <w:rsid w:val="003E141E"/>
    <w:rsid w:val="003E1471"/>
    <w:rsid w:val="003E14A5"/>
    <w:rsid w:val="003E1912"/>
    <w:rsid w:val="003E1AD5"/>
    <w:rsid w:val="003E1B88"/>
    <w:rsid w:val="003E1C98"/>
    <w:rsid w:val="003E1CCB"/>
    <w:rsid w:val="003E1D63"/>
    <w:rsid w:val="003E1E65"/>
    <w:rsid w:val="003E1F90"/>
    <w:rsid w:val="003E228C"/>
    <w:rsid w:val="003E23DF"/>
    <w:rsid w:val="003E241E"/>
    <w:rsid w:val="003E244F"/>
    <w:rsid w:val="003E24F2"/>
    <w:rsid w:val="003E275B"/>
    <w:rsid w:val="003E27A2"/>
    <w:rsid w:val="003E2854"/>
    <w:rsid w:val="003E29CE"/>
    <w:rsid w:val="003E2A5A"/>
    <w:rsid w:val="003E2B4A"/>
    <w:rsid w:val="003E2BA0"/>
    <w:rsid w:val="003E2CAE"/>
    <w:rsid w:val="003E2D19"/>
    <w:rsid w:val="003E2E06"/>
    <w:rsid w:val="003E2E11"/>
    <w:rsid w:val="003E2E92"/>
    <w:rsid w:val="003E2ED4"/>
    <w:rsid w:val="003E2EED"/>
    <w:rsid w:val="003E2EF7"/>
    <w:rsid w:val="003E2F41"/>
    <w:rsid w:val="003E2F82"/>
    <w:rsid w:val="003E2F8A"/>
    <w:rsid w:val="003E308A"/>
    <w:rsid w:val="003E3161"/>
    <w:rsid w:val="003E321C"/>
    <w:rsid w:val="003E3343"/>
    <w:rsid w:val="003E34D9"/>
    <w:rsid w:val="003E35DE"/>
    <w:rsid w:val="003E35FF"/>
    <w:rsid w:val="003E3633"/>
    <w:rsid w:val="003E36B6"/>
    <w:rsid w:val="003E36B8"/>
    <w:rsid w:val="003E36C0"/>
    <w:rsid w:val="003E3939"/>
    <w:rsid w:val="003E396B"/>
    <w:rsid w:val="003E39CC"/>
    <w:rsid w:val="003E3A9D"/>
    <w:rsid w:val="003E3B3F"/>
    <w:rsid w:val="003E3BB7"/>
    <w:rsid w:val="003E3C2D"/>
    <w:rsid w:val="003E3CBE"/>
    <w:rsid w:val="003E3CDE"/>
    <w:rsid w:val="003E3D6E"/>
    <w:rsid w:val="003E3DD6"/>
    <w:rsid w:val="003E3EE3"/>
    <w:rsid w:val="003E413F"/>
    <w:rsid w:val="003E4305"/>
    <w:rsid w:val="003E437E"/>
    <w:rsid w:val="003E438F"/>
    <w:rsid w:val="003E441A"/>
    <w:rsid w:val="003E4436"/>
    <w:rsid w:val="003E4453"/>
    <w:rsid w:val="003E456A"/>
    <w:rsid w:val="003E4686"/>
    <w:rsid w:val="003E46EF"/>
    <w:rsid w:val="003E491E"/>
    <w:rsid w:val="003E4993"/>
    <w:rsid w:val="003E499E"/>
    <w:rsid w:val="003E4A1F"/>
    <w:rsid w:val="003E4BC0"/>
    <w:rsid w:val="003E4C49"/>
    <w:rsid w:val="003E4C4E"/>
    <w:rsid w:val="003E4D37"/>
    <w:rsid w:val="003E4E3C"/>
    <w:rsid w:val="003E4F23"/>
    <w:rsid w:val="003E4FB8"/>
    <w:rsid w:val="003E4FE0"/>
    <w:rsid w:val="003E5046"/>
    <w:rsid w:val="003E508E"/>
    <w:rsid w:val="003E5206"/>
    <w:rsid w:val="003E5395"/>
    <w:rsid w:val="003E553C"/>
    <w:rsid w:val="003E556D"/>
    <w:rsid w:val="003E572C"/>
    <w:rsid w:val="003E5780"/>
    <w:rsid w:val="003E57A5"/>
    <w:rsid w:val="003E57CB"/>
    <w:rsid w:val="003E58EE"/>
    <w:rsid w:val="003E5ABC"/>
    <w:rsid w:val="003E5CC0"/>
    <w:rsid w:val="003E5D27"/>
    <w:rsid w:val="003E5DE6"/>
    <w:rsid w:val="003E5F8D"/>
    <w:rsid w:val="003E606E"/>
    <w:rsid w:val="003E6312"/>
    <w:rsid w:val="003E6638"/>
    <w:rsid w:val="003E666C"/>
    <w:rsid w:val="003E6670"/>
    <w:rsid w:val="003E687A"/>
    <w:rsid w:val="003E68D3"/>
    <w:rsid w:val="003E6925"/>
    <w:rsid w:val="003E6930"/>
    <w:rsid w:val="003E6A74"/>
    <w:rsid w:val="003E6AE0"/>
    <w:rsid w:val="003E6B3B"/>
    <w:rsid w:val="003E6B4A"/>
    <w:rsid w:val="003E6C8F"/>
    <w:rsid w:val="003E6CBA"/>
    <w:rsid w:val="003E6CDB"/>
    <w:rsid w:val="003E6DBF"/>
    <w:rsid w:val="003E7004"/>
    <w:rsid w:val="003E70DC"/>
    <w:rsid w:val="003E72FE"/>
    <w:rsid w:val="003E736A"/>
    <w:rsid w:val="003E7472"/>
    <w:rsid w:val="003E74CA"/>
    <w:rsid w:val="003E7871"/>
    <w:rsid w:val="003E790E"/>
    <w:rsid w:val="003E7A99"/>
    <w:rsid w:val="003E7B5A"/>
    <w:rsid w:val="003E7D21"/>
    <w:rsid w:val="003E7DAE"/>
    <w:rsid w:val="003E7E08"/>
    <w:rsid w:val="003E7EF2"/>
    <w:rsid w:val="003E7FFA"/>
    <w:rsid w:val="003F00A4"/>
    <w:rsid w:val="003F00C8"/>
    <w:rsid w:val="003F0112"/>
    <w:rsid w:val="003F0543"/>
    <w:rsid w:val="003F0662"/>
    <w:rsid w:val="003F06FC"/>
    <w:rsid w:val="003F072B"/>
    <w:rsid w:val="003F0A71"/>
    <w:rsid w:val="003F0AC8"/>
    <w:rsid w:val="003F0B21"/>
    <w:rsid w:val="003F0B2A"/>
    <w:rsid w:val="003F0B59"/>
    <w:rsid w:val="003F0B9F"/>
    <w:rsid w:val="003F0C4F"/>
    <w:rsid w:val="003F0CBB"/>
    <w:rsid w:val="003F0CC2"/>
    <w:rsid w:val="003F0E1B"/>
    <w:rsid w:val="003F0E58"/>
    <w:rsid w:val="003F0FB6"/>
    <w:rsid w:val="003F1017"/>
    <w:rsid w:val="003F10BE"/>
    <w:rsid w:val="003F1123"/>
    <w:rsid w:val="003F11E1"/>
    <w:rsid w:val="003F126B"/>
    <w:rsid w:val="003F12AD"/>
    <w:rsid w:val="003F136D"/>
    <w:rsid w:val="003F145A"/>
    <w:rsid w:val="003F153B"/>
    <w:rsid w:val="003F1610"/>
    <w:rsid w:val="003F17CD"/>
    <w:rsid w:val="003F1953"/>
    <w:rsid w:val="003F1993"/>
    <w:rsid w:val="003F1B6C"/>
    <w:rsid w:val="003F1C4F"/>
    <w:rsid w:val="003F1D31"/>
    <w:rsid w:val="003F1DE4"/>
    <w:rsid w:val="003F1DF8"/>
    <w:rsid w:val="003F1E4A"/>
    <w:rsid w:val="003F1F2A"/>
    <w:rsid w:val="003F1F49"/>
    <w:rsid w:val="003F1F5C"/>
    <w:rsid w:val="003F1FE5"/>
    <w:rsid w:val="003F2045"/>
    <w:rsid w:val="003F2132"/>
    <w:rsid w:val="003F2294"/>
    <w:rsid w:val="003F23A7"/>
    <w:rsid w:val="003F243B"/>
    <w:rsid w:val="003F2506"/>
    <w:rsid w:val="003F2559"/>
    <w:rsid w:val="003F2644"/>
    <w:rsid w:val="003F274F"/>
    <w:rsid w:val="003F27DE"/>
    <w:rsid w:val="003F27E0"/>
    <w:rsid w:val="003F2862"/>
    <w:rsid w:val="003F2977"/>
    <w:rsid w:val="003F2999"/>
    <w:rsid w:val="003F2CC1"/>
    <w:rsid w:val="003F2D96"/>
    <w:rsid w:val="003F2E32"/>
    <w:rsid w:val="003F2E52"/>
    <w:rsid w:val="003F2F5D"/>
    <w:rsid w:val="003F2F7F"/>
    <w:rsid w:val="003F3006"/>
    <w:rsid w:val="003F3149"/>
    <w:rsid w:val="003F31F4"/>
    <w:rsid w:val="003F3372"/>
    <w:rsid w:val="003F340F"/>
    <w:rsid w:val="003F348A"/>
    <w:rsid w:val="003F351E"/>
    <w:rsid w:val="003F367D"/>
    <w:rsid w:val="003F3688"/>
    <w:rsid w:val="003F36E7"/>
    <w:rsid w:val="003F38F4"/>
    <w:rsid w:val="003F39D6"/>
    <w:rsid w:val="003F3AC7"/>
    <w:rsid w:val="003F3D20"/>
    <w:rsid w:val="003F3D21"/>
    <w:rsid w:val="003F3E70"/>
    <w:rsid w:val="003F401B"/>
    <w:rsid w:val="003F40B9"/>
    <w:rsid w:val="003F40C6"/>
    <w:rsid w:val="003F41E4"/>
    <w:rsid w:val="003F4257"/>
    <w:rsid w:val="003F427B"/>
    <w:rsid w:val="003F42D3"/>
    <w:rsid w:val="003F4301"/>
    <w:rsid w:val="003F45CB"/>
    <w:rsid w:val="003F471D"/>
    <w:rsid w:val="003F4778"/>
    <w:rsid w:val="003F49F8"/>
    <w:rsid w:val="003F4CF4"/>
    <w:rsid w:val="003F4E11"/>
    <w:rsid w:val="003F4E1E"/>
    <w:rsid w:val="003F4EA8"/>
    <w:rsid w:val="003F500F"/>
    <w:rsid w:val="003F50F5"/>
    <w:rsid w:val="003F5140"/>
    <w:rsid w:val="003F5289"/>
    <w:rsid w:val="003F5291"/>
    <w:rsid w:val="003F552B"/>
    <w:rsid w:val="003F5589"/>
    <w:rsid w:val="003F5619"/>
    <w:rsid w:val="003F566C"/>
    <w:rsid w:val="003F56C4"/>
    <w:rsid w:val="003F57AD"/>
    <w:rsid w:val="003F57C3"/>
    <w:rsid w:val="003F5867"/>
    <w:rsid w:val="003F5882"/>
    <w:rsid w:val="003F5900"/>
    <w:rsid w:val="003F5982"/>
    <w:rsid w:val="003F5A3B"/>
    <w:rsid w:val="003F5CD1"/>
    <w:rsid w:val="003F5DDC"/>
    <w:rsid w:val="003F5F5E"/>
    <w:rsid w:val="003F6111"/>
    <w:rsid w:val="003F61A4"/>
    <w:rsid w:val="003F61F5"/>
    <w:rsid w:val="003F6222"/>
    <w:rsid w:val="003F6250"/>
    <w:rsid w:val="003F62EB"/>
    <w:rsid w:val="003F63C4"/>
    <w:rsid w:val="003F663A"/>
    <w:rsid w:val="003F6667"/>
    <w:rsid w:val="003F6732"/>
    <w:rsid w:val="003F6841"/>
    <w:rsid w:val="003F6909"/>
    <w:rsid w:val="003F6AA0"/>
    <w:rsid w:val="003F6AD6"/>
    <w:rsid w:val="003F6AFC"/>
    <w:rsid w:val="003F6D1A"/>
    <w:rsid w:val="003F6DEF"/>
    <w:rsid w:val="003F6DF1"/>
    <w:rsid w:val="003F6E28"/>
    <w:rsid w:val="003F6E87"/>
    <w:rsid w:val="003F7104"/>
    <w:rsid w:val="003F7116"/>
    <w:rsid w:val="003F7207"/>
    <w:rsid w:val="003F72EC"/>
    <w:rsid w:val="003F72F2"/>
    <w:rsid w:val="003F73C1"/>
    <w:rsid w:val="003F748D"/>
    <w:rsid w:val="003F75A0"/>
    <w:rsid w:val="003F7607"/>
    <w:rsid w:val="003F765B"/>
    <w:rsid w:val="003F76B1"/>
    <w:rsid w:val="003F78DF"/>
    <w:rsid w:val="003F79EA"/>
    <w:rsid w:val="003F7AF1"/>
    <w:rsid w:val="003F7B7D"/>
    <w:rsid w:val="003F7BF2"/>
    <w:rsid w:val="003F7D62"/>
    <w:rsid w:val="003F7EDC"/>
    <w:rsid w:val="004000C7"/>
    <w:rsid w:val="00400175"/>
    <w:rsid w:val="00400191"/>
    <w:rsid w:val="00400196"/>
    <w:rsid w:val="00400204"/>
    <w:rsid w:val="004002D3"/>
    <w:rsid w:val="004002F4"/>
    <w:rsid w:val="00400385"/>
    <w:rsid w:val="00400434"/>
    <w:rsid w:val="0040049B"/>
    <w:rsid w:val="004004C4"/>
    <w:rsid w:val="00400553"/>
    <w:rsid w:val="0040059D"/>
    <w:rsid w:val="0040062D"/>
    <w:rsid w:val="00400799"/>
    <w:rsid w:val="0040097A"/>
    <w:rsid w:val="00400B11"/>
    <w:rsid w:val="00400B3B"/>
    <w:rsid w:val="00400C19"/>
    <w:rsid w:val="00400CD0"/>
    <w:rsid w:val="00400EA5"/>
    <w:rsid w:val="00400F77"/>
    <w:rsid w:val="00400FD9"/>
    <w:rsid w:val="00401078"/>
    <w:rsid w:val="004010D0"/>
    <w:rsid w:val="00401197"/>
    <w:rsid w:val="004011E7"/>
    <w:rsid w:val="00401283"/>
    <w:rsid w:val="0040147E"/>
    <w:rsid w:val="004015C6"/>
    <w:rsid w:val="004015CB"/>
    <w:rsid w:val="004015E2"/>
    <w:rsid w:val="00401737"/>
    <w:rsid w:val="0040180D"/>
    <w:rsid w:val="004019CA"/>
    <w:rsid w:val="00401A10"/>
    <w:rsid w:val="00401ADD"/>
    <w:rsid w:val="00401CC9"/>
    <w:rsid w:val="00401D2F"/>
    <w:rsid w:val="00401D49"/>
    <w:rsid w:val="00401E22"/>
    <w:rsid w:val="00401FDA"/>
    <w:rsid w:val="0040201E"/>
    <w:rsid w:val="00402213"/>
    <w:rsid w:val="0040230C"/>
    <w:rsid w:val="0040235B"/>
    <w:rsid w:val="00402395"/>
    <w:rsid w:val="004024A2"/>
    <w:rsid w:val="004024F4"/>
    <w:rsid w:val="0040260F"/>
    <w:rsid w:val="00402695"/>
    <w:rsid w:val="0040275B"/>
    <w:rsid w:val="0040282C"/>
    <w:rsid w:val="0040289A"/>
    <w:rsid w:val="00402930"/>
    <w:rsid w:val="00402A19"/>
    <w:rsid w:val="00402C1D"/>
    <w:rsid w:val="00402C3C"/>
    <w:rsid w:val="00402C72"/>
    <w:rsid w:val="00402C8B"/>
    <w:rsid w:val="00402ECF"/>
    <w:rsid w:val="00403004"/>
    <w:rsid w:val="00403022"/>
    <w:rsid w:val="00403062"/>
    <w:rsid w:val="0040310D"/>
    <w:rsid w:val="00403149"/>
    <w:rsid w:val="00403169"/>
    <w:rsid w:val="00403225"/>
    <w:rsid w:val="0040327C"/>
    <w:rsid w:val="00403337"/>
    <w:rsid w:val="004033B3"/>
    <w:rsid w:val="00403447"/>
    <w:rsid w:val="00403573"/>
    <w:rsid w:val="004038B6"/>
    <w:rsid w:val="004038BD"/>
    <w:rsid w:val="00403907"/>
    <w:rsid w:val="00403AE3"/>
    <w:rsid w:val="00403BBD"/>
    <w:rsid w:val="00403D03"/>
    <w:rsid w:val="00403DA2"/>
    <w:rsid w:val="004040FD"/>
    <w:rsid w:val="00404285"/>
    <w:rsid w:val="00404293"/>
    <w:rsid w:val="00404297"/>
    <w:rsid w:val="00404369"/>
    <w:rsid w:val="00404531"/>
    <w:rsid w:val="004046D5"/>
    <w:rsid w:val="004048C7"/>
    <w:rsid w:val="00404A6C"/>
    <w:rsid w:val="00404AF8"/>
    <w:rsid w:val="00404C3E"/>
    <w:rsid w:val="00404C87"/>
    <w:rsid w:val="00404C88"/>
    <w:rsid w:val="00404D10"/>
    <w:rsid w:val="00404DC0"/>
    <w:rsid w:val="00404DC9"/>
    <w:rsid w:val="00404E6D"/>
    <w:rsid w:val="004050CF"/>
    <w:rsid w:val="0040513F"/>
    <w:rsid w:val="004051A7"/>
    <w:rsid w:val="00405214"/>
    <w:rsid w:val="004052A0"/>
    <w:rsid w:val="00405311"/>
    <w:rsid w:val="0040539C"/>
    <w:rsid w:val="004054BD"/>
    <w:rsid w:val="00405519"/>
    <w:rsid w:val="004055CD"/>
    <w:rsid w:val="004055E4"/>
    <w:rsid w:val="004055EA"/>
    <w:rsid w:val="0040565A"/>
    <w:rsid w:val="004056CC"/>
    <w:rsid w:val="004057BD"/>
    <w:rsid w:val="004057D7"/>
    <w:rsid w:val="00405849"/>
    <w:rsid w:val="004058E3"/>
    <w:rsid w:val="004059A2"/>
    <w:rsid w:val="00405C35"/>
    <w:rsid w:val="00405C7D"/>
    <w:rsid w:val="00405CD2"/>
    <w:rsid w:val="00405E2D"/>
    <w:rsid w:val="00405E42"/>
    <w:rsid w:val="004060E2"/>
    <w:rsid w:val="004061EE"/>
    <w:rsid w:val="00406335"/>
    <w:rsid w:val="0040640B"/>
    <w:rsid w:val="004064B0"/>
    <w:rsid w:val="004064E5"/>
    <w:rsid w:val="004064EE"/>
    <w:rsid w:val="004065CB"/>
    <w:rsid w:val="00406787"/>
    <w:rsid w:val="004067EB"/>
    <w:rsid w:val="004068D3"/>
    <w:rsid w:val="0040691E"/>
    <w:rsid w:val="00406A0C"/>
    <w:rsid w:val="00406B77"/>
    <w:rsid w:val="00406BBC"/>
    <w:rsid w:val="00406C57"/>
    <w:rsid w:val="00406D1C"/>
    <w:rsid w:val="0040700F"/>
    <w:rsid w:val="00407245"/>
    <w:rsid w:val="0040735C"/>
    <w:rsid w:val="0040748B"/>
    <w:rsid w:val="004074D1"/>
    <w:rsid w:val="004074D8"/>
    <w:rsid w:val="00407602"/>
    <w:rsid w:val="00407779"/>
    <w:rsid w:val="00407899"/>
    <w:rsid w:val="00407904"/>
    <w:rsid w:val="00407B1D"/>
    <w:rsid w:val="00407C4D"/>
    <w:rsid w:val="00407D10"/>
    <w:rsid w:val="00407D52"/>
    <w:rsid w:val="00407DAB"/>
    <w:rsid w:val="00407E31"/>
    <w:rsid w:val="00407FB7"/>
    <w:rsid w:val="00407FC9"/>
    <w:rsid w:val="0041002B"/>
    <w:rsid w:val="0041003C"/>
    <w:rsid w:val="00410147"/>
    <w:rsid w:val="0041016A"/>
    <w:rsid w:val="00410268"/>
    <w:rsid w:val="0041029F"/>
    <w:rsid w:val="004102E9"/>
    <w:rsid w:val="004102F3"/>
    <w:rsid w:val="00410338"/>
    <w:rsid w:val="0041036E"/>
    <w:rsid w:val="00410407"/>
    <w:rsid w:val="0041050A"/>
    <w:rsid w:val="0041050C"/>
    <w:rsid w:val="004106D8"/>
    <w:rsid w:val="00410807"/>
    <w:rsid w:val="00410875"/>
    <w:rsid w:val="004108BE"/>
    <w:rsid w:val="004108E5"/>
    <w:rsid w:val="004108F1"/>
    <w:rsid w:val="0041091F"/>
    <w:rsid w:val="00410ACF"/>
    <w:rsid w:val="00410B45"/>
    <w:rsid w:val="00410B8D"/>
    <w:rsid w:val="00410CF1"/>
    <w:rsid w:val="00410D01"/>
    <w:rsid w:val="00410DD1"/>
    <w:rsid w:val="00410F26"/>
    <w:rsid w:val="004111CC"/>
    <w:rsid w:val="004112FC"/>
    <w:rsid w:val="004113DB"/>
    <w:rsid w:val="0041142E"/>
    <w:rsid w:val="004114A0"/>
    <w:rsid w:val="004114DA"/>
    <w:rsid w:val="004116C2"/>
    <w:rsid w:val="004116C6"/>
    <w:rsid w:val="00411732"/>
    <w:rsid w:val="004118E4"/>
    <w:rsid w:val="004119E9"/>
    <w:rsid w:val="00411A45"/>
    <w:rsid w:val="00411A6A"/>
    <w:rsid w:val="00411AD3"/>
    <w:rsid w:val="00411D32"/>
    <w:rsid w:val="00411FB5"/>
    <w:rsid w:val="004120AE"/>
    <w:rsid w:val="00412126"/>
    <w:rsid w:val="0041214A"/>
    <w:rsid w:val="004121AB"/>
    <w:rsid w:val="004121E1"/>
    <w:rsid w:val="004121E9"/>
    <w:rsid w:val="00412258"/>
    <w:rsid w:val="00412285"/>
    <w:rsid w:val="004122C3"/>
    <w:rsid w:val="00412383"/>
    <w:rsid w:val="0041242C"/>
    <w:rsid w:val="0041246C"/>
    <w:rsid w:val="004124C1"/>
    <w:rsid w:val="004126E6"/>
    <w:rsid w:val="0041275B"/>
    <w:rsid w:val="00412778"/>
    <w:rsid w:val="004127BE"/>
    <w:rsid w:val="004127DA"/>
    <w:rsid w:val="00412891"/>
    <w:rsid w:val="0041296A"/>
    <w:rsid w:val="004129C6"/>
    <w:rsid w:val="00412B04"/>
    <w:rsid w:val="00412B42"/>
    <w:rsid w:val="00412BD9"/>
    <w:rsid w:val="00412C30"/>
    <w:rsid w:val="00412C66"/>
    <w:rsid w:val="00412C6E"/>
    <w:rsid w:val="00412CE8"/>
    <w:rsid w:val="00412D93"/>
    <w:rsid w:val="00412DA7"/>
    <w:rsid w:val="00412DCD"/>
    <w:rsid w:val="00412DE9"/>
    <w:rsid w:val="00412EF4"/>
    <w:rsid w:val="004130D0"/>
    <w:rsid w:val="004130F5"/>
    <w:rsid w:val="00413122"/>
    <w:rsid w:val="00413230"/>
    <w:rsid w:val="00413295"/>
    <w:rsid w:val="004132BC"/>
    <w:rsid w:val="00413359"/>
    <w:rsid w:val="0041345B"/>
    <w:rsid w:val="00413529"/>
    <w:rsid w:val="00413666"/>
    <w:rsid w:val="0041368D"/>
    <w:rsid w:val="004136A5"/>
    <w:rsid w:val="0041377E"/>
    <w:rsid w:val="0041382F"/>
    <w:rsid w:val="004138A2"/>
    <w:rsid w:val="004138E6"/>
    <w:rsid w:val="0041394C"/>
    <w:rsid w:val="00413965"/>
    <w:rsid w:val="00413A52"/>
    <w:rsid w:val="00413B83"/>
    <w:rsid w:val="00413BCC"/>
    <w:rsid w:val="00413C35"/>
    <w:rsid w:val="00413C6E"/>
    <w:rsid w:val="00413C98"/>
    <w:rsid w:val="00413DA7"/>
    <w:rsid w:val="00413E97"/>
    <w:rsid w:val="00413F31"/>
    <w:rsid w:val="00414082"/>
    <w:rsid w:val="00414135"/>
    <w:rsid w:val="00414187"/>
    <w:rsid w:val="00414227"/>
    <w:rsid w:val="00414259"/>
    <w:rsid w:val="0041427C"/>
    <w:rsid w:val="00414317"/>
    <w:rsid w:val="004143C1"/>
    <w:rsid w:val="00414453"/>
    <w:rsid w:val="004144E0"/>
    <w:rsid w:val="004147D6"/>
    <w:rsid w:val="00414827"/>
    <w:rsid w:val="00414A12"/>
    <w:rsid w:val="00414A47"/>
    <w:rsid w:val="00414ABD"/>
    <w:rsid w:val="00414B78"/>
    <w:rsid w:val="00414BB5"/>
    <w:rsid w:val="00414D3C"/>
    <w:rsid w:val="00414D82"/>
    <w:rsid w:val="00414E24"/>
    <w:rsid w:val="00414E54"/>
    <w:rsid w:val="00414EB1"/>
    <w:rsid w:val="00414FC2"/>
    <w:rsid w:val="004150CF"/>
    <w:rsid w:val="004151C2"/>
    <w:rsid w:val="004152B7"/>
    <w:rsid w:val="004152DA"/>
    <w:rsid w:val="004152FE"/>
    <w:rsid w:val="0041538E"/>
    <w:rsid w:val="004153D5"/>
    <w:rsid w:val="004153DB"/>
    <w:rsid w:val="004155F5"/>
    <w:rsid w:val="004157F5"/>
    <w:rsid w:val="00415869"/>
    <w:rsid w:val="004158AD"/>
    <w:rsid w:val="00415AE7"/>
    <w:rsid w:val="00415B17"/>
    <w:rsid w:val="00415D39"/>
    <w:rsid w:val="00415E31"/>
    <w:rsid w:val="00415E96"/>
    <w:rsid w:val="00415EC6"/>
    <w:rsid w:val="00415EFC"/>
    <w:rsid w:val="00415FD3"/>
    <w:rsid w:val="00416000"/>
    <w:rsid w:val="004162BB"/>
    <w:rsid w:val="004162ED"/>
    <w:rsid w:val="004163A4"/>
    <w:rsid w:val="00416448"/>
    <w:rsid w:val="0041650F"/>
    <w:rsid w:val="004166DA"/>
    <w:rsid w:val="004167FF"/>
    <w:rsid w:val="004168B9"/>
    <w:rsid w:val="00416903"/>
    <w:rsid w:val="00416966"/>
    <w:rsid w:val="00416A8A"/>
    <w:rsid w:val="00416AE5"/>
    <w:rsid w:val="00416BDB"/>
    <w:rsid w:val="00416C87"/>
    <w:rsid w:val="00416DD8"/>
    <w:rsid w:val="00416E3A"/>
    <w:rsid w:val="00416EE3"/>
    <w:rsid w:val="00416F4A"/>
    <w:rsid w:val="00416FF9"/>
    <w:rsid w:val="004172C8"/>
    <w:rsid w:val="004172DF"/>
    <w:rsid w:val="004173AE"/>
    <w:rsid w:val="004173AF"/>
    <w:rsid w:val="004174A4"/>
    <w:rsid w:val="00417577"/>
    <w:rsid w:val="004175A6"/>
    <w:rsid w:val="00417807"/>
    <w:rsid w:val="0041781B"/>
    <w:rsid w:val="0041783D"/>
    <w:rsid w:val="00417ADD"/>
    <w:rsid w:val="00417C48"/>
    <w:rsid w:val="00417D2A"/>
    <w:rsid w:val="00417D4C"/>
    <w:rsid w:val="0042000C"/>
    <w:rsid w:val="0042015C"/>
    <w:rsid w:val="004201B7"/>
    <w:rsid w:val="004201E0"/>
    <w:rsid w:val="004201E6"/>
    <w:rsid w:val="004202B2"/>
    <w:rsid w:val="004202D9"/>
    <w:rsid w:val="00420454"/>
    <w:rsid w:val="0042046A"/>
    <w:rsid w:val="0042050E"/>
    <w:rsid w:val="0042052A"/>
    <w:rsid w:val="004205A0"/>
    <w:rsid w:val="00420605"/>
    <w:rsid w:val="00420692"/>
    <w:rsid w:val="0042072F"/>
    <w:rsid w:val="004207E9"/>
    <w:rsid w:val="00420825"/>
    <w:rsid w:val="004208DA"/>
    <w:rsid w:val="00420A1F"/>
    <w:rsid w:val="00420C63"/>
    <w:rsid w:val="00420D0E"/>
    <w:rsid w:val="00420EB5"/>
    <w:rsid w:val="00420F64"/>
    <w:rsid w:val="0042100B"/>
    <w:rsid w:val="004211D7"/>
    <w:rsid w:val="0042137F"/>
    <w:rsid w:val="0042142F"/>
    <w:rsid w:val="004214CE"/>
    <w:rsid w:val="004215B5"/>
    <w:rsid w:val="0042162C"/>
    <w:rsid w:val="004216AE"/>
    <w:rsid w:val="0042174B"/>
    <w:rsid w:val="0042183C"/>
    <w:rsid w:val="0042185D"/>
    <w:rsid w:val="004219CC"/>
    <w:rsid w:val="00421A2B"/>
    <w:rsid w:val="00421BE0"/>
    <w:rsid w:val="00421DF1"/>
    <w:rsid w:val="00421DF9"/>
    <w:rsid w:val="00421E9B"/>
    <w:rsid w:val="00421F9F"/>
    <w:rsid w:val="00421FA3"/>
    <w:rsid w:val="00421FA8"/>
    <w:rsid w:val="00421FFE"/>
    <w:rsid w:val="004220AB"/>
    <w:rsid w:val="00422126"/>
    <w:rsid w:val="0042259C"/>
    <w:rsid w:val="00422665"/>
    <w:rsid w:val="00422677"/>
    <w:rsid w:val="00422745"/>
    <w:rsid w:val="00422779"/>
    <w:rsid w:val="0042290C"/>
    <w:rsid w:val="0042292A"/>
    <w:rsid w:val="00422956"/>
    <w:rsid w:val="00422B12"/>
    <w:rsid w:val="00422B6F"/>
    <w:rsid w:val="00422C2F"/>
    <w:rsid w:val="00422C43"/>
    <w:rsid w:val="00422CF8"/>
    <w:rsid w:val="00422D0D"/>
    <w:rsid w:val="00422DE3"/>
    <w:rsid w:val="00422F09"/>
    <w:rsid w:val="00423052"/>
    <w:rsid w:val="004230DE"/>
    <w:rsid w:val="00423178"/>
    <w:rsid w:val="0042336D"/>
    <w:rsid w:val="0042338B"/>
    <w:rsid w:val="00423609"/>
    <w:rsid w:val="0042363F"/>
    <w:rsid w:val="00423697"/>
    <w:rsid w:val="00423749"/>
    <w:rsid w:val="00423B61"/>
    <w:rsid w:val="00423C44"/>
    <w:rsid w:val="00423D0E"/>
    <w:rsid w:val="00423D32"/>
    <w:rsid w:val="00423D65"/>
    <w:rsid w:val="00423D70"/>
    <w:rsid w:val="00423D88"/>
    <w:rsid w:val="00423DC1"/>
    <w:rsid w:val="00423EDD"/>
    <w:rsid w:val="0042402E"/>
    <w:rsid w:val="0042425E"/>
    <w:rsid w:val="00424317"/>
    <w:rsid w:val="00424383"/>
    <w:rsid w:val="00424398"/>
    <w:rsid w:val="004243D3"/>
    <w:rsid w:val="004244CF"/>
    <w:rsid w:val="0042473C"/>
    <w:rsid w:val="00424A2B"/>
    <w:rsid w:val="00424C67"/>
    <w:rsid w:val="00424EE0"/>
    <w:rsid w:val="00424FD7"/>
    <w:rsid w:val="004250ED"/>
    <w:rsid w:val="00425122"/>
    <w:rsid w:val="00425191"/>
    <w:rsid w:val="00425199"/>
    <w:rsid w:val="004252CD"/>
    <w:rsid w:val="00425463"/>
    <w:rsid w:val="00425479"/>
    <w:rsid w:val="004254B3"/>
    <w:rsid w:val="0042555F"/>
    <w:rsid w:val="00425562"/>
    <w:rsid w:val="004256B6"/>
    <w:rsid w:val="004256EA"/>
    <w:rsid w:val="004257EB"/>
    <w:rsid w:val="004259C4"/>
    <w:rsid w:val="00425AD7"/>
    <w:rsid w:val="00425BFC"/>
    <w:rsid w:val="00425E6E"/>
    <w:rsid w:val="00425E8B"/>
    <w:rsid w:val="00426285"/>
    <w:rsid w:val="004262FC"/>
    <w:rsid w:val="004263C8"/>
    <w:rsid w:val="00426709"/>
    <w:rsid w:val="00426774"/>
    <w:rsid w:val="0042684A"/>
    <w:rsid w:val="00426881"/>
    <w:rsid w:val="004268B8"/>
    <w:rsid w:val="004268E1"/>
    <w:rsid w:val="00426A9F"/>
    <w:rsid w:val="00426BFC"/>
    <w:rsid w:val="00426C10"/>
    <w:rsid w:val="00426DEF"/>
    <w:rsid w:val="00426FB5"/>
    <w:rsid w:val="00427038"/>
    <w:rsid w:val="0042711F"/>
    <w:rsid w:val="00427183"/>
    <w:rsid w:val="004272FD"/>
    <w:rsid w:val="004274D7"/>
    <w:rsid w:val="0042759F"/>
    <w:rsid w:val="00427816"/>
    <w:rsid w:val="0042783C"/>
    <w:rsid w:val="00427852"/>
    <w:rsid w:val="00427867"/>
    <w:rsid w:val="00427899"/>
    <w:rsid w:val="00427916"/>
    <w:rsid w:val="00427921"/>
    <w:rsid w:val="004279A0"/>
    <w:rsid w:val="00427A4E"/>
    <w:rsid w:val="00427A56"/>
    <w:rsid w:val="00427A5C"/>
    <w:rsid w:val="00427B8B"/>
    <w:rsid w:val="00427C9D"/>
    <w:rsid w:val="00427CA1"/>
    <w:rsid w:val="00427ED4"/>
    <w:rsid w:val="0043019B"/>
    <w:rsid w:val="004302B0"/>
    <w:rsid w:val="00430362"/>
    <w:rsid w:val="0043036F"/>
    <w:rsid w:val="0043048B"/>
    <w:rsid w:val="0043049E"/>
    <w:rsid w:val="00430579"/>
    <w:rsid w:val="00430722"/>
    <w:rsid w:val="004307DE"/>
    <w:rsid w:val="00430840"/>
    <w:rsid w:val="004309E3"/>
    <w:rsid w:val="00430A40"/>
    <w:rsid w:val="00430AED"/>
    <w:rsid w:val="00430B1C"/>
    <w:rsid w:val="00430BAE"/>
    <w:rsid w:val="00430BF4"/>
    <w:rsid w:val="00430DA6"/>
    <w:rsid w:val="00430E6B"/>
    <w:rsid w:val="00430F88"/>
    <w:rsid w:val="00431038"/>
    <w:rsid w:val="00431164"/>
    <w:rsid w:val="00431175"/>
    <w:rsid w:val="004315AC"/>
    <w:rsid w:val="004315D6"/>
    <w:rsid w:val="00431749"/>
    <w:rsid w:val="00431771"/>
    <w:rsid w:val="004317E3"/>
    <w:rsid w:val="00431878"/>
    <w:rsid w:val="00431910"/>
    <w:rsid w:val="00431988"/>
    <w:rsid w:val="004319C7"/>
    <w:rsid w:val="00431BDC"/>
    <w:rsid w:val="00431E56"/>
    <w:rsid w:val="00431E63"/>
    <w:rsid w:val="00431F0B"/>
    <w:rsid w:val="00431F8F"/>
    <w:rsid w:val="00431FFA"/>
    <w:rsid w:val="00432285"/>
    <w:rsid w:val="00432289"/>
    <w:rsid w:val="00432345"/>
    <w:rsid w:val="0043236E"/>
    <w:rsid w:val="004323B9"/>
    <w:rsid w:val="00432436"/>
    <w:rsid w:val="00432459"/>
    <w:rsid w:val="0043248B"/>
    <w:rsid w:val="00432509"/>
    <w:rsid w:val="00432677"/>
    <w:rsid w:val="004326BF"/>
    <w:rsid w:val="00432725"/>
    <w:rsid w:val="0043286A"/>
    <w:rsid w:val="0043295C"/>
    <w:rsid w:val="00432A75"/>
    <w:rsid w:val="00432AC1"/>
    <w:rsid w:val="00432AD4"/>
    <w:rsid w:val="00432BE5"/>
    <w:rsid w:val="00432C14"/>
    <w:rsid w:val="00432C3A"/>
    <w:rsid w:val="0043301B"/>
    <w:rsid w:val="004330F3"/>
    <w:rsid w:val="00433119"/>
    <w:rsid w:val="00433187"/>
    <w:rsid w:val="00433331"/>
    <w:rsid w:val="004333A5"/>
    <w:rsid w:val="004334E9"/>
    <w:rsid w:val="0043352E"/>
    <w:rsid w:val="00433569"/>
    <w:rsid w:val="00433706"/>
    <w:rsid w:val="00433848"/>
    <w:rsid w:val="0043385E"/>
    <w:rsid w:val="004338BE"/>
    <w:rsid w:val="004339F7"/>
    <w:rsid w:val="00433AE3"/>
    <w:rsid w:val="00433B5B"/>
    <w:rsid w:val="00433C16"/>
    <w:rsid w:val="00433D3F"/>
    <w:rsid w:val="00433D9E"/>
    <w:rsid w:val="00433E34"/>
    <w:rsid w:val="00433E92"/>
    <w:rsid w:val="00433E9A"/>
    <w:rsid w:val="00433F7A"/>
    <w:rsid w:val="00433FB9"/>
    <w:rsid w:val="00433FC4"/>
    <w:rsid w:val="00433FDD"/>
    <w:rsid w:val="0043410A"/>
    <w:rsid w:val="00434143"/>
    <w:rsid w:val="004342DD"/>
    <w:rsid w:val="004343F9"/>
    <w:rsid w:val="00434427"/>
    <w:rsid w:val="00434533"/>
    <w:rsid w:val="00434584"/>
    <w:rsid w:val="004345C1"/>
    <w:rsid w:val="00434746"/>
    <w:rsid w:val="00434794"/>
    <w:rsid w:val="00434851"/>
    <w:rsid w:val="004348A8"/>
    <w:rsid w:val="004348D8"/>
    <w:rsid w:val="00434B8C"/>
    <w:rsid w:val="00434CB3"/>
    <w:rsid w:val="00434CD9"/>
    <w:rsid w:val="00434CEC"/>
    <w:rsid w:val="00434DC0"/>
    <w:rsid w:val="00434E13"/>
    <w:rsid w:val="00434E16"/>
    <w:rsid w:val="00434EBE"/>
    <w:rsid w:val="00434F8E"/>
    <w:rsid w:val="004350B0"/>
    <w:rsid w:val="004350D4"/>
    <w:rsid w:val="00435144"/>
    <w:rsid w:val="0043515E"/>
    <w:rsid w:val="00435182"/>
    <w:rsid w:val="004351E3"/>
    <w:rsid w:val="00435265"/>
    <w:rsid w:val="0043527D"/>
    <w:rsid w:val="004352B6"/>
    <w:rsid w:val="004353FF"/>
    <w:rsid w:val="0043541A"/>
    <w:rsid w:val="0043559F"/>
    <w:rsid w:val="00435779"/>
    <w:rsid w:val="004357B6"/>
    <w:rsid w:val="00435883"/>
    <w:rsid w:val="0043589B"/>
    <w:rsid w:val="004359C1"/>
    <w:rsid w:val="00435A0E"/>
    <w:rsid w:val="00435A34"/>
    <w:rsid w:val="00435BC9"/>
    <w:rsid w:val="00435EAB"/>
    <w:rsid w:val="00435EE6"/>
    <w:rsid w:val="00435F64"/>
    <w:rsid w:val="00435F9E"/>
    <w:rsid w:val="00436290"/>
    <w:rsid w:val="004362F9"/>
    <w:rsid w:val="00436407"/>
    <w:rsid w:val="00436462"/>
    <w:rsid w:val="004366FB"/>
    <w:rsid w:val="00436760"/>
    <w:rsid w:val="00436A2A"/>
    <w:rsid w:val="00436A76"/>
    <w:rsid w:val="00436B18"/>
    <w:rsid w:val="00436B48"/>
    <w:rsid w:val="00436B6B"/>
    <w:rsid w:val="00436E25"/>
    <w:rsid w:val="00436E5C"/>
    <w:rsid w:val="00436E7D"/>
    <w:rsid w:val="00436F52"/>
    <w:rsid w:val="00436F86"/>
    <w:rsid w:val="004371B6"/>
    <w:rsid w:val="00437213"/>
    <w:rsid w:val="00437313"/>
    <w:rsid w:val="0043752C"/>
    <w:rsid w:val="0043756B"/>
    <w:rsid w:val="004375B0"/>
    <w:rsid w:val="00437766"/>
    <w:rsid w:val="0043787A"/>
    <w:rsid w:val="00437885"/>
    <w:rsid w:val="004378A0"/>
    <w:rsid w:val="00437B87"/>
    <w:rsid w:val="00437BFD"/>
    <w:rsid w:val="00437F02"/>
    <w:rsid w:val="00437F20"/>
    <w:rsid w:val="00437F66"/>
    <w:rsid w:val="0044001B"/>
    <w:rsid w:val="004401A8"/>
    <w:rsid w:val="00440475"/>
    <w:rsid w:val="004404E9"/>
    <w:rsid w:val="004404F8"/>
    <w:rsid w:val="00440530"/>
    <w:rsid w:val="004405BD"/>
    <w:rsid w:val="00440626"/>
    <w:rsid w:val="00440708"/>
    <w:rsid w:val="004409C7"/>
    <w:rsid w:val="00440ACF"/>
    <w:rsid w:val="00440B2B"/>
    <w:rsid w:val="00440D59"/>
    <w:rsid w:val="00440D9C"/>
    <w:rsid w:val="00440DE4"/>
    <w:rsid w:val="00440E96"/>
    <w:rsid w:val="00440F02"/>
    <w:rsid w:val="00440F53"/>
    <w:rsid w:val="00440FB2"/>
    <w:rsid w:val="00441027"/>
    <w:rsid w:val="00441069"/>
    <w:rsid w:val="004411EB"/>
    <w:rsid w:val="00441416"/>
    <w:rsid w:val="00441505"/>
    <w:rsid w:val="00441522"/>
    <w:rsid w:val="0044162B"/>
    <w:rsid w:val="0044168E"/>
    <w:rsid w:val="004416E1"/>
    <w:rsid w:val="00441705"/>
    <w:rsid w:val="00441854"/>
    <w:rsid w:val="004419A6"/>
    <w:rsid w:val="004419C3"/>
    <w:rsid w:val="004419D6"/>
    <w:rsid w:val="004419E0"/>
    <w:rsid w:val="00441AE9"/>
    <w:rsid w:val="00441C5C"/>
    <w:rsid w:val="00441C77"/>
    <w:rsid w:val="00441CF1"/>
    <w:rsid w:val="00441CF9"/>
    <w:rsid w:val="00441D03"/>
    <w:rsid w:val="00441D69"/>
    <w:rsid w:val="00441DEA"/>
    <w:rsid w:val="00441E82"/>
    <w:rsid w:val="00441E96"/>
    <w:rsid w:val="00441EF3"/>
    <w:rsid w:val="00442022"/>
    <w:rsid w:val="004421A3"/>
    <w:rsid w:val="00442289"/>
    <w:rsid w:val="0044231D"/>
    <w:rsid w:val="00442495"/>
    <w:rsid w:val="00442502"/>
    <w:rsid w:val="004426FC"/>
    <w:rsid w:val="00442779"/>
    <w:rsid w:val="004427EA"/>
    <w:rsid w:val="004427EC"/>
    <w:rsid w:val="00442816"/>
    <w:rsid w:val="00442821"/>
    <w:rsid w:val="004428F8"/>
    <w:rsid w:val="00442AA0"/>
    <w:rsid w:val="00442AC2"/>
    <w:rsid w:val="00442B60"/>
    <w:rsid w:val="00442BFB"/>
    <w:rsid w:val="00442CAA"/>
    <w:rsid w:val="00442EC8"/>
    <w:rsid w:val="00442F9F"/>
    <w:rsid w:val="00443014"/>
    <w:rsid w:val="0044331C"/>
    <w:rsid w:val="004433B4"/>
    <w:rsid w:val="004433F8"/>
    <w:rsid w:val="00443400"/>
    <w:rsid w:val="0044340B"/>
    <w:rsid w:val="0044355A"/>
    <w:rsid w:val="004437A1"/>
    <w:rsid w:val="004437B3"/>
    <w:rsid w:val="00443826"/>
    <w:rsid w:val="004438C5"/>
    <w:rsid w:val="004439C6"/>
    <w:rsid w:val="00443A7A"/>
    <w:rsid w:val="00443AA8"/>
    <w:rsid w:val="00443B8D"/>
    <w:rsid w:val="00443BF3"/>
    <w:rsid w:val="00443CA8"/>
    <w:rsid w:val="004441DB"/>
    <w:rsid w:val="004442BB"/>
    <w:rsid w:val="0044431E"/>
    <w:rsid w:val="00444399"/>
    <w:rsid w:val="004444E6"/>
    <w:rsid w:val="00444585"/>
    <w:rsid w:val="004445A1"/>
    <w:rsid w:val="00444617"/>
    <w:rsid w:val="004446F9"/>
    <w:rsid w:val="004447E6"/>
    <w:rsid w:val="00444841"/>
    <w:rsid w:val="0044487F"/>
    <w:rsid w:val="004448BC"/>
    <w:rsid w:val="00444954"/>
    <w:rsid w:val="00444B04"/>
    <w:rsid w:val="00444C7E"/>
    <w:rsid w:val="00444DAA"/>
    <w:rsid w:val="00444FBE"/>
    <w:rsid w:val="00445009"/>
    <w:rsid w:val="00445061"/>
    <w:rsid w:val="0044514D"/>
    <w:rsid w:val="00445197"/>
    <w:rsid w:val="00445618"/>
    <w:rsid w:val="00445688"/>
    <w:rsid w:val="00445690"/>
    <w:rsid w:val="004456BA"/>
    <w:rsid w:val="004456E1"/>
    <w:rsid w:val="0044584B"/>
    <w:rsid w:val="00445867"/>
    <w:rsid w:val="00445912"/>
    <w:rsid w:val="004459CD"/>
    <w:rsid w:val="00445B60"/>
    <w:rsid w:val="00445BA0"/>
    <w:rsid w:val="00445C74"/>
    <w:rsid w:val="00445E09"/>
    <w:rsid w:val="004460FD"/>
    <w:rsid w:val="004461BE"/>
    <w:rsid w:val="00446309"/>
    <w:rsid w:val="00446317"/>
    <w:rsid w:val="0044634A"/>
    <w:rsid w:val="0044639F"/>
    <w:rsid w:val="00446517"/>
    <w:rsid w:val="00446585"/>
    <w:rsid w:val="004465B2"/>
    <w:rsid w:val="004465CD"/>
    <w:rsid w:val="004468F0"/>
    <w:rsid w:val="00446986"/>
    <w:rsid w:val="00446A39"/>
    <w:rsid w:val="00446A49"/>
    <w:rsid w:val="00446BCD"/>
    <w:rsid w:val="00446C57"/>
    <w:rsid w:val="00446CBB"/>
    <w:rsid w:val="00446F0F"/>
    <w:rsid w:val="00446F5C"/>
    <w:rsid w:val="00447001"/>
    <w:rsid w:val="00447075"/>
    <w:rsid w:val="004473A8"/>
    <w:rsid w:val="004474E4"/>
    <w:rsid w:val="004474E9"/>
    <w:rsid w:val="0044758F"/>
    <w:rsid w:val="0044764F"/>
    <w:rsid w:val="004477AF"/>
    <w:rsid w:val="00447938"/>
    <w:rsid w:val="0044795B"/>
    <w:rsid w:val="00447A15"/>
    <w:rsid w:val="00447B23"/>
    <w:rsid w:val="00447CD4"/>
    <w:rsid w:val="00447D77"/>
    <w:rsid w:val="00447DF0"/>
    <w:rsid w:val="00447E07"/>
    <w:rsid w:val="00447E4B"/>
    <w:rsid w:val="00447E85"/>
    <w:rsid w:val="00447EDC"/>
    <w:rsid w:val="00450098"/>
    <w:rsid w:val="00450161"/>
    <w:rsid w:val="00450287"/>
    <w:rsid w:val="00450293"/>
    <w:rsid w:val="004502DD"/>
    <w:rsid w:val="004504C4"/>
    <w:rsid w:val="004504DD"/>
    <w:rsid w:val="004504EB"/>
    <w:rsid w:val="004506C5"/>
    <w:rsid w:val="00450839"/>
    <w:rsid w:val="00450856"/>
    <w:rsid w:val="004508C8"/>
    <w:rsid w:val="004508E6"/>
    <w:rsid w:val="00450932"/>
    <w:rsid w:val="0045094A"/>
    <w:rsid w:val="004509C9"/>
    <w:rsid w:val="004509FD"/>
    <w:rsid w:val="00450C47"/>
    <w:rsid w:val="00450E2E"/>
    <w:rsid w:val="00450E46"/>
    <w:rsid w:val="00450E56"/>
    <w:rsid w:val="00450EF7"/>
    <w:rsid w:val="00450F5A"/>
    <w:rsid w:val="0045103C"/>
    <w:rsid w:val="004510D3"/>
    <w:rsid w:val="004510FE"/>
    <w:rsid w:val="0045121B"/>
    <w:rsid w:val="00451239"/>
    <w:rsid w:val="00451384"/>
    <w:rsid w:val="0045141A"/>
    <w:rsid w:val="0045146D"/>
    <w:rsid w:val="00451495"/>
    <w:rsid w:val="004514E1"/>
    <w:rsid w:val="00451712"/>
    <w:rsid w:val="00451839"/>
    <w:rsid w:val="004518B1"/>
    <w:rsid w:val="004519BC"/>
    <w:rsid w:val="004519F0"/>
    <w:rsid w:val="00451B1B"/>
    <w:rsid w:val="00451B28"/>
    <w:rsid w:val="00451B69"/>
    <w:rsid w:val="00451C53"/>
    <w:rsid w:val="00451D24"/>
    <w:rsid w:val="00451E05"/>
    <w:rsid w:val="00452134"/>
    <w:rsid w:val="00452187"/>
    <w:rsid w:val="0045220B"/>
    <w:rsid w:val="00452465"/>
    <w:rsid w:val="0045249F"/>
    <w:rsid w:val="0045258F"/>
    <w:rsid w:val="004526A1"/>
    <w:rsid w:val="0045276A"/>
    <w:rsid w:val="004528FE"/>
    <w:rsid w:val="0045294F"/>
    <w:rsid w:val="00452A36"/>
    <w:rsid w:val="00452A4E"/>
    <w:rsid w:val="00452A75"/>
    <w:rsid w:val="00452A8D"/>
    <w:rsid w:val="00452B20"/>
    <w:rsid w:val="00452B4C"/>
    <w:rsid w:val="00452F62"/>
    <w:rsid w:val="00452F80"/>
    <w:rsid w:val="00452FA7"/>
    <w:rsid w:val="00453198"/>
    <w:rsid w:val="004533CB"/>
    <w:rsid w:val="004535A6"/>
    <w:rsid w:val="00453612"/>
    <w:rsid w:val="00453728"/>
    <w:rsid w:val="00453A42"/>
    <w:rsid w:val="00453A57"/>
    <w:rsid w:val="00453BA9"/>
    <w:rsid w:val="00453CE0"/>
    <w:rsid w:val="00453E4F"/>
    <w:rsid w:val="00453E57"/>
    <w:rsid w:val="00453EA6"/>
    <w:rsid w:val="00453FDE"/>
    <w:rsid w:val="00454025"/>
    <w:rsid w:val="00454036"/>
    <w:rsid w:val="004541AC"/>
    <w:rsid w:val="00454200"/>
    <w:rsid w:val="00454298"/>
    <w:rsid w:val="004542A3"/>
    <w:rsid w:val="0045431E"/>
    <w:rsid w:val="00454323"/>
    <w:rsid w:val="00454408"/>
    <w:rsid w:val="00454592"/>
    <w:rsid w:val="0045465D"/>
    <w:rsid w:val="004546E0"/>
    <w:rsid w:val="00454819"/>
    <w:rsid w:val="004548EF"/>
    <w:rsid w:val="0045499B"/>
    <w:rsid w:val="00454A9C"/>
    <w:rsid w:val="00454AF0"/>
    <w:rsid w:val="00454C53"/>
    <w:rsid w:val="00454CEF"/>
    <w:rsid w:val="00454CF2"/>
    <w:rsid w:val="00454D0F"/>
    <w:rsid w:val="00454D64"/>
    <w:rsid w:val="00454D78"/>
    <w:rsid w:val="00454EDB"/>
    <w:rsid w:val="00454EDF"/>
    <w:rsid w:val="00454F2A"/>
    <w:rsid w:val="00454FA9"/>
    <w:rsid w:val="0045520B"/>
    <w:rsid w:val="00455272"/>
    <w:rsid w:val="0045533B"/>
    <w:rsid w:val="0045542F"/>
    <w:rsid w:val="00455444"/>
    <w:rsid w:val="004554E8"/>
    <w:rsid w:val="004557B4"/>
    <w:rsid w:val="004557CA"/>
    <w:rsid w:val="00455A61"/>
    <w:rsid w:val="00455BB2"/>
    <w:rsid w:val="00455C24"/>
    <w:rsid w:val="00455C70"/>
    <w:rsid w:val="00455C95"/>
    <w:rsid w:val="00455F4C"/>
    <w:rsid w:val="00455F4E"/>
    <w:rsid w:val="004560DA"/>
    <w:rsid w:val="0045629B"/>
    <w:rsid w:val="0045636D"/>
    <w:rsid w:val="004563C7"/>
    <w:rsid w:val="004563E3"/>
    <w:rsid w:val="00456430"/>
    <w:rsid w:val="00456436"/>
    <w:rsid w:val="00456446"/>
    <w:rsid w:val="00456478"/>
    <w:rsid w:val="004564D4"/>
    <w:rsid w:val="00456698"/>
    <w:rsid w:val="004566C1"/>
    <w:rsid w:val="00456AEA"/>
    <w:rsid w:val="00456B5A"/>
    <w:rsid w:val="00456C7F"/>
    <w:rsid w:val="00456CCF"/>
    <w:rsid w:val="0045720C"/>
    <w:rsid w:val="00457227"/>
    <w:rsid w:val="004572B0"/>
    <w:rsid w:val="0045737B"/>
    <w:rsid w:val="00457466"/>
    <w:rsid w:val="004574B6"/>
    <w:rsid w:val="004574E8"/>
    <w:rsid w:val="00457593"/>
    <w:rsid w:val="0045761C"/>
    <w:rsid w:val="00457653"/>
    <w:rsid w:val="004576F5"/>
    <w:rsid w:val="0045771C"/>
    <w:rsid w:val="0045776A"/>
    <w:rsid w:val="004579AA"/>
    <w:rsid w:val="004579F8"/>
    <w:rsid w:val="00457B37"/>
    <w:rsid w:val="00457BD2"/>
    <w:rsid w:val="00457C12"/>
    <w:rsid w:val="00457C43"/>
    <w:rsid w:val="00457C46"/>
    <w:rsid w:val="00457D5B"/>
    <w:rsid w:val="00457DD0"/>
    <w:rsid w:val="00457E37"/>
    <w:rsid w:val="00457EB4"/>
    <w:rsid w:val="00457F16"/>
    <w:rsid w:val="00460094"/>
    <w:rsid w:val="004601BE"/>
    <w:rsid w:val="004601D8"/>
    <w:rsid w:val="004602B1"/>
    <w:rsid w:val="004602C5"/>
    <w:rsid w:val="0046039A"/>
    <w:rsid w:val="004603E1"/>
    <w:rsid w:val="00460500"/>
    <w:rsid w:val="00460646"/>
    <w:rsid w:val="0046066B"/>
    <w:rsid w:val="00460B43"/>
    <w:rsid w:val="00460B5E"/>
    <w:rsid w:val="00460C2F"/>
    <w:rsid w:val="00460C59"/>
    <w:rsid w:val="00460C69"/>
    <w:rsid w:val="00460D94"/>
    <w:rsid w:val="00460FCF"/>
    <w:rsid w:val="00461186"/>
    <w:rsid w:val="004611DC"/>
    <w:rsid w:val="0046128C"/>
    <w:rsid w:val="00461539"/>
    <w:rsid w:val="0046158A"/>
    <w:rsid w:val="00461897"/>
    <w:rsid w:val="004618FC"/>
    <w:rsid w:val="0046193D"/>
    <w:rsid w:val="004619A0"/>
    <w:rsid w:val="00461A5B"/>
    <w:rsid w:val="00461B72"/>
    <w:rsid w:val="00461BAA"/>
    <w:rsid w:val="00461D42"/>
    <w:rsid w:val="00461D4D"/>
    <w:rsid w:val="00461D77"/>
    <w:rsid w:val="00461E83"/>
    <w:rsid w:val="00461ED2"/>
    <w:rsid w:val="00461EFD"/>
    <w:rsid w:val="00461F7A"/>
    <w:rsid w:val="00461FBA"/>
    <w:rsid w:val="00461FF7"/>
    <w:rsid w:val="00462039"/>
    <w:rsid w:val="00462067"/>
    <w:rsid w:val="004620D3"/>
    <w:rsid w:val="00462105"/>
    <w:rsid w:val="0046210B"/>
    <w:rsid w:val="0046211B"/>
    <w:rsid w:val="004621E8"/>
    <w:rsid w:val="0046230C"/>
    <w:rsid w:val="0046231E"/>
    <w:rsid w:val="0046236A"/>
    <w:rsid w:val="004623C5"/>
    <w:rsid w:val="00462477"/>
    <w:rsid w:val="004626D6"/>
    <w:rsid w:val="0046272D"/>
    <w:rsid w:val="00462783"/>
    <w:rsid w:val="0046278A"/>
    <w:rsid w:val="0046298F"/>
    <w:rsid w:val="004629F5"/>
    <w:rsid w:val="004629FC"/>
    <w:rsid w:val="00462A2C"/>
    <w:rsid w:val="00462A63"/>
    <w:rsid w:val="00462A9A"/>
    <w:rsid w:val="00462B0E"/>
    <w:rsid w:val="00462B5D"/>
    <w:rsid w:val="00462CD1"/>
    <w:rsid w:val="00462D64"/>
    <w:rsid w:val="00462EA5"/>
    <w:rsid w:val="00462FA2"/>
    <w:rsid w:val="00462FAA"/>
    <w:rsid w:val="004630D7"/>
    <w:rsid w:val="00463196"/>
    <w:rsid w:val="00463246"/>
    <w:rsid w:val="004632D8"/>
    <w:rsid w:val="004635A0"/>
    <w:rsid w:val="00463697"/>
    <w:rsid w:val="004637E8"/>
    <w:rsid w:val="004638A1"/>
    <w:rsid w:val="004638FD"/>
    <w:rsid w:val="00463930"/>
    <w:rsid w:val="0046395B"/>
    <w:rsid w:val="004639D4"/>
    <w:rsid w:val="00463A8D"/>
    <w:rsid w:val="00463AAF"/>
    <w:rsid w:val="00463AFE"/>
    <w:rsid w:val="00463B80"/>
    <w:rsid w:val="00463CEE"/>
    <w:rsid w:val="00463D80"/>
    <w:rsid w:val="00463DD7"/>
    <w:rsid w:val="00463F27"/>
    <w:rsid w:val="004640BB"/>
    <w:rsid w:val="00464110"/>
    <w:rsid w:val="004641E6"/>
    <w:rsid w:val="004643EE"/>
    <w:rsid w:val="00464476"/>
    <w:rsid w:val="00464788"/>
    <w:rsid w:val="004647E8"/>
    <w:rsid w:val="004647FC"/>
    <w:rsid w:val="00464976"/>
    <w:rsid w:val="00464990"/>
    <w:rsid w:val="00464A54"/>
    <w:rsid w:val="00464BD7"/>
    <w:rsid w:val="00464C16"/>
    <w:rsid w:val="00464C78"/>
    <w:rsid w:val="00464D62"/>
    <w:rsid w:val="00464DA3"/>
    <w:rsid w:val="00464DD6"/>
    <w:rsid w:val="0046518A"/>
    <w:rsid w:val="004651E9"/>
    <w:rsid w:val="0046533E"/>
    <w:rsid w:val="004655BF"/>
    <w:rsid w:val="0046560A"/>
    <w:rsid w:val="00465614"/>
    <w:rsid w:val="00465974"/>
    <w:rsid w:val="004659A7"/>
    <w:rsid w:val="004659E0"/>
    <w:rsid w:val="004659EF"/>
    <w:rsid w:val="00465AFC"/>
    <w:rsid w:val="00465B8D"/>
    <w:rsid w:val="00465C85"/>
    <w:rsid w:val="00465CA7"/>
    <w:rsid w:val="00465CF7"/>
    <w:rsid w:val="00465F43"/>
    <w:rsid w:val="004660E3"/>
    <w:rsid w:val="0046611E"/>
    <w:rsid w:val="004661C8"/>
    <w:rsid w:val="00466271"/>
    <w:rsid w:val="004662B6"/>
    <w:rsid w:val="004663BF"/>
    <w:rsid w:val="00466684"/>
    <w:rsid w:val="004666A1"/>
    <w:rsid w:val="004666EE"/>
    <w:rsid w:val="004667C6"/>
    <w:rsid w:val="00466800"/>
    <w:rsid w:val="00466829"/>
    <w:rsid w:val="00466880"/>
    <w:rsid w:val="00466917"/>
    <w:rsid w:val="00466A69"/>
    <w:rsid w:val="00466B70"/>
    <w:rsid w:val="00466C80"/>
    <w:rsid w:val="00466CB5"/>
    <w:rsid w:val="00466D24"/>
    <w:rsid w:val="00466D7E"/>
    <w:rsid w:val="00466E5F"/>
    <w:rsid w:val="004673F7"/>
    <w:rsid w:val="00467400"/>
    <w:rsid w:val="0046749F"/>
    <w:rsid w:val="004674C7"/>
    <w:rsid w:val="0046758F"/>
    <w:rsid w:val="004675D4"/>
    <w:rsid w:val="0046766F"/>
    <w:rsid w:val="00467798"/>
    <w:rsid w:val="004678A1"/>
    <w:rsid w:val="004678AA"/>
    <w:rsid w:val="0046793D"/>
    <w:rsid w:val="00467960"/>
    <w:rsid w:val="00467985"/>
    <w:rsid w:val="004679DE"/>
    <w:rsid w:val="00467A69"/>
    <w:rsid w:val="00467B68"/>
    <w:rsid w:val="00467BAA"/>
    <w:rsid w:val="00467C2B"/>
    <w:rsid w:val="00467F18"/>
    <w:rsid w:val="00467F65"/>
    <w:rsid w:val="00467FD2"/>
    <w:rsid w:val="00469684"/>
    <w:rsid w:val="00470069"/>
    <w:rsid w:val="004700F6"/>
    <w:rsid w:val="004702C1"/>
    <w:rsid w:val="00470521"/>
    <w:rsid w:val="00470582"/>
    <w:rsid w:val="004705C3"/>
    <w:rsid w:val="0047062D"/>
    <w:rsid w:val="004707F3"/>
    <w:rsid w:val="0047086A"/>
    <w:rsid w:val="00470AE4"/>
    <w:rsid w:val="00470B10"/>
    <w:rsid w:val="00470B51"/>
    <w:rsid w:val="00470CA1"/>
    <w:rsid w:val="00470D96"/>
    <w:rsid w:val="0047108E"/>
    <w:rsid w:val="004710AF"/>
    <w:rsid w:val="0047110C"/>
    <w:rsid w:val="0047114C"/>
    <w:rsid w:val="0047134B"/>
    <w:rsid w:val="0047147A"/>
    <w:rsid w:val="0047161C"/>
    <w:rsid w:val="004716F8"/>
    <w:rsid w:val="0047173D"/>
    <w:rsid w:val="004717AE"/>
    <w:rsid w:val="004717C6"/>
    <w:rsid w:val="004718A1"/>
    <w:rsid w:val="004719CE"/>
    <w:rsid w:val="00471A82"/>
    <w:rsid w:val="00471AB9"/>
    <w:rsid w:val="00471B16"/>
    <w:rsid w:val="00471BFB"/>
    <w:rsid w:val="00471E40"/>
    <w:rsid w:val="00471F7C"/>
    <w:rsid w:val="00471F95"/>
    <w:rsid w:val="00471FC4"/>
    <w:rsid w:val="0047205C"/>
    <w:rsid w:val="00472200"/>
    <w:rsid w:val="00472285"/>
    <w:rsid w:val="0047262C"/>
    <w:rsid w:val="00472632"/>
    <w:rsid w:val="004726BE"/>
    <w:rsid w:val="00472749"/>
    <w:rsid w:val="00472802"/>
    <w:rsid w:val="004728A0"/>
    <w:rsid w:val="00472910"/>
    <w:rsid w:val="004729C6"/>
    <w:rsid w:val="00472AC4"/>
    <w:rsid w:val="00472ACF"/>
    <w:rsid w:val="00472B10"/>
    <w:rsid w:val="00472B33"/>
    <w:rsid w:val="00472BD1"/>
    <w:rsid w:val="00472C37"/>
    <w:rsid w:val="00472C47"/>
    <w:rsid w:val="00472C9A"/>
    <w:rsid w:val="00472CCB"/>
    <w:rsid w:val="00472CE2"/>
    <w:rsid w:val="00472CEC"/>
    <w:rsid w:val="00472E0A"/>
    <w:rsid w:val="00472F16"/>
    <w:rsid w:val="00472F63"/>
    <w:rsid w:val="00473187"/>
    <w:rsid w:val="004731FA"/>
    <w:rsid w:val="004733E4"/>
    <w:rsid w:val="00473436"/>
    <w:rsid w:val="00473462"/>
    <w:rsid w:val="004734A4"/>
    <w:rsid w:val="0047353B"/>
    <w:rsid w:val="00473555"/>
    <w:rsid w:val="00473598"/>
    <w:rsid w:val="004735BC"/>
    <w:rsid w:val="00473750"/>
    <w:rsid w:val="0047385C"/>
    <w:rsid w:val="004739CA"/>
    <w:rsid w:val="00473A44"/>
    <w:rsid w:val="00473AB9"/>
    <w:rsid w:val="00473BC6"/>
    <w:rsid w:val="00473C5A"/>
    <w:rsid w:val="00473D38"/>
    <w:rsid w:val="00473D3C"/>
    <w:rsid w:val="00473FBA"/>
    <w:rsid w:val="00474007"/>
    <w:rsid w:val="004741E2"/>
    <w:rsid w:val="00474297"/>
    <w:rsid w:val="0047439D"/>
    <w:rsid w:val="004743FA"/>
    <w:rsid w:val="00474505"/>
    <w:rsid w:val="00474713"/>
    <w:rsid w:val="00474766"/>
    <w:rsid w:val="0047481B"/>
    <w:rsid w:val="0047486B"/>
    <w:rsid w:val="00474AD0"/>
    <w:rsid w:val="00474CC1"/>
    <w:rsid w:val="00474D52"/>
    <w:rsid w:val="00474E89"/>
    <w:rsid w:val="00474EC2"/>
    <w:rsid w:val="00474F00"/>
    <w:rsid w:val="00474FB9"/>
    <w:rsid w:val="00475029"/>
    <w:rsid w:val="0047506E"/>
    <w:rsid w:val="0047508E"/>
    <w:rsid w:val="004750DC"/>
    <w:rsid w:val="004751A1"/>
    <w:rsid w:val="004751F7"/>
    <w:rsid w:val="004751FC"/>
    <w:rsid w:val="004753E3"/>
    <w:rsid w:val="004753FC"/>
    <w:rsid w:val="00475481"/>
    <w:rsid w:val="0047557F"/>
    <w:rsid w:val="004756E3"/>
    <w:rsid w:val="00475721"/>
    <w:rsid w:val="0047583B"/>
    <w:rsid w:val="0047588C"/>
    <w:rsid w:val="00475942"/>
    <w:rsid w:val="00475976"/>
    <w:rsid w:val="004759D3"/>
    <w:rsid w:val="00475AAC"/>
    <w:rsid w:val="00475AE5"/>
    <w:rsid w:val="00475C4E"/>
    <w:rsid w:val="00475CD7"/>
    <w:rsid w:val="00475DBD"/>
    <w:rsid w:val="00475EB3"/>
    <w:rsid w:val="004760A1"/>
    <w:rsid w:val="004760CA"/>
    <w:rsid w:val="00476117"/>
    <w:rsid w:val="0047626D"/>
    <w:rsid w:val="00476464"/>
    <w:rsid w:val="00476509"/>
    <w:rsid w:val="00476560"/>
    <w:rsid w:val="00476623"/>
    <w:rsid w:val="0047662F"/>
    <w:rsid w:val="0047686C"/>
    <w:rsid w:val="00476913"/>
    <w:rsid w:val="00476B1C"/>
    <w:rsid w:val="00476B92"/>
    <w:rsid w:val="00476C20"/>
    <w:rsid w:val="00476D9D"/>
    <w:rsid w:val="00476F1A"/>
    <w:rsid w:val="00476F4B"/>
    <w:rsid w:val="00476F7C"/>
    <w:rsid w:val="004770A7"/>
    <w:rsid w:val="004770F2"/>
    <w:rsid w:val="00477459"/>
    <w:rsid w:val="00477548"/>
    <w:rsid w:val="004775D6"/>
    <w:rsid w:val="004775F6"/>
    <w:rsid w:val="00477631"/>
    <w:rsid w:val="004776A6"/>
    <w:rsid w:val="0047773B"/>
    <w:rsid w:val="004777A0"/>
    <w:rsid w:val="004778AE"/>
    <w:rsid w:val="0047792B"/>
    <w:rsid w:val="00477956"/>
    <w:rsid w:val="004779FB"/>
    <w:rsid w:val="00477AB4"/>
    <w:rsid w:val="00477B11"/>
    <w:rsid w:val="00477BC5"/>
    <w:rsid w:val="00477D8C"/>
    <w:rsid w:val="00477DA4"/>
    <w:rsid w:val="00477DE1"/>
    <w:rsid w:val="00477F9C"/>
    <w:rsid w:val="00477FA9"/>
    <w:rsid w:val="004800ED"/>
    <w:rsid w:val="00480153"/>
    <w:rsid w:val="0048032D"/>
    <w:rsid w:val="004804F3"/>
    <w:rsid w:val="00480570"/>
    <w:rsid w:val="00480657"/>
    <w:rsid w:val="00480696"/>
    <w:rsid w:val="004807F0"/>
    <w:rsid w:val="004809B8"/>
    <w:rsid w:val="00480A0A"/>
    <w:rsid w:val="00480A6B"/>
    <w:rsid w:val="00480B39"/>
    <w:rsid w:val="00480C09"/>
    <w:rsid w:val="00480C23"/>
    <w:rsid w:val="00480C47"/>
    <w:rsid w:val="00480C7D"/>
    <w:rsid w:val="00480CBD"/>
    <w:rsid w:val="00480CF2"/>
    <w:rsid w:val="00480D36"/>
    <w:rsid w:val="00480D41"/>
    <w:rsid w:val="00480D63"/>
    <w:rsid w:val="00480E93"/>
    <w:rsid w:val="00480F1C"/>
    <w:rsid w:val="0048110E"/>
    <w:rsid w:val="0048134A"/>
    <w:rsid w:val="0048140D"/>
    <w:rsid w:val="00481412"/>
    <w:rsid w:val="004814A7"/>
    <w:rsid w:val="004814DE"/>
    <w:rsid w:val="0048165D"/>
    <w:rsid w:val="00481803"/>
    <w:rsid w:val="00481889"/>
    <w:rsid w:val="00481A2D"/>
    <w:rsid w:val="00481A87"/>
    <w:rsid w:val="00481CC0"/>
    <w:rsid w:val="00481D15"/>
    <w:rsid w:val="00482022"/>
    <w:rsid w:val="00482055"/>
    <w:rsid w:val="00482201"/>
    <w:rsid w:val="0048238B"/>
    <w:rsid w:val="004823F1"/>
    <w:rsid w:val="004824C1"/>
    <w:rsid w:val="00482535"/>
    <w:rsid w:val="00482543"/>
    <w:rsid w:val="004825CC"/>
    <w:rsid w:val="004825DA"/>
    <w:rsid w:val="004827F8"/>
    <w:rsid w:val="0048290C"/>
    <w:rsid w:val="00482B13"/>
    <w:rsid w:val="00482B21"/>
    <w:rsid w:val="00482C44"/>
    <w:rsid w:val="00482CAB"/>
    <w:rsid w:val="00482D43"/>
    <w:rsid w:val="00482DFF"/>
    <w:rsid w:val="00482E23"/>
    <w:rsid w:val="00482E35"/>
    <w:rsid w:val="00482E41"/>
    <w:rsid w:val="00482F64"/>
    <w:rsid w:val="00482F76"/>
    <w:rsid w:val="0048307B"/>
    <w:rsid w:val="00483086"/>
    <w:rsid w:val="0048315B"/>
    <w:rsid w:val="00483187"/>
    <w:rsid w:val="004832C2"/>
    <w:rsid w:val="004832D7"/>
    <w:rsid w:val="00483305"/>
    <w:rsid w:val="00483311"/>
    <w:rsid w:val="00483358"/>
    <w:rsid w:val="004833BA"/>
    <w:rsid w:val="004835CC"/>
    <w:rsid w:val="00483921"/>
    <w:rsid w:val="00483A77"/>
    <w:rsid w:val="00483BD3"/>
    <w:rsid w:val="00483D01"/>
    <w:rsid w:val="00483D5A"/>
    <w:rsid w:val="00483F55"/>
    <w:rsid w:val="00483FBF"/>
    <w:rsid w:val="004840E4"/>
    <w:rsid w:val="00484250"/>
    <w:rsid w:val="004842BD"/>
    <w:rsid w:val="00484359"/>
    <w:rsid w:val="004844CB"/>
    <w:rsid w:val="004844DA"/>
    <w:rsid w:val="004844E3"/>
    <w:rsid w:val="00484666"/>
    <w:rsid w:val="004847D6"/>
    <w:rsid w:val="004848DF"/>
    <w:rsid w:val="004849BE"/>
    <w:rsid w:val="00484AAE"/>
    <w:rsid w:val="00484AC3"/>
    <w:rsid w:val="00484AF0"/>
    <w:rsid w:val="00484C1C"/>
    <w:rsid w:val="00484C29"/>
    <w:rsid w:val="00484CE4"/>
    <w:rsid w:val="00484CEB"/>
    <w:rsid w:val="00484D57"/>
    <w:rsid w:val="00484E0E"/>
    <w:rsid w:val="00484E83"/>
    <w:rsid w:val="0048505E"/>
    <w:rsid w:val="00485177"/>
    <w:rsid w:val="004851BF"/>
    <w:rsid w:val="00485370"/>
    <w:rsid w:val="00485502"/>
    <w:rsid w:val="00485671"/>
    <w:rsid w:val="004857E7"/>
    <w:rsid w:val="004859E5"/>
    <w:rsid w:val="00485B4A"/>
    <w:rsid w:val="00485D99"/>
    <w:rsid w:val="00485E0E"/>
    <w:rsid w:val="00485F5D"/>
    <w:rsid w:val="0048607D"/>
    <w:rsid w:val="00486085"/>
    <w:rsid w:val="004860F3"/>
    <w:rsid w:val="0048628D"/>
    <w:rsid w:val="0048645F"/>
    <w:rsid w:val="004864F8"/>
    <w:rsid w:val="00486522"/>
    <w:rsid w:val="00486593"/>
    <w:rsid w:val="0048661C"/>
    <w:rsid w:val="0048663A"/>
    <w:rsid w:val="00486723"/>
    <w:rsid w:val="004867A5"/>
    <w:rsid w:val="0048685F"/>
    <w:rsid w:val="00486861"/>
    <w:rsid w:val="00486A13"/>
    <w:rsid w:val="00486D0F"/>
    <w:rsid w:val="00486DD7"/>
    <w:rsid w:val="00486E1F"/>
    <w:rsid w:val="00486F00"/>
    <w:rsid w:val="00486F6B"/>
    <w:rsid w:val="00486FEC"/>
    <w:rsid w:val="00487015"/>
    <w:rsid w:val="0048702B"/>
    <w:rsid w:val="0048708D"/>
    <w:rsid w:val="00487131"/>
    <w:rsid w:val="0048714D"/>
    <w:rsid w:val="00487191"/>
    <w:rsid w:val="0048721A"/>
    <w:rsid w:val="0048726E"/>
    <w:rsid w:val="004873E8"/>
    <w:rsid w:val="004874BB"/>
    <w:rsid w:val="0048750A"/>
    <w:rsid w:val="004875D5"/>
    <w:rsid w:val="004875DB"/>
    <w:rsid w:val="004876AA"/>
    <w:rsid w:val="00487780"/>
    <w:rsid w:val="004878AD"/>
    <w:rsid w:val="00487903"/>
    <w:rsid w:val="00487B24"/>
    <w:rsid w:val="00487BB9"/>
    <w:rsid w:val="00487BF8"/>
    <w:rsid w:val="00487C1D"/>
    <w:rsid w:val="00487C2E"/>
    <w:rsid w:val="00487C83"/>
    <w:rsid w:val="00487F48"/>
    <w:rsid w:val="00487F9D"/>
    <w:rsid w:val="00487FE2"/>
    <w:rsid w:val="0049003A"/>
    <w:rsid w:val="00490055"/>
    <w:rsid w:val="00490171"/>
    <w:rsid w:val="00490282"/>
    <w:rsid w:val="004902CF"/>
    <w:rsid w:val="00490328"/>
    <w:rsid w:val="004903D0"/>
    <w:rsid w:val="0049040A"/>
    <w:rsid w:val="0049042E"/>
    <w:rsid w:val="004905D0"/>
    <w:rsid w:val="004905FB"/>
    <w:rsid w:val="00490652"/>
    <w:rsid w:val="00490693"/>
    <w:rsid w:val="004906BA"/>
    <w:rsid w:val="00490810"/>
    <w:rsid w:val="00490889"/>
    <w:rsid w:val="004909C0"/>
    <w:rsid w:val="004909D9"/>
    <w:rsid w:val="004909E6"/>
    <w:rsid w:val="00490A2B"/>
    <w:rsid w:val="00490C2F"/>
    <w:rsid w:val="00490C6D"/>
    <w:rsid w:val="00490C9D"/>
    <w:rsid w:val="00490D6B"/>
    <w:rsid w:val="00490FB2"/>
    <w:rsid w:val="00491043"/>
    <w:rsid w:val="004910F0"/>
    <w:rsid w:val="00491210"/>
    <w:rsid w:val="004912AA"/>
    <w:rsid w:val="004913BA"/>
    <w:rsid w:val="004913F5"/>
    <w:rsid w:val="00491489"/>
    <w:rsid w:val="004914BA"/>
    <w:rsid w:val="004914CB"/>
    <w:rsid w:val="00491504"/>
    <w:rsid w:val="00491653"/>
    <w:rsid w:val="004916D0"/>
    <w:rsid w:val="004916F6"/>
    <w:rsid w:val="0049174A"/>
    <w:rsid w:val="004917A2"/>
    <w:rsid w:val="004917E8"/>
    <w:rsid w:val="0049181D"/>
    <w:rsid w:val="00491B14"/>
    <w:rsid w:val="00491B54"/>
    <w:rsid w:val="00491BE9"/>
    <w:rsid w:val="00491C1B"/>
    <w:rsid w:val="00491C3A"/>
    <w:rsid w:val="00491C88"/>
    <w:rsid w:val="00491D19"/>
    <w:rsid w:val="00491D5C"/>
    <w:rsid w:val="00491D6A"/>
    <w:rsid w:val="00491DFB"/>
    <w:rsid w:val="00491EC3"/>
    <w:rsid w:val="00491F8A"/>
    <w:rsid w:val="00491FB5"/>
    <w:rsid w:val="0049212B"/>
    <w:rsid w:val="004923DB"/>
    <w:rsid w:val="004923EA"/>
    <w:rsid w:val="0049247A"/>
    <w:rsid w:val="00492571"/>
    <w:rsid w:val="004926E8"/>
    <w:rsid w:val="0049271D"/>
    <w:rsid w:val="004927B9"/>
    <w:rsid w:val="0049283E"/>
    <w:rsid w:val="0049288F"/>
    <w:rsid w:val="0049295D"/>
    <w:rsid w:val="00492A0B"/>
    <w:rsid w:val="00492AF2"/>
    <w:rsid w:val="00492BEC"/>
    <w:rsid w:val="00492BFD"/>
    <w:rsid w:val="00492C6B"/>
    <w:rsid w:val="00492C9C"/>
    <w:rsid w:val="00492CBB"/>
    <w:rsid w:val="00492DEF"/>
    <w:rsid w:val="00492E54"/>
    <w:rsid w:val="00492FF0"/>
    <w:rsid w:val="00492FF2"/>
    <w:rsid w:val="00493060"/>
    <w:rsid w:val="004930DF"/>
    <w:rsid w:val="0049316C"/>
    <w:rsid w:val="0049316F"/>
    <w:rsid w:val="004931DB"/>
    <w:rsid w:val="0049324C"/>
    <w:rsid w:val="00493298"/>
    <w:rsid w:val="004932B2"/>
    <w:rsid w:val="00493488"/>
    <w:rsid w:val="004935AB"/>
    <w:rsid w:val="004935AC"/>
    <w:rsid w:val="00493609"/>
    <w:rsid w:val="004936A5"/>
    <w:rsid w:val="004936A8"/>
    <w:rsid w:val="004936B6"/>
    <w:rsid w:val="00493772"/>
    <w:rsid w:val="004938DE"/>
    <w:rsid w:val="004939BE"/>
    <w:rsid w:val="004939C3"/>
    <w:rsid w:val="004939EA"/>
    <w:rsid w:val="00493A17"/>
    <w:rsid w:val="00493A84"/>
    <w:rsid w:val="00493AF1"/>
    <w:rsid w:val="00493B0B"/>
    <w:rsid w:val="00493C30"/>
    <w:rsid w:val="00493C46"/>
    <w:rsid w:val="00493D16"/>
    <w:rsid w:val="00493D8C"/>
    <w:rsid w:val="00493DC1"/>
    <w:rsid w:val="00493EDF"/>
    <w:rsid w:val="00493EE7"/>
    <w:rsid w:val="00493F2D"/>
    <w:rsid w:val="00493F36"/>
    <w:rsid w:val="00494073"/>
    <w:rsid w:val="004940C9"/>
    <w:rsid w:val="00494378"/>
    <w:rsid w:val="004943FF"/>
    <w:rsid w:val="004945A3"/>
    <w:rsid w:val="004946EE"/>
    <w:rsid w:val="004947A9"/>
    <w:rsid w:val="0049480C"/>
    <w:rsid w:val="00494811"/>
    <w:rsid w:val="00494869"/>
    <w:rsid w:val="0049489B"/>
    <w:rsid w:val="00494976"/>
    <w:rsid w:val="00494AD4"/>
    <w:rsid w:val="00494B26"/>
    <w:rsid w:val="00494BEB"/>
    <w:rsid w:val="00494C6D"/>
    <w:rsid w:val="00494CF3"/>
    <w:rsid w:val="00494D11"/>
    <w:rsid w:val="00494DAD"/>
    <w:rsid w:val="00494E43"/>
    <w:rsid w:val="00494E50"/>
    <w:rsid w:val="00494EBB"/>
    <w:rsid w:val="00495004"/>
    <w:rsid w:val="00495018"/>
    <w:rsid w:val="00495065"/>
    <w:rsid w:val="0049510A"/>
    <w:rsid w:val="00495193"/>
    <w:rsid w:val="00495226"/>
    <w:rsid w:val="004952B1"/>
    <w:rsid w:val="004953AF"/>
    <w:rsid w:val="004953B2"/>
    <w:rsid w:val="00495479"/>
    <w:rsid w:val="00495937"/>
    <w:rsid w:val="00495978"/>
    <w:rsid w:val="00495CCA"/>
    <w:rsid w:val="00495D45"/>
    <w:rsid w:val="00495D49"/>
    <w:rsid w:val="00495DA1"/>
    <w:rsid w:val="00495E55"/>
    <w:rsid w:val="0049622C"/>
    <w:rsid w:val="00496268"/>
    <w:rsid w:val="004962A0"/>
    <w:rsid w:val="004962FA"/>
    <w:rsid w:val="00496330"/>
    <w:rsid w:val="00496379"/>
    <w:rsid w:val="004963A3"/>
    <w:rsid w:val="00496483"/>
    <w:rsid w:val="004964DB"/>
    <w:rsid w:val="0049652A"/>
    <w:rsid w:val="0049656B"/>
    <w:rsid w:val="004965C0"/>
    <w:rsid w:val="00496772"/>
    <w:rsid w:val="004969E5"/>
    <w:rsid w:val="00496A19"/>
    <w:rsid w:val="00496BB4"/>
    <w:rsid w:val="00496C57"/>
    <w:rsid w:val="00496EE4"/>
    <w:rsid w:val="00497036"/>
    <w:rsid w:val="004970DC"/>
    <w:rsid w:val="004971B8"/>
    <w:rsid w:val="0049727C"/>
    <w:rsid w:val="004973BE"/>
    <w:rsid w:val="0049773C"/>
    <w:rsid w:val="00497779"/>
    <w:rsid w:val="00497901"/>
    <w:rsid w:val="00497961"/>
    <w:rsid w:val="00497B12"/>
    <w:rsid w:val="00497B87"/>
    <w:rsid w:val="00497B88"/>
    <w:rsid w:val="00497BE2"/>
    <w:rsid w:val="00497F0C"/>
    <w:rsid w:val="004A012B"/>
    <w:rsid w:val="004A0198"/>
    <w:rsid w:val="004A022C"/>
    <w:rsid w:val="004A0305"/>
    <w:rsid w:val="004A030A"/>
    <w:rsid w:val="004A0605"/>
    <w:rsid w:val="004A0607"/>
    <w:rsid w:val="004A0664"/>
    <w:rsid w:val="004A0676"/>
    <w:rsid w:val="004A06BE"/>
    <w:rsid w:val="004A06D9"/>
    <w:rsid w:val="004A07D4"/>
    <w:rsid w:val="004A0810"/>
    <w:rsid w:val="004A081C"/>
    <w:rsid w:val="004A0903"/>
    <w:rsid w:val="004A095F"/>
    <w:rsid w:val="004A0966"/>
    <w:rsid w:val="004A0A5C"/>
    <w:rsid w:val="004A0B7A"/>
    <w:rsid w:val="004A0B92"/>
    <w:rsid w:val="004A0BD5"/>
    <w:rsid w:val="004A0BDC"/>
    <w:rsid w:val="004A0CCA"/>
    <w:rsid w:val="004A0D3D"/>
    <w:rsid w:val="004A0D3F"/>
    <w:rsid w:val="004A0F59"/>
    <w:rsid w:val="004A1014"/>
    <w:rsid w:val="004A10D2"/>
    <w:rsid w:val="004A1101"/>
    <w:rsid w:val="004A125D"/>
    <w:rsid w:val="004A136F"/>
    <w:rsid w:val="004A1487"/>
    <w:rsid w:val="004A1707"/>
    <w:rsid w:val="004A1745"/>
    <w:rsid w:val="004A18A6"/>
    <w:rsid w:val="004A1977"/>
    <w:rsid w:val="004A19BC"/>
    <w:rsid w:val="004A1B18"/>
    <w:rsid w:val="004A1B76"/>
    <w:rsid w:val="004A1D22"/>
    <w:rsid w:val="004A1D90"/>
    <w:rsid w:val="004A1E70"/>
    <w:rsid w:val="004A1EC6"/>
    <w:rsid w:val="004A1F95"/>
    <w:rsid w:val="004A1F9B"/>
    <w:rsid w:val="004A1FD7"/>
    <w:rsid w:val="004A22CD"/>
    <w:rsid w:val="004A22E3"/>
    <w:rsid w:val="004A23A5"/>
    <w:rsid w:val="004A240E"/>
    <w:rsid w:val="004A2621"/>
    <w:rsid w:val="004A2641"/>
    <w:rsid w:val="004A26EC"/>
    <w:rsid w:val="004A274B"/>
    <w:rsid w:val="004A2769"/>
    <w:rsid w:val="004A279D"/>
    <w:rsid w:val="004A27E1"/>
    <w:rsid w:val="004A2844"/>
    <w:rsid w:val="004A2896"/>
    <w:rsid w:val="004A292F"/>
    <w:rsid w:val="004A2A82"/>
    <w:rsid w:val="004A2A92"/>
    <w:rsid w:val="004A2AB7"/>
    <w:rsid w:val="004A2D6E"/>
    <w:rsid w:val="004A2E2C"/>
    <w:rsid w:val="004A2EF6"/>
    <w:rsid w:val="004A2F6B"/>
    <w:rsid w:val="004A2FAC"/>
    <w:rsid w:val="004A3057"/>
    <w:rsid w:val="004A305E"/>
    <w:rsid w:val="004A3092"/>
    <w:rsid w:val="004A30AB"/>
    <w:rsid w:val="004A30F5"/>
    <w:rsid w:val="004A321C"/>
    <w:rsid w:val="004A3323"/>
    <w:rsid w:val="004A35DE"/>
    <w:rsid w:val="004A36B0"/>
    <w:rsid w:val="004A3869"/>
    <w:rsid w:val="004A3886"/>
    <w:rsid w:val="004A3929"/>
    <w:rsid w:val="004A3A29"/>
    <w:rsid w:val="004A3B3C"/>
    <w:rsid w:val="004A3C25"/>
    <w:rsid w:val="004A3C57"/>
    <w:rsid w:val="004A3C94"/>
    <w:rsid w:val="004A3CD6"/>
    <w:rsid w:val="004A3E61"/>
    <w:rsid w:val="004A3EAE"/>
    <w:rsid w:val="004A40B4"/>
    <w:rsid w:val="004A4150"/>
    <w:rsid w:val="004A42C3"/>
    <w:rsid w:val="004A43F4"/>
    <w:rsid w:val="004A441E"/>
    <w:rsid w:val="004A451B"/>
    <w:rsid w:val="004A4538"/>
    <w:rsid w:val="004A4709"/>
    <w:rsid w:val="004A4798"/>
    <w:rsid w:val="004A47CC"/>
    <w:rsid w:val="004A483A"/>
    <w:rsid w:val="004A4885"/>
    <w:rsid w:val="004A48A6"/>
    <w:rsid w:val="004A4924"/>
    <w:rsid w:val="004A4953"/>
    <w:rsid w:val="004A499C"/>
    <w:rsid w:val="004A4B19"/>
    <w:rsid w:val="004A4C24"/>
    <w:rsid w:val="004A4C53"/>
    <w:rsid w:val="004A4DEC"/>
    <w:rsid w:val="004A4E2D"/>
    <w:rsid w:val="004A4E5A"/>
    <w:rsid w:val="004A4E83"/>
    <w:rsid w:val="004A4F7B"/>
    <w:rsid w:val="004A51BA"/>
    <w:rsid w:val="004A528A"/>
    <w:rsid w:val="004A53BA"/>
    <w:rsid w:val="004A54DB"/>
    <w:rsid w:val="004A5526"/>
    <w:rsid w:val="004A55B2"/>
    <w:rsid w:val="004A55FE"/>
    <w:rsid w:val="004A5610"/>
    <w:rsid w:val="004A56C2"/>
    <w:rsid w:val="004A5772"/>
    <w:rsid w:val="004A5829"/>
    <w:rsid w:val="004A59E6"/>
    <w:rsid w:val="004A59EE"/>
    <w:rsid w:val="004A5C52"/>
    <w:rsid w:val="004A5C68"/>
    <w:rsid w:val="004A5CCB"/>
    <w:rsid w:val="004A5E42"/>
    <w:rsid w:val="004A5E50"/>
    <w:rsid w:val="004A5EBB"/>
    <w:rsid w:val="004A5F85"/>
    <w:rsid w:val="004A606D"/>
    <w:rsid w:val="004A60AC"/>
    <w:rsid w:val="004A6229"/>
    <w:rsid w:val="004A6679"/>
    <w:rsid w:val="004A696C"/>
    <w:rsid w:val="004A69BB"/>
    <w:rsid w:val="004A6A47"/>
    <w:rsid w:val="004A6AE0"/>
    <w:rsid w:val="004A6C54"/>
    <w:rsid w:val="004A6D11"/>
    <w:rsid w:val="004A6E45"/>
    <w:rsid w:val="004A6E7D"/>
    <w:rsid w:val="004A6EC3"/>
    <w:rsid w:val="004A71B4"/>
    <w:rsid w:val="004A71CB"/>
    <w:rsid w:val="004A759F"/>
    <w:rsid w:val="004A75F5"/>
    <w:rsid w:val="004A76AD"/>
    <w:rsid w:val="004A776D"/>
    <w:rsid w:val="004A7844"/>
    <w:rsid w:val="004A7899"/>
    <w:rsid w:val="004A78AF"/>
    <w:rsid w:val="004A78D2"/>
    <w:rsid w:val="004A78DD"/>
    <w:rsid w:val="004A79C9"/>
    <w:rsid w:val="004A7AD7"/>
    <w:rsid w:val="004A7BBE"/>
    <w:rsid w:val="004A7E27"/>
    <w:rsid w:val="004A7EE1"/>
    <w:rsid w:val="004A7F4B"/>
    <w:rsid w:val="004A7F7B"/>
    <w:rsid w:val="004A7FF5"/>
    <w:rsid w:val="004B0034"/>
    <w:rsid w:val="004B0051"/>
    <w:rsid w:val="004B011B"/>
    <w:rsid w:val="004B0172"/>
    <w:rsid w:val="004B0236"/>
    <w:rsid w:val="004B02BF"/>
    <w:rsid w:val="004B042C"/>
    <w:rsid w:val="004B0481"/>
    <w:rsid w:val="004B04F7"/>
    <w:rsid w:val="004B0539"/>
    <w:rsid w:val="004B0560"/>
    <w:rsid w:val="004B0623"/>
    <w:rsid w:val="004B0707"/>
    <w:rsid w:val="004B078C"/>
    <w:rsid w:val="004B07DA"/>
    <w:rsid w:val="004B0807"/>
    <w:rsid w:val="004B083E"/>
    <w:rsid w:val="004B0A13"/>
    <w:rsid w:val="004B0B11"/>
    <w:rsid w:val="004B0B39"/>
    <w:rsid w:val="004B0D16"/>
    <w:rsid w:val="004B0D3D"/>
    <w:rsid w:val="004B0D4C"/>
    <w:rsid w:val="004B0F4D"/>
    <w:rsid w:val="004B0FE5"/>
    <w:rsid w:val="004B12F7"/>
    <w:rsid w:val="004B1424"/>
    <w:rsid w:val="004B146D"/>
    <w:rsid w:val="004B14AF"/>
    <w:rsid w:val="004B150B"/>
    <w:rsid w:val="004B1593"/>
    <w:rsid w:val="004B166B"/>
    <w:rsid w:val="004B1679"/>
    <w:rsid w:val="004B168A"/>
    <w:rsid w:val="004B16C9"/>
    <w:rsid w:val="004B170F"/>
    <w:rsid w:val="004B17D4"/>
    <w:rsid w:val="004B1B85"/>
    <w:rsid w:val="004B1CA1"/>
    <w:rsid w:val="004B1D2A"/>
    <w:rsid w:val="004B1D31"/>
    <w:rsid w:val="004B1D70"/>
    <w:rsid w:val="004B1E71"/>
    <w:rsid w:val="004B205D"/>
    <w:rsid w:val="004B213A"/>
    <w:rsid w:val="004B21D3"/>
    <w:rsid w:val="004B2259"/>
    <w:rsid w:val="004B2266"/>
    <w:rsid w:val="004B2306"/>
    <w:rsid w:val="004B2330"/>
    <w:rsid w:val="004B2429"/>
    <w:rsid w:val="004B2452"/>
    <w:rsid w:val="004B2478"/>
    <w:rsid w:val="004B24C7"/>
    <w:rsid w:val="004B24D6"/>
    <w:rsid w:val="004B2523"/>
    <w:rsid w:val="004B29AB"/>
    <w:rsid w:val="004B29DE"/>
    <w:rsid w:val="004B2B82"/>
    <w:rsid w:val="004B2BBB"/>
    <w:rsid w:val="004B2D33"/>
    <w:rsid w:val="004B2DED"/>
    <w:rsid w:val="004B2EEC"/>
    <w:rsid w:val="004B3016"/>
    <w:rsid w:val="004B3031"/>
    <w:rsid w:val="004B3161"/>
    <w:rsid w:val="004B316D"/>
    <w:rsid w:val="004B31BE"/>
    <w:rsid w:val="004B32BB"/>
    <w:rsid w:val="004B32C3"/>
    <w:rsid w:val="004B3415"/>
    <w:rsid w:val="004B343C"/>
    <w:rsid w:val="004B34A0"/>
    <w:rsid w:val="004B3596"/>
    <w:rsid w:val="004B35B0"/>
    <w:rsid w:val="004B360B"/>
    <w:rsid w:val="004B37A0"/>
    <w:rsid w:val="004B37A7"/>
    <w:rsid w:val="004B38E5"/>
    <w:rsid w:val="004B3928"/>
    <w:rsid w:val="004B3977"/>
    <w:rsid w:val="004B3A43"/>
    <w:rsid w:val="004B3AB1"/>
    <w:rsid w:val="004B3B41"/>
    <w:rsid w:val="004B3B6A"/>
    <w:rsid w:val="004B3B9C"/>
    <w:rsid w:val="004B3BB9"/>
    <w:rsid w:val="004B3BE9"/>
    <w:rsid w:val="004B3C8F"/>
    <w:rsid w:val="004B3D5E"/>
    <w:rsid w:val="004B3DE6"/>
    <w:rsid w:val="004B3E49"/>
    <w:rsid w:val="004B3EE3"/>
    <w:rsid w:val="004B405C"/>
    <w:rsid w:val="004B433B"/>
    <w:rsid w:val="004B4346"/>
    <w:rsid w:val="004B440A"/>
    <w:rsid w:val="004B4581"/>
    <w:rsid w:val="004B4665"/>
    <w:rsid w:val="004B469D"/>
    <w:rsid w:val="004B4791"/>
    <w:rsid w:val="004B4881"/>
    <w:rsid w:val="004B4920"/>
    <w:rsid w:val="004B4983"/>
    <w:rsid w:val="004B49EE"/>
    <w:rsid w:val="004B4A80"/>
    <w:rsid w:val="004B4B44"/>
    <w:rsid w:val="004B4CC6"/>
    <w:rsid w:val="004B4D22"/>
    <w:rsid w:val="004B4DA0"/>
    <w:rsid w:val="004B4DE6"/>
    <w:rsid w:val="004B4FC2"/>
    <w:rsid w:val="004B4FCA"/>
    <w:rsid w:val="004B4FDD"/>
    <w:rsid w:val="004B4FFA"/>
    <w:rsid w:val="004B502D"/>
    <w:rsid w:val="004B537D"/>
    <w:rsid w:val="004B568F"/>
    <w:rsid w:val="004B57E0"/>
    <w:rsid w:val="004B5815"/>
    <w:rsid w:val="004B582A"/>
    <w:rsid w:val="004B5863"/>
    <w:rsid w:val="004B5BD5"/>
    <w:rsid w:val="004B5C39"/>
    <w:rsid w:val="004B5DF3"/>
    <w:rsid w:val="004B5DFF"/>
    <w:rsid w:val="004B5EE5"/>
    <w:rsid w:val="004B5F1B"/>
    <w:rsid w:val="004B5F4E"/>
    <w:rsid w:val="004B6015"/>
    <w:rsid w:val="004B6071"/>
    <w:rsid w:val="004B61CC"/>
    <w:rsid w:val="004B61FC"/>
    <w:rsid w:val="004B622A"/>
    <w:rsid w:val="004B62CB"/>
    <w:rsid w:val="004B630B"/>
    <w:rsid w:val="004B633B"/>
    <w:rsid w:val="004B6612"/>
    <w:rsid w:val="004B6744"/>
    <w:rsid w:val="004B6781"/>
    <w:rsid w:val="004B6809"/>
    <w:rsid w:val="004B6813"/>
    <w:rsid w:val="004B6906"/>
    <w:rsid w:val="004B699E"/>
    <w:rsid w:val="004B69B2"/>
    <w:rsid w:val="004B69D2"/>
    <w:rsid w:val="004B6C92"/>
    <w:rsid w:val="004B6E45"/>
    <w:rsid w:val="004B6E5B"/>
    <w:rsid w:val="004B6E92"/>
    <w:rsid w:val="004B6F0D"/>
    <w:rsid w:val="004B6F7C"/>
    <w:rsid w:val="004B712B"/>
    <w:rsid w:val="004B719B"/>
    <w:rsid w:val="004B71DA"/>
    <w:rsid w:val="004B738D"/>
    <w:rsid w:val="004B74E6"/>
    <w:rsid w:val="004B7561"/>
    <w:rsid w:val="004B7690"/>
    <w:rsid w:val="004B76FE"/>
    <w:rsid w:val="004B771A"/>
    <w:rsid w:val="004B787B"/>
    <w:rsid w:val="004B78ED"/>
    <w:rsid w:val="004B78FA"/>
    <w:rsid w:val="004B7A47"/>
    <w:rsid w:val="004B7A7E"/>
    <w:rsid w:val="004B7AFD"/>
    <w:rsid w:val="004B7C3D"/>
    <w:rsid w:val="004B7D0C"/>
    <w:rsid w:val="004B7D92"/>
    <w:rsid w:val="004B7DE8"/>
    <w:rsid w:val="004B7E2E"/>
    <w:rsid w:val="004B7FD3"/>
    <w:rsid w:val="004B7FF0"/>
    <w:rsid w:val="004C0035"/>
    <w:rsid w:val="004C0086"/>
    <w:rsid w:val="004C0128"/>
    <w:rsid w:val="004C01E7"/>
    <w:rsid w:val="004C024B"/>
    <w:rsid w:val="004C030A"/>
    <w:rsid w:val="004C03A4"/>
    <w:rsid w:val="004C0512"/>
    <w:rsid w:val="004C069C"/>
    <w:rsid w:val="004C0793"/>
    <w:rsid w:val="004C079C"/>
    <w:rsid w:val="004C091E"/>
    <w:rsid w:val="004C0936"/>
    <w:rsid w:val="004C0A3F"/>
    <w:rsid w:val="004C0DA6"/>
    <w:rsid w:val="004C0DB5"/>
    <w:rsid w:val="004C0E3D"/>
    <w:rsid w:val="004C0FB6"/>
    <w:rsid w:val="004C1125"/>
    <w:rsid w:val="004C1169"/>
    <w:rsid w:val="004C1281"/>
    <w:rsid w:val="004C13AE"/>
    <w:rsid w:val="004C1462"/>
    <w:rsid w:val="004C1473"/>
    <w:rsid w:val="004C14CF"/>
    <w:rsid w:val="004C14FB"/>
    <w:rsid w:val="004C1784"/>
    <w:rsid w:val="004C1882"/>
    <w:rsid w:val="004C188F"/>
    <w:rsid w:val="004C1931"/>
    <w:rsid w:val="004C195D"/>
    <w:rsid w:val="004C196F"/>
    <w:rsid w:val="004C19D4"/>
    <w:rsid w:val="004C1A9B"/>
    <w:rsid w:val="004C1C73"/>
    <w:rsid w:val="004C1DEC"/>
    <w:rsid w:val="004C1FD2"/>
    <w:rsid w:val="004C2010"/>
    <w:rsid w:val="004C2059"/>
    <w:rsid w:val="004C2083"/>
    <w:rsid w:val="004C20C4"/>
    <w:rsid w:val="004C213E"/>
    <w:rsid w:val="004C2220"/>
    <w:rsid w:val="004C225F"/>
    <w:rsid w:val="004C22AF"/>
    <w:rsid w:val="004C236C"/>
    <w:rsid w:val="004C23EB"/>
    <w:rsid w:val="004C241A"/>
    <w:rsid w:val="004C245F"/>
    <w:rsid w:val="004C2803"/>
    <w:rsid w:val="004C283C"/>
    <w:rsid w:val="004C2873"/>
    <w:rsid w:val="004C2999"/>
    <w:rsid w:val="004C2B2B"/>
    <w:rsid w:val="004C2CAD"/>
    <w:rsid w:val="004C2D2F"/>
    <w:rsid w:val="004C3141"/>
    <w:rsid w:val="004C320A"/>
    <w:rsid w:val="004C3316"/>
    <w:rsid w:val="004C33BF"/>
    <w:rsid w:val="004C33E4"/>
    <w:rsid w:val="004C3450"/>
    <w:rsid w:val="004C3469"/>
    <w:rsid w:val="004C3494"/>
    <w:rsid w:val="004C34C8"/>
    <w:rsid w:val="004C34E9"/>
    <w:rsid w:val="004C3530"/>
    <w:rsid w:val="004C3637"/>
    <w:rsid w:val="004C3689"/>
    <w:rsid w:val="004C378E"/>
    <w:rsid w:val="004C37B7"/>
    <w:rsid w:val="004C37D4"/>
    <w:rsid w:val="004C3991"/>
    <w:rsid w:val="004C3A1D"/>
    <w:rsid w:val="004C3AAF"/>
    <w:rsid w:val="004C3B07"/>
    <w:rsid w:val="004C3BA9"/>
    <w:rsid w:val="004C3D0F"/>
    <w:rsid w:val="004C3F66"/>
    <w:rsid w:val="004C4056"/>
    <w:rsid w:val="004C42AB"/>
    <w:rsid w:val="004C42DF"/>
    <w:rsid w:val="004C42F5"/>
    <w:rsid w:val="004C444E"/>
    <w:rsid w:val="004C4484"/>
    <w:rsid w:val="004C4667"/>
    <w:rsid w:val="004C4741"/>
    <w:rsid w:val="004C47E8"/>
    <w:rsid w:val="004C4808"/>
    <w:rsid w:val="004C4B36"/>
    <w:rsid w:val="004C4B50"/>
    <w:rsid w:val="004C4CE8"/>
    <w:rsid w:val="004C5045"/>
    <w:rsid w:val="004C5166"/>
    <w:rsid w:val="004C51E0"/>
    <w:rsid w:val="004C52F8"/>
    <w:rsid w:val="004C5377"/>
    <w:rsid w:val="004C54CC"/>
    <w:rsid w:val="004C54DE"/>
    <w:rsid w:val="004C5680"/>
    <w:rsid w:val="004C573E"/>
    <w:rsid w:val="004C5929"/>
    <w:rsid w:val="004C59DB"/>
    <w:rsid w:val="004C5B8B"/>
    <w:rsid w:val="004C5C22"/>
    <w:rsid w:val="004C5CB1"/>
    <w:rsid w:val="004C5CC3"/>
    <w:rsid w:val="004C5DC4"/>
    <w:rsid w:val="004C5E0D"/>
    <w:rsid w:val="004C5FCB"/>
    <w:rsid w:val="004C5FED"/>
    <w:rsid w:val="004C60CD"/>
    <w:rsid w:val="004C617F"/>
    <w:rsid w:val="004C61BD"/>
    <w:rsid w:val="004C628D"/>
    <w:rsid w:val="004C62C4"/>
    <w:rsid w:val="004C634E"/>
    <w:rsid w:val="004C636B"/>
    <w:rsid w:val="004C6478"/>
    <w:rsid w:val="004C649B"/>
    <w:rsid w:val="004C65A0"/>
    <w:rsid w:val="004C65E5"/>
    <w:rsid w:val="004C65F7"/>
    <w:rsid w:val="004C6607"/>
    <w:rsid w:val="004C6672"/>
    <w:rsid w:val="004C66B2"/>
    <w:rsid w:val="004C6757"/>
    <w:rsid w:val="004C689C"/>
    <w:rsid w:val="004C691A"/>
    <w:rsid w:val="004C691B"/>
    <w:rsid w:val="004C694C"/>
    <w:rsid w:val="004C6A60"/>
    <w:rsid w:val="004C6B56"/>
    <w:rsid w:val="004C6C72"/>
    <w:rsid w:val="004C6CFF"/>
    <w:rsid w:val="004C6D16"/>
    <w:rsid w:val="004C6D2B"/>
    <w:rsid w:val="004C6D3D"/>
    <w:rsid w:val="004C6DD1"/>
    <w:rsid w:val="004C6E18"/>
    <w:rsid w:val="004C6FA9"/>
    <w:rsid w:val="004C7022"/>
    <w:rsid w:val="004C703E"/>
    <w:rsid w:val="004C7058"/>
    <w:rsid w:val="004C70C7"/>
    <w:rsid w:val="004C722F"/>
    <w:rsid w:val="004C7290"/>
    <w:rsid w:val="004C7328"/>
    <w:rsid w:val="004C7344"/>
    <w:rsid w:val="004C7356"/>
    <w:rsid w:val="004C73EE"/>
    <w:rsid w:val="004C743E"/>
    <w:rsid w:val="004C7561"/>
    <w:rsid w:val="004C7723"/>
    <w:rsid w:val="004C7A3C"/>
    <w:rsid w:val="004C7AA9"/>
    <w:rsid w:val="004C7ABF"/>
    <w:rsid w:val="004C7B10"/>
    <w:rsid w:val="004C7E09"/>
    <w:rsid w:val="004D00E2"/>
    <w:rsid w:val="004D012D"/>
    <w:rsid w:val="004D01B3"/>
    <w:rsid w:val="004D038E"/>
    <w:rsid w:val="004D0390"/>
    <w:rsid w:val="004D0441"/>
    <w:rsid w:val="004D0507"/>
    <w:rsid w:val="004D06F5"/>
    <w:rsid w:val="004D07FD"/>
    <w:rsid w:val="004D0879"/>
    <w:rsid w:val="004D090E"/>
    <w:rsid w:val="004D0AB0"/>
    <w:rsid w:val="004D0B70"/>
    <w:rsid w:val="004D0C75"/>
    <w:rsid w:val="004D0CC6"/>
    <w:rsid w:val="004D0E2E"/>
    <w:rsid w:val="004D0ECB"/>
    <w:rsid w:val="004D0ECF"/>
    <w:rsid w:val="004D0F6B"/>
    <w:rsid w:val="004D0FED"/>
    <w:rsid w:val="004D11A6"/>
    <w:rsid w:val="004D11D7"/>
    <w:rsid w:val="004D1372"/>
    <w:rsid w:val="004D13F5"/>
    <w:rsid w:val="004D1727"/>
    <w:rsid w:val="004D176A"/>
    <w:rsid w:val="004D178C"/>
    <w:rsid w:val="004D17C4"/>
    <w:rsid w:val="004D1879"/>
    <w:rsid w:val="004D19B5"/>
    <w:rsid w:val="004D1A93"/>
    <w:rsid w:val="004D1C16"/>
    <w:rsid w:val="004D1CC7"/>
    <w:rsid w:val="004D1D7F"/>
    <w:rsid w:val="004D1E1F"/>
    <w:rsid w:val="004D1F07"/>
    <w:rsid w:val="004D1F09"/>
    <w:rsid w:val="004D1F35"/>
    <w:rsid w:val="004D206E"/>
    <w:rsid w:val="004D22E7"/>
    <w:rsid w:val="004D23D3"/>
    <w:rsid w:val="004D23D5"/>
    <w:rsid w:val="004D23E3"/>
    <w:rsid w:val="004D2429"/>
    <w:rsid w:val="004D24DF"/>
    <w:rsid w:val="004D253E"/>
    <w:rsid w:val="004D25C0"/>
    <w:rsid w:val="004D2604"/>
    <w:rsid w:val="004D2706"/>
    <w:rsid w:val="004D2765"/>
    <w:rsid w:val="004D2779"/>
    <w:rsid w:val="004D2BFE"/>
    <w:rsid w:val="004D2C05"/>
    <w:rsid w:val="004D2C76"/>
    <w:rsid w:val="004D2CB6"/>
    <w:rsid w:val="004D2E5B"/>
    <w:rsid w:val="004D2E7E"/>
    <w:rsid w:val="004D2F21"/>
    <w:rsid w:val="004D2F22"/>
    <w:rsid w:val="004D2F5A"/>
    <w:rsid w:val="004D2FDB"/>
    <w:rsid w:val="004D3061"/>
    <w:rsid w:val="004D30A2"/>
    <w:rsid w:val="004D313C"/>
    <w:rsid w:val="004D31AF"/>
    <w:rsid w:val="004D322D"/>
    <w:rsid w:val="004D334F"/>
    <w:rsid w:val="004D3361"/>
    <w:rsid w:val="004D33ED"/>
    <w:rsid w:val="004D3565"/>
    <w:rsid w:val="004D3577"/>
    <w:rsid w:val="004D357D"/>
    <w:rsid w:val="004D362F"/>
    <w:rsid w:val="004D36C8"/>
    <w:rsid w:val="004D36E6"/>
    <w:rsid w:val="004D370F"/>
    <w:rsid w:val="004D377A"/>
    <w:rsid w:val="004D37F5"/>
    <w:rsid w:val="004D3817"/>
    <w:rsid w:val="004D3866"/>
    <w:rsid w:val="004D39B9"/>
    <w:rsid w:val="004D3A53"/>
    <w:rsid w:val="004D3B76"/>
    <w:rsid w:val="004D3BA5"/>
    <w:rsid w:val="004D3BD2"/>
    <w:rsid w:val="004D3C96"/>
    <w:rsid w:val="004D3CF0"/>
    <w:rsid w:val="004D3DF7"/>
    <w:rsid w:val="004D3E8E"/>
    <w:rsid w:val="004D3FDE"/>
    <w:rsid w:val="004D41FE"/>
    <w:rsid w:val="004D4272"/>
    <w:rsid w:val="004D43AA"/>
    <w:rsid w:val="004D4445"/>
    <w:rsid w:val="004D4469"/>
    <w:rsid w:val="004D4507"/>
    <w:rsid w:val="004D4744"/>
    <w:rsid w:val="004D494E"/>
    <w:rsid w:val="004D49FA"/>
    <w:rsid w:val="004D4A4E"/>
    <w:rsid w:val="004D4BD7"/>
    <w:rsid w:val="004D4C8A"/>
    <w:rsid w:val="004D4D94"/>
    <w:rsid w:val="004D4DB2"/>
    <w:rsid w:val="004D4E83"/>
    <w:rsid w:val="004D502E"/>
    <w:rsid w:val="004D513E"/>
    <w:rsid w:val="004D517F"/>
    <w:rsid w:val="004D535A"/>
    <w:rsid w:val="004D55D5"/>
    <w:rsid w:val="004D5644"/>
    <w:rsid w:val="004D5701"/>
    <w:rsid w:val="004D580D"/>
    <w:rsid w:val="004D5917"/>
    <w:rsid w:val="004D5987"/>
    <w:rsid w:val="004D59F7"/>
    <w:rsid w:val="004D5ABE"/>
    <w:rsid w:val="004D5E3F"/>
    <w:rsid w:val="004D5E7E"/>
    <w:rsid w:val="004D5E91"/>
    <w:rsid w:val="004D5EEB"/>
    <w:rsid w:val="004D5EF6"/>
    <w:rsid w:val="004D6169"/>
    <w:rsid w:val="004D6314"/>
    <w:rsid w:val="004D6357"/>
    <w:rsid w:val="004D63C3"/>
    <w:rsid w:val="004D63F7"/>
    <w:rsid w:val="004D6685"/>
    <w:rsid w:val="004D6787"/>
    <w:rsid w:val="004D6AFB"/>
    <w:rsid w:val="004D6B6D"/>
    <w:rsid w:val="004D6C81"/>
    <w:rsid w:val="004D6C85"/>
    <w:rsid w:val="004D6C9C"/>
    <w:rsid w:val="004D6CB4"/>
    <w:rsid w:val="004D6D82"/>
    <w:rsid w:val="004D706D"/>
    <w:rsid w:val="004D717B"/>
    <w:rsid w:val="004D71B3"/>
    <w:rsid w:val="004D72B3"/>
    <w:rsid w:val="004D72CB"/>
    <w:rsid w:val="004D73B9"/>
    <w:rsid w:val="004D73C5"/>
    <w:rsid w:val="004D7491"/>
    <w:rsid w:val="004D75CE"/>
    <w:rsid w:val="004D7639"/>
    <w:rsid w:val="004D7668"/>
    <w:rsid w:val="004D77A3"/>
    <w:rsid w:val="004D77F4"/>
    <w:rsid w:val="004D7861"/>
    <w:rsid w:val="004D79DA"/>
    <w:rsid w:val="004D79DD"/>
    <w:rsid w:val="004D7AD4"/>
    <w:rsid w:val="004D7AFF"/>
    <w:rsid w:val="004D7E19"/>
    <w:rsid w:val="004D7FEF"/>
    <w:rsid w:val="004E0140"/>
    <w:rsid w:val="004E01E5"/>
    <w:rsid w:val="004E0205"/>
    <w:rsid w:val="004E0428"/>
    <w:rsid w:val="004E044F"/>
    <w:rsid w:val="004E0468"/>
    <w:rsid w:val="004E0579"/>
    <w:rsid w:val="004E061F"/>
    <w:rsid w:val="004E071B"/>
    <w:rsid w:val="004E078E"/>
    <w:rsid w:val="004E07D4"/>
    <w:rsid w:val="004E081A"/>
    <w:rsid w:val="004E09AB"/>
    <w:rsid w:val="004E09F7"/>
    <w:rsid w:val="004E0ABD"/>
    <w:rsid w:val="004E0CF5"/>
    <w:rsid w:val="004E0E77"/>
    <w:rsid w:val="004E0EA3"/>
    <w:rsid w:val="004E0FBD"/>
    <w:rsid w:val="004E106B"/>
    <w:rsid w:val="004E1102"/>
    <w:rsid w:val="004E1154"/>
    <w:rsid w:val="004E124D"/>
    <w:rsid w:val="004E1273"/>
    <w:rsid w:val="004E1403"/>
    <w:rsid w:val="004E1404"/>
    <w:rsid w:val="004E1435"/>
    <w:rsid w:val="004E1563"/>
    <w:rsid w:val="004E156A"/>
    <w:rsid w:val="004E16AA"/>
    <w:rsid w:val="004E17CD"/>
    <w:rsid w:val="004E17E5"/>
    <w:rsid w:val="004E1830"/>
    <w:rsid w:val="004E18C9"/>
    <w:rsid w:val="004E19B5"/>
    <w:rsid w:val="004E1A01"/>
    <w:rsid w:val="004E1A30"/>
    <w:rsid w:val="004E1A46"/>
    <w:rsid w:val="004E1A67"/>
    <w:rsid w:val="004E1B22"/>
    <w:rsid w:val="004E1B50"/>
    <w:rsid w:val="004E1BCC"/>
    <w:rsid w:val="004E1C36"/>
    <w:rsid w:val="004E1D16"/>
    <w:rsid w:val="004E1D62"/>
    <w:rsid w:val="004E1F8A"/>
    <w:rsid w:val="004E1FBC"/>
    <w:rsid w:val="004E20CC"/>
    <w:rsid w:val="004E214A"/>
    <w:rsid w:val="004E219E"/>
    <w:rsid w:val="004E2251"/>
    <w:rsid w:val="004E2378"/>
    <w:rsid w:val="004E23FD"/>
    <w:rsid w:val="004E2467"/>
    <w:rsid w:val="004E266F"/>
    <w:rsid w:val="004E2719"/>
    <w:rsid w:val="004E27B0"/>
    <w:rsid w:val="004E2B58"/>
    <w:rsid w:val="004E2B8B"/>
    <w:rsid w:val="004E2BD7"/>
    <w:rsid w:val="004E2E08"/>
    <w:rsid w:val="004E2E0C"/>
    <w:rsid w:val="004E2FB8"/>
    <w:rsid w:val="004E3069"/>
    <w:rsid w:val="004E314C"/>
    <w:rsid w:val="004E32F8"/>
    <w:rsid w:val="004E3348"/>
    <w:rsid w:val="004E334F"/>
    <w:rsid w:val="004E3400"/>
    <w:rsid w:val="004E3419"/>
    <w:rsid w:val="004E34D2"/>
    <w:rsid w:val="004E353A"/>
    <w:rsid w:val="004E3544"/>
    <w:rsid w:val="004E3578"/>
    <w:rsid w:val="004E3643"/>
    <w:rsid w:val="004E36AF"/>
    <w:rsid w:val="004E3707"/>
    <w:rsid w:val="004E371A"/>
    <w:rsid w:val="004E37EA"/>
    <w:rsid w:val="004E3961"/>
    <w:rsid w:val="004E3B75"/>
    <w:rsid w:val="004E3C34"/>
    <w:rsid w:val="004E3D40"/>
    <w:rsid w:val="004E3D6A"/>
    <w:rsid w:val="004E3EC5"/>
    <w:rsid w:val="004E3EDD"/>
    <w:rsid w:val="004E3F2B"/>
    <w:rsid w:val="004E4044"/>
    <w:rsid w:val="004E409D"/>
    <w:rsid w:val="004E417D"/>
    <w:rsid w:val="004E41A4"/>
    <w:rsid w:val="004E4212"/>
    <w:rsid w:val="004E421F"/>
    <w:rsid w:val="004E4238"/>
    <w:rsid w:val="004E4329"/>
    <w:rsid w:val="004E443F"/>
    <w:rsid w:val="004E44B4"/>
    <w:rsid w:val="004E44E4"/>
    <w:rsid w:val="004E455E"/>
    <w:rsid w:val="004E4571"/>
    <w:rsid w:val="004E4619"/>
    <w:rsid w:val="004E48A2"/>
    <w:rsid w:val="004E4906"/>
    <w:rsid w:val="004E4937"/>
    <w:rsid w:val="004E494C"/>
    <w:rsid w:val="004E4ABA"/>
    <w:rsid w:val="004E4B00"/>
    <w:rsid w:val="004E4E54"/>
    <w:rsid w:val="004E4EDD"/>
    <w:rsid w:val="004E4F1F"/>
    <w:rsid w:val="004E4F73"/>
    <w:rsid w:val="004E5184"/>
    <w:rsid w:val="004E521A"/>
    <w:rsid w:val="004E534B"/>
    <w:rsid w:val="004E5370"/>
    <w:rsid w:val="004E537C"/>
    <w:rsid w:val="004E5385"/>
    <w:rsid w:val="004E55E8"/>
    <w:rsid w:val="004E5749"/>
    <w:rsid w:val="004E5767"/>
    <w:rsid w:val="004E57FB"/>
    <w:rsid w:val="004E5880"/>
    <w:rsid w:val="004E5992"/>
    <w:rsid w:val="004E5A42"/>
    <w:rsid w:val="004E5A4D"/>
    <w:rsid w:val="004E5AFE"/>
    <w:rsid w:val="004E5D5C"/>
    <w:rsid w:val="004E5EF1"/>
    <w:rsid w:val="004E5F4C"/>
    <w:rsid w:val="004E5F71"/>
    <w:rsid w:val="004E6052"/>
    <w:rsid w:val="004E6058"/>
    <w:rsid w:val="004E605E"/>
    <w:rsid w:val="004E6118"/>
    <w:rsid w:val="004E61B1"/>
    <w:rsid w:val="004E649D"/>
    <w:rsid w:val="004E6531"/>
    <w:rsid w:val="004E6564"/>
    <w:rsid w:val="004E66BF"/>
    <w:rsid w:val="004E66E2"/>
    <w:rsid w:val="004E697F"/>
    <w:rsid w:val="004E6A89"/>
    <w:rsid w:val="004E6BE3"/>
    <w:rsid w:val="004E6C9B"/>
    <w:rsid w:val="004E6CA5"/>
    <w:rsid w:val="004E6D55"/>
    <w:rsid w:val="004E6D59"/>
    <w:rsid w:val="004E6D89"/>
    <w:rsid w:val="004E6E49"/>
    <w:rsid w:val="004E6F78"/>
    <w:rsid w:val="004E705E"/>
    <w:rsid w:val="004E7095"/>
    <w:rsid w:val="004E70B3"/>
    <w:rsid w:val="004E734C"/>
    <w:rsid w:val="004E74CB"/>
    <w:rsid w:val="004E7551"/>
    <w:rsid w:val="004E7622"/>
    <w:rsid w:val="004E766F"/>
    <w:rsid w:val="004E7716"/>
    <w:rsid w:val="004E78EB"/>
    <w:rsid w:val="004E7ADB"/>
    <w:rsid w:val="004E7B27"/>
    <w:rsid w:val="004E7B95"/>
    <w:rsid w:val="004E7C84"/>
    <w:rsid w:val="004E7C8B"/>
    <w:rsid w:val="004E7DBF"/>
    <w:rsid w:val="004E7DD7"/>
    <w:rsid w:val="004E7E22"/>
    <w:rsid w:val="004E7EE0"/>
    <w:rsid w:val="004EBC6F"/>
    <w:rsid w:val="004F0057"/>
    <w:rsid w:val="004F0086"/>
    <w:rsid w:val="004F0172"/>
    <w:rsid w:val="004F020E"/>
    <w:rsid w:val="004F039D"/>
    <w:rsid w:val="004F03B9"/>
    <w:rsid w:val="004F04F0"/>
    <w:rsid w:val="004F055C"/>
    <w:rsid w:val="004F0647"/>
    <w:rsid w:val="004F073B"/>
    <w:rsid w:val="004F08DF"/>
    <w:rsid w:val="004F0A90"/>
    <w:rsid w:val="004F0ABD"/>
    <w:rsid w:val="004F0B36"/>
    <w:rsid w:val="004F0B5A"/>
    <w:rsid w:val="004F0BEE"/>
    <w:rsid w:val="004F0C3A"/>
    <w:rsid w:val="004F0D25"/>
    <w:rsid w:val="004F0DF7"/>
    <w:rsid w:val="004F0F81"/>
    <w:rsid w:val="004F112E"/>
    <w:rsid w:val="004F117E"/>
    <w:rsid w:val="004F11EB"/>
    <w:rsid w:val="004F1285"/>
    <w:rsid w:val="004F12E6"/>
    <w:rsid w:val="004F139F"/>
    <w:rsid w:val="004F1421"/>
    <w:rsid w:val="004F1430"/>
    <w:rsid w:val="004F151E"/>
    <w:rsid w:val="004F161B"/>
    <w:rsid w:val="004F17E1"/>
    <w:rsid w:val="004F1807"/>
    <w:rsid w:val="004F1880"/>
    <w:rsid w:val="004F1977"/>
    <w:rsid w:val="004F1AFA"/>
    <w:rsid w:val="004F1BB9"/>
    <w:rsid w:val="004F1C6D"/>
    <w:rsid w:val="004F1D5B"/>
    <w:rsid w:val="004F1D82"/>
    <w:rsid w:val="004F1D9B"/>
    <w:rsid w:val="004F1DB9"/>
    <w:rsid w:val="004F1F99"/>
    <w:rsid w:val="004F2020"/>
    <w:rsid w:val="004F220C"/>
    <w:rsid w:val="004F2283"/>
    <w:rsid w:val="004F2296"/>
    <w:rsid w:val="004F22ED"/>
    <w:rsid w:val="004F237A"/>
    <w:rsid w:val="004F24A1"/>
    <w:rsid w:val="004F25FA"/>
    <w:rsid w:val="004F260F"/>
    <w:rsid w:val="004F26E8"/>
    <w:rsid w:val="004F27D0"/>
    <w:rsid w:val="004F28F5"/>
    <w:rsid w:val="004F2A3D"/>
    <w:rsid w:val="004F2ABE"/>
    <w:rsid w:val="004F2C46"/>
    <w:rsid w:val="004F2C9A"/>
    <w:rsid w:val="004F2D63"/>
    <w:rsid w:val="004F2D7D"/>
    <w:rsid w:val="004F2DA2"/>
    <w:rsid w:val="004F2E31"/>
    <w:rsid w:val="004F2F0D"/>
    <w:rsid w:val="004F2F2B"/>
    <w:rsid w:val="004F2F78"/>
    <w:rsid w:val="004F304E"/>
    <w:rsid w:val="004F305C"/>
    <w:rsid w:val="004F312B"/>
    <w:rsid w:val="004F3407"/>
    <w:rsid w:val="004F3575"/>
    <w:rsid w:val="004F35A9"/>
    <w:rsid w:val="004F366D"/>
    <w:rsid w:val="004F36FC"/>
    <w:rsid w:val="004F373A"/>
    <w:rsid w:val="004F3A92"/>
    <w:rsid w:val="004F3ACD"/>
    <w:rsid w:val="004F3BC5"/>
    <w:rsid w:val="004F3C69"/>
    <w:rsid w:val="004F3D95"/>
    <w:rsid w:val="004F3EFA"/>
    <w:rsid w:val="004F3FCD"/>
    <w:rsid w:val="004F402A"/>
    <w:rsid w:val="004F405D"/>
    <w:rsid w:val="004F4171"/>
    <w:rsid w:val="004F4203"/>
    <w:rsid w:val="004F4434"/>
    <w:rsid w:val="004F44ED"/>
    <w:rsid w:val="004F45C9"/>
    <w:rsid w:val="004F46F1"/>
    <w:rsid w:val="004F473C"/>
    <w:rsid w:val="004F4745"/>
    <w:rsid w:val="004F4756"/>
    <w:rsid w:val="004F48CC"/>
    <w:rsid w:val="004F490B"/>
    <w:rsid w:val="004F4992"/>
    <w:rsid w:val="004F4A06"/>
    <w:rsid w:val="004F4A55"/>
    <w:rsid w:val="004F4A88"/>
    <w:rsid w:val="004F4D10"/>
    <w:rsid w:val="004F4D86"/>
    <w:rsid w:val="004F4F82"/>
    <w:rsid w:val="004F4FBC"/>
    <w:rsid w:val="004F5013"/>
    <w:rsid w:val="004F51E9"/>
    <w:rsid w:val="004F5263"/>
    <w:rsid w:val="004F52B5"/>
    <w:rsid w:val="004F53DB"/>
    <w:rsid w:val="004F5443"/>
    <w:rsid w:val="004F547D"/>
    <w:rsid w:val="004F5557"/>
    <w:rsid w:val="004F55A5"/>
    <w:rsid w:val="004F569E"/>
    <w:rsid w:val="004F56DC"/>
    <w:rsid w:val="004F5716"/>
    <w:rsid w:val="004F57B4"/>
    <w:rsid w:val="004F58E6"/>
    <w:rsid w:val="004F5A1B"/>
    <w:rsid w:val="004F5A36"/>
    <w:rsid w:val="004F5A79"/>
    <w:rsid w:val="004F5AA3"/>
    <w:rsid w:val="004F5B7F"/>
    <w:rsid w:val="004F5B91"/>
    <w:rsid w:val="004F5C98"/>
    <w:rsid w:val="004F5D24"/>
    <w:rsid w:val="004F5D67"/>
    <w:rsid w:val="004F5E2B"/>
    <w:rsid w:val="004F601B"/>
    <w:rsid w:val="004F6185"/>
    <w:rsid w:val="004F6373"/>
    <w:rsid w:val="004F6479"/>
    <w:rsid w:val="004F660A"/>
    <w:rsid w:val="004F661F"/>
    <w:rsid w:val="004F664C"/>
    <w:rsid w:val="004F665C"/>
    <w:rsid w:val="004F66C5"/>
    <w:rsid w:val="004F683A"/>
    <w:rsid w:val="004F6A17"/>
    <w:rsid w:val="004F6A28"/>
    <w:rsid w:val="004F6B5C"/>
    <w:rsid w:val="004F6CD2"/>
    <w:rsid w:val="004F6D40"/>
    <w:rsid w:val="004F6F28"/>
    <w:rsid w:val="004F6FBE"/>
    <w:rsid w:val="004F700E"/>
    <w:rsid w:val="004F7010"/>
    <w:rsid w:val="004F7185"/>
    <w:rsid w:val="004F72FB"/>
    <w:rsid w:val="004F7385"/>
    <w:rsid w:val="004F7648"/>
    <w:rsid w:val="004F7766"/>
    <w:rsid w:val="004F7790"/>
    <w:rsid w:val="004F77CF"/>
    <w:rsid w:val="004F784A"/>
    <w:rsid w:val="004F797B"/>
    <w:rsid w:val="004F7B26"/>
    <w:rsid w:val="004F7B90"/>
    <w:rsid w:val="004F7C2C"/>
    <w:rsid w:val="004F7C32"/>
    <w:rsid w:val="004F7CEB"/>
    <w:rsid w:val="004F7FE8"/>
    <w:rsid w:val="004FA49E"/>
    <w:rsid w:val="00500109"/>
    <w:rsid w:val="0050012F"/>
    <w:rsid w:val="00500146"/>
    <w:rsid w:val="00500189"/>
    <w:rsid w:val="005001F8"/>
    <w:rsid w:val="0050026B"/>
    <w:rsid w:val="005002B4"/>
    <w:rsid w:val="0050031D"/>
    <w:rsid w:val="00500353"/>
    <w:rsid w:val="00500354"/>
    <w:rsid w:val="00500400"/>
    <w:rsid w:val="005004DB"/>
    <w:rsid w:val="0050059D"/>
    <w:rsid w:val="00500659"/>
    <w:rsid w:val="00500748"/>
    <w:rsid w:val="005008DC"/>
    <w:rsid w:val="00500919"/>
    <w:rsid w:val="00500931"/>
    <w:rsid w:val="00500932"/>
    <w:rsid w:val="00500BF7"/>
    <w:rsid w:val="00500CC5"/>
    <w:rsid w:val="00500CFB"/>
    <w:rsid w:val="00500D09"/>
    <w:rsid w:val="00500FB6"/>
    <w:rsid w:val="005011C9"/>
    <w:rsid w:val="005011E5"/>
    <w:rsid w:val="005012F2"/>
    <w:rsid w:val="005013BA"/>
    <w:rsid w:val="005013DB"/>
    <w:rsid w:val="00501441"/>
    <w:rsid w:val="005014FB"/>
    <w:rsid w:val="00501510"/>
    <w:rsid w:val="0050173E"/>
    <w:rsid w:val="0050176A"/>
    <w:rsid w:val="00501988"/>
    <w:rsid w:val="00501A39"/>
    <w:rsid w:val="00501A55"/>
    <w:rsid w:val="00501AB0"/>
    <w:rsid w:val="00501ABD"/>
    <w:rsid w:val="00501B17"/>
    <w:rsid w:val="00501B30"/>
    <w:rsid w:val="00501B36"/>
    <w:rsid w:val="00501CC1"/>
    <w:rsid w:val="00501CDB"/>
    <w:rsid w:val="00501D00"/>
    <w:rsid w:val="00501D4D"/>
    <w:rsid w:val="00501E40"/>
    <w:rsid w:val="00501E9F"/>
    <w:rsid w:val="00501F20"/>
    <w:rsid w:val="00501F49"/>
    <w:rsid w:val="00501FF8"/>
    <w:rsid w:val="005020C6"/>
    <w:rsid w:val="0050239C"/>
    <w:rsid w:val="0050251A"/>
    <w:rsid w:val="00502577"/>
    <w:rsid w:val="005025C9"/>
    <w:rsid w:val="005028D3"/>
    <w:rsid w:val="005028D7"/>
    <w:rsid w:val="005029A7"/>
    <w:rsid w:val="00502A09"/>
    <w:rsid w:val="00502AC5"/>
    <w:rsid w:val="00502AED"/>
    <w:rsid w:val="00502BB2"/>
    <w:rsid w:val="00502BFF"/>
    <w:rsid w:val="00502C23"/>
    <w:rsid w:val="00502C55"/>
    <w:rsid w:val="00502D25"/>
    <w:rsid w:val="00502DDF"/>
    <w:rsid w:val="00502F9C"/>
    <w:rsid w:val="00502FA6"/>
    <w:rsid w:val="00502FCA"/>
    <w:rsid w:val="005030EC"/>
    <w:rsid w:val="005031D6"/>
    <w:rsid w:val="0050327D"/>
    <w:rsid w:val="005032ED"/>
    <w:rsid w:val="0050334C"/>
    <w:rsid w:val="0050340E"/>
    <w:rsid w:val="00503612"/>
    <w:rsid w:val="00503644"/>
    <w:rsid w:val="00503765"/>
    <w:rsid w:val="005037A1"/>
    <w:rsid w:val="005037D9"/>
    <w:rsid w:val="00503888"/>
    <w:rsid w:val="005039B7"/>
    <w:rsid w:val="00503AA0"/>
    <w:rsid w:val="00503BBF"/>
    <w:rsid w:val="00503D17"/>
    <w:rsid w:val="00503E41"/>
    <w:rsid w:val="00503E45"/>
    <w:rsid w:val="00503ED9"/>
    <w:rsid w:val="00503EFA"/>
    <w:rsid w:val="00503F48"/>
    <w:rsid w:val="00504014"/>
    <w:rsid w:val="005040C4"/>
    <w:rsid w:val="005041E5"/>
    <w:rsid w:val="00504316"/>
    <w:rsid w:val="005043AE"/>
    <w:rsid w:val="005044FA"/>
    <w:rsid w:val="00504645"/>
    <w:rsid w:val="00504706"/>
    <w:rsid w:val="0050477A"/>
    <w:rsid w:val="00504782"/>
    <w:rsid w:val="005047A7"/>
    <w:rsid w:val="00504845"/>
    <w:rsid w:val="005048D2"/>
    <w:rsid w:val="00504968"/>
    <w:rsid w:val="00504B02"/>
    <w:rsid w:val="00504B26"/>
    <w:rsid w:val="00504C92"/>
    <w:rsid w:val="00504CDC"/>
    <w:rsid w:val="00504E6A"/>
    <w:rsid w:val="00504F5A"/>
    <w:rsid w:val="005051B3"/>
    <w:rsid w:val="0050520C"/>
    <w:rsid w:val="00505692"/>
    <w:rsid w:val="005056CE"/>
    <w:rsid w:val="0050570F"/>
    <w:rsid w:val="00505730"/>
    <w:rsid w:val="0050584B"/>
    <w:rsid w:val="0050589C"/>
    <w:rsid w:val="005058BE"/>
    <w:rsid w:val="005058CC"/>
    <w:rsid w:val="005059D6"/>
    <w:rsid w:val="00505A01"/>
    <w:rsid w:val="00505A12"/>
    <w:rsid w:val="00505B76"/>
    <w:rsid w:val="00505BA4"/>
    <w:rsid w:val="00505C60"/>
    <w:rsid w:val="00505CEE"/>
    <w:rsid w:val="00505D13"/>
    <w:rsid w:val="00505D55"/>
    <w:rsid w:val="00505D83"/>
    <w:rsid w:val="00505DDC"/>
    <w:rsid w:val="00505F19"/>
    <w:rsid w:val="00505FBA"/>
    <w:rsid w:val="00506042"/>
    <w:rsid w:val="005060B1"/>
    <w:rsid w:val="00506102"/>
    <w:rsid w:val="00506159"/>
    <w:rsid w:val="00506243"/>
    <w:rsid w:val="00506267"/>
    <w:rsid w:val="00506288"/>
    <w:rsid w:val="005062AF"/>
    <w:rsid w:val="00506470"/>
    <w:rsid w:val="00506490"/>
    <w:rsid w:val="00506505"/>
    <w:rsid w:val="00506598"/>
    <w:rsid w:val="005065C4"/>
    <w:rsid w:val="005065C7"/>
    <w:rsid w:val="00506696"/>
    <w:rsid w:val="00506906"/>
    <w:rsid w:val="00506B16"/>
    <w:rsid w:val="00506BE2"/>
    <w:rsid w:val="00506C10"/>
    <w:rsid w:val="00506C27"/>
    <w:rsid w:val="00506C7A"/>
    <w:rsid w:val="00506D4E"/>
    <w:rsid w:val="00506D86"/>
    <w:rsid w:val="00506ECA"/>
    <w:rsid w:val="00506EE7"/>
    <w:rsid w:val="00506EF5"/>
    <w:rsid w:val="00506F76"/>
    <w:rsid w:val="00506F7B"/>
    <w:rsid w:val="0050708D"/>
    <w:rsid w:val="005070A1"/>
    <w:rsid w:val="005071A3"/>
    <w:rsid w:val="005071B5"/>
    <w:rsid w:val="0050722F"/>
    <w:rsid w:val="00507251"/>
    <w:rsid w:val="0050727E"/>
    <w:rsid w:val="005073A6"/>
    <w:rsid w:val="00507522"/>
    <w:rsid w:val="005075FE"/>
    <w:rsid w:val="0050768D"/>
    <w:rsid w:val="0050781E"/>
    <w:rsid w:val="00507843"/>
    <w:rsid w:val="00507899"/>
    <w:rsid w:val="0050792D"/>
    <w:rsid w:val="00507A6C"/>
    <w:rsid w:val="00507ADF"/>
    <w:rsid w:val="00507AFA"/>
    <w:rsid w:val="00507C8A"/>
    <w:rsid w:val="00507D8D"/>
    <w:rsid w:val="00507DC7"/>
    <w:rsid w:val="00507E4C"/>
    <w:rsid w:val="00507ED0"/>
    <w:rsid w:val="00507FF7"/>
    <w:rsid w:val="005102A2"/>
    <w:rsid w:val="005103AB"/>
    <w:rsid w:val="005103C4"/>
    <w:rsid w:val="00510518"/>
    <w:rsid w:val="00510638"/>
    <w:rsid w:val="005106D9"/>
    <w:rsid w:val="00510706"/>
    <w:rsid w:val="00510A68"/>
    <w:rsid w:val="00510B00"/>
    <w:rsid w:val="00510B2B"/>
    <w:rsid w:val="00510BFA"/>
    <w:rsid w:val="00510E60"/>
    <w:rsid w:val="00510EDC"/>
    <w:rsid w:val="005110AD"/>
    <w:rsid w:val="005110C2"/>
    <w:rsid w:val="005110F4"/>
    <w:rsid w:val="0051125B"/>
    <w:rsid w:val="005112D0"/>
    <w:rsid w:val="005112DA"/>
    <w:rsid w:val="00511407"/>
    <w:rsid w:val="005114B3"/>
    <w:rsid w:val="0051159C"/>
    <w:rsid w:val="005115B9"/>
    <w:rsid w:val="00511669"/>
    <w:rsid w:val="005116C8"/>
    <w:rsid w:val="005116D4"/>
    <w:rsid w:val="00511868"/>
    <w:rsid w:val="005118D5"/>
    <w:rsid w:val="00511ABE"/>
    <w:rsid w:val="00511BF1"/>
    <w:rsid w:val="00511C1E"/>
    <w:rsid w:val="00511CD8"/>
    <w:rsid w:val="00511DA9"/>
    <w:rsid w:val="00511DF5"/>
    <w:rsid w:val="00511E15"/>
    <w:rsid w:val="00511F82"/>
    <w:rsid w:val="00511F85"/>
    <w:rsid w:val="005120E7"/>
    <w:rsid w:val="005121C6"/>
    <w:rsid w:val="005121FA"/>
    <w:rsid w:val="00512215"/>
    <w:rsid w:val="00512326"/>
    <w:rsid w:val="00512349"/>
    <w:rsid w:val="0051237A"/>
    <w:rsid w:val="005127AE"/>
    <w:rsid w:val="0051283E"/>
    <w:rsid w:val="00512848"/>
    <w:rsid w:val="00512BEF"/>
    <w:rsid w:val="00512DA0"/>
    <w:rsid w:val="00512E79"/>
    <w:rsid w:val="00512EF3"/>
    <w:rsid w:val="005130B4"/>
    <w:rsid w:val="0051314B"/>
    <w:rsid w:val="00513178"/>
    <w:rsid w:val="005132EF"/>
    <w:rsid w:val="005133DA"/>
    <w:rsid w:val="00513415"/>
    <w:rsid w:val="0051345B"/>
    <w:rsid w:val="0051346B"/>
    <w:rsid w:val="005134AE"/>
    <w:rsid w:val="00513548"/>
    <w:rsid w:val="005135A7"/>
    <w:rsid w:val="00513774"/>
    <w:rsid w:val="00513778"/>
    <w:rsid w:val="0051384D"/>
    <w:rsid w:val="0051390D"/>
    <w:rsid w:val="005139EF"/>
    <w:rsid w:val="00513B42"/>
    <w:rsid w:val="00513B94"/>
    <w:rsid w:val="00513C54"/>
    <w:rsid w:val="00513CF6"/>
    <w:rsid w:val="00513EB6"/>
    <w:rsid w:val="00513FD6"/>
    <w:rsid w:val="005140E7"/>
    <w:rsid w:val="005141E6"/>
    <w:rsid w:val="00514239"/>
    <w:rsid w:val="00514308"/>
    <w:rsid w:val="00514455"/>
    <w:rsid w:val="005144BE"/>
    <w:rsid w:val="0051455A"/>
    <w:rsid w:val="005146CD"/>
    <w:rsid w:val="00514755"/>
    <w:rsid w:val="00514AC0"/>
    <w:rsid w:val="00514AFC"/>
    <w:rsid w:val="00514B49"/>
    <w:rsid w:val="00514CEA"/>
    <w:rsid w:val="00514E88"/>
    <w:rsid w:val="00514EEE"/>
    <w:rsid w:val="00514F63"/>
    <w:rsid w:val="0051512F"/>
    <w:rsid w:val="0051518E"/>
    <w:rsid w:val="005151B6"/>
    <w:rsid w:val="00515332"/>
    <w:rsid w:val="0051544B"/>
    <w:rsid w:val="0051550B"/>
    <w:rsid w:val="005155A1"/>
    <w:rsid w:val="0051563A"/>
    <w:rsid w:val="00515684"/>
    <w:rsid w:val="00515744"/>
    <w:rsid w:val="00515801"/>
    <w:rsid w:val="005158FF"/>
    <w:rsid w:val="00515937"/>
    <w:rsid w:val="0051594B"/>
    <w:rsid w:val="00515A8D"/>
    <w:rsid w:val="00515ACF"/>
    <w:rsid w:val="00515B81"/>
    <w:rsid w:val="00515C4D"/>
    <w:rsid w:val="00515DB0"/>
    <w:rsid w:val="00515DB1"/>
    <w:rsid w:val="00515E12"/>
    <w:rsid w:val="00515E55"/>
    <w:rsid w:val="00515F19"/>
    <w:rsid w:val="00515F33"/>
    <w:rsid w:val="00515F6B"/>
    <w:rsid w:val="00515FC6"/>
    <w:rsid w:val="0051609C"/>
    <w:rsid w:val="005160A1"/>
    <w:rsid w:val="005160AE"/>
    <w:rsid w:val="00516154"/>
    <w:rsid w:val="0051639D"/>
    <w:rsid w:val="00516498"/>
    <w:rsid w:val="0051651F"/>
    <w:rsid w:val="00516618"/>
    <w:rsid w:val="00516707"/>
    <w:rsid w:val="005167D3"/>
    <w:rsid w:val="0051680D"/>
    <w:rsid w:val="00516A90"/>
    <w:rsid w:val="00516AD7"/>
    <w:rsid w:val="00516B8E"/>
    <w:rsid w:val="00516BE1"/>
    <w:rsid w:val="00516DE8"/>
    <w:rsid w:val="00516F3C"/>
    <w:rsid w:val="00517038"/>
    <w:rsid w:val="005170CE"/>
    <w:rsid w:val="005170F5"/>
    <w:rsid w:val="00517129"/>
    <w:rsid w:val="0051718A"/>
    <w:rsid w:val="0051719C"/>
    <w:rsid w:val="005171B0"/>
    <w:rsid w:val="0051728A"/>
    <w:rsid w:val="005172B3"/>
    <w:rsid w:val="005172BF"/>
    <w:rsid w:val="00517601"/>
    <w:rsid w:val="005178A1"/>
    <w:rsid w:val="005179F3"/>
    <w:rsid w:val="00517A80"/>
    <w:rsid w:val="00517BE2"/>
    <w:rsid w:val="00517C70"/>
    <w:rsid w:val="00517C83"/>
    <w:rsid w:val="00517D4E"/>
    <w:rsid w:val="00517EF1"/>
    <w:rsid w:val="00517F18"/>
    <w:rsid w:val="00517FC0"/>
    <w:rsid w:val="00517FD1"/>
    <w:rsid w:val="00517FD8"/>
    <w:rsid w:val="005200ED"/>
    <w:rsid w:val="005200FC"/>
    <w:rsid w:val="005201BF"/>
    <w:rsid w:val="005201F7"/>
    <w:rsid w:val="00520264"/>
    <w:rsid w:val="00520534"/>
    <w:rsid w:val="005205CB"/>
    <w:rsid w:val="005205F1"/>
    <w:rsid w:val="0052069D"/>
    <w:rsid w:val="00520719"/>
    <w:rsid w:val="00520759"/>
    <w:rsid w:val="0052098F"/>
    <w:rsid w:val="00520ADA"/>
    <w:rsid w:val="00520B61"/>
    <w:rsid w:val="00520B7C"/>
    <w:rsid w:val="00520BB4"/>
    <w:rsid w:val="00520D64"/>
    <w:rsid w:val="00520F7C"/>
    <w:rsid w:val="0052101B"/>
    <w:rsid w:val="00521057"/>
    <w:rsid w:val="0052109F"/>
    <w:rsid w:val="005210ED"/>
    <w:rsid w:val="00521159"/>
    <w:rsid w:val="0052126E"/>
    <w:rsid w:val="0052132E"/>
    <w:rsid w:val="00521341"/>
    <w:rsid w:val="00521398"/>
    <w:rsid w:val="00521399"/>
    <w:rsid w:val="00521554"/>
    <w:rsid w:val="0052156B"/>
    <w:rsid w:val="00521572"/>
    <w:rsid w:val="005216D0"/>
    <w:rsid w:val="00521712"/>
    <w:rsid w:val="00521816"/>
    <w:rsid w:val="005219E6"/>
    <w:rsid w:val="00521B96"/>
    <w:rsid w:val="00521CC8"/>
    <w:rsid w:val="00521E67"/>
    <w:rsid w:val="00521ECF"/>
    <w:rsid w:val="00522071"/>
    <w:rsid w:val="00522286"/>
    <w:rsid w:val="005222C6"/>
    <w:rsid w:val="00522302"/>
    <w:rsid w:val="00522337"/>
    <w:rsid w:val="00522389"/>
    <w:rsid w:val="005223E8"/>
    <w:rsid w:val="0052242D"/>
    <w:rsid w:val="005224A6"/>
    <w:rsid w:val="005224E7"/>
    <w:rsid w:val="005229AA"/>
    <w:rsid w:val="005229B8"/>
    <w:rsid w:val="00522A13"/>
    <w:rsid w:val="00522B09"/>
    <w:rsid w:val="00522CED"/>
    <w:rsid w:val="00522EDE"/>
    <w:rsid w:val="00523089"/>
    <w:rsid w:val="005230A8"/>
    <w:rsid w:val="00523113"/>
    <w:rsid w:val="00523363"/>
    <w:rsid w:val="0052338B"/>
    <w:rsid w:val="005233E8"/>
    <w:rsid w:val="005233F3"/>
    <w:rsid w:val="005234FC"/>
    <w:rsid w:val="0052351B"/>
    <w:rsid w:val="00523552"/>
    <w:rsid w:val="0052368C"/>
    <w:rsid w:val="005236D2"/>
    <w:rsid w:val="00523700"/>
    <w:rsid w:val="005237C9"/>
    <w:rsid w:val="00523845"/>
    <w:rsid w:val="005238E1"/>
    <w:rsid w:val="005238E9"/>
    <w:rsid w:val="00523940"/>
    <w:rsid w:val="00523C94"/>
    <w:rsid w:val="00523D85"/>
    <w:rsid w:val="00523E88"/>
    <w:rsid w:val="00523ECB"/>
    <w:rsid w:val="00523F75"/>
    <w:rsid w:val="0052403B"/>
    <w:rsid w:val="005240AF"/>
    <w:rsid w:val="005240D5"/>
    <w:rsid w:val="00524236"/>
    <w:rsid w:val="005242ED"/>
    <w:rsid w:val="00524365"/>
    <w:rsid w:val="005244B5"/>
    <w:rsid w:val="005244D6"/>
    <w:rsid w:val="0052458F"/>
    <w:rsid w:val="005245FB"/>
    <w:rsid w:val="00524661"/>
    <w:rsid w:val="00524740"/>
    <w:rsid w:val="005249C0"/>
    <w:rsid w:val="00524A67"/>
    <w:rsid w:val="00524A70"/>
    <w:rsid w:val="00524B2B"/>
    <w:rsid w:val="00524B6B"/>
    <w:rsid w:val="00524BD4"/>
    <w:rsid w:val="00524BF6"/>
    <w:rsid w:val="00524CF4"/>
    <w:rsid w:val="00524E09"/>
    <w:rsid w:val="00524FA9"/>
    <w:rsid w:val="00525057"/>
    <w:rsid w:val="005250B3"/>
    <w:rsid w:val="005252B8"/>
    <w:rsid w:val="00525506"/>
    <w:rsid w:val="00525557"/>
    <w:rsid w:val="00525608"/>
    <w:rsid w:val="00525664"/>
    <w:rsid w:val="005256F3"/>
    <w:rsid w:val="00525807"/>
    <w:rsid w:val="005258C0"/>
    <w:rsid w:val="00525914"/>
    <w:rsid w:val="005259BA"/>
    <w:rsid w:val="00525A1A"/>
    <w:rsid w:val="00525C23"/>
    <w:rsid w:val="00525D91"/>
    <w:rsid w:val="00525DF9"/>
    <w:rsid w:val="00525F84"/>
    <w:rsid w:val="00525FA6"/>
    <w:rsid w:val="00525FAE"/>
    <w:rsid w:val="00525FC7"/>
    <w:rsid w:val="005260BA"/>
    <w:rsid w:val="0052622C"/>
    <w:rsid w:val="005262C8"/>
    <w:rsid w:val="005263A1"/>
    <w:rsid w:val="00526478"/>
    <w:rsid w:val="005264D6"/>
    <w:rsid w:val="005266A1"/>
    <w:rsid w:val="005266F9"/>
    <w:rsid w:val="00526773"/>
    <w:rsid w:val="005267A3"/>
    <w:rsid w:val="00526803"/>
    <w:rsid w:val="00526835"/>
    <w:rsid w:val="00526874"/>
    <w:rsid w:val="0052690A"/>
    <w:rsid w:val="00526957"/>
    <w:rsid w:val="00526965"/>
    <w:rsid w:val="005269C9"/>
    <w:rsid w:val="00526B4C"/>
    <w:rsid w:val="00526B78"/>
    <w:rsid w:val="00526D77"/>
    <w:rsid w:val="00526E26"/>
    <w:rsid w:val="00526E61"/>
    <w:rsid w:val="00527139"/>
    <w:rsid w:val="00527153"/>
    <w:rsid w:val="0052723F"/>
    <w:rsid w:val="00527294"/>
    <w:rsid w:val="00527336"/>
    <w:rsid w:val="00527460"/>
    <w:rsid w:val="005274D5"/>
    <w:rsid w:val="00527588"/>
    <w:rsid w:val="0052758A"/>
    <w:rsid w:val="00527625"/>
    <w:rsid w:val="00527795"/>
    <w:rsid w:val="005277D7"/>
    <w:rsid w:val="005278FA"/>
    <w:rsid w:val="005279C3"/>
    <w:rsid w:val="005279D9"/>
    <w:rsid w:val="00527AE3"/>
    <w:rsid w:val="00527D05"/>
    <w:rsid w:val="00527D97"/>
    <w:rsid w:val="00527DBA"/>
    <w:rsid w:val="00527FA4"/>
    <w:rsid w:val="00527FBD"/>
    <w:rsid w:val="00530159"/>
    <w:rsid w:val="00530236"/>
    <w:rsid w:val="005303D4"/>
    <w:rsid w:val="00530403"/>
    <w:rsid w:val="005304C5"/>
    <w:rsid w:val="0053055F"/>
    <w:rsid w:val="0053068C"/>
    <w:rsid w:val="00530996"/>
    <w:rsid w:val="005309EB"/>
    <w:rsid w:val="00530C23"/>
    <w:rsid w:val="00530E83"/>
    <w:rsid w:val="00530F4F"/>
    <w:rsid w:val="00530FB7"/>
    <w:rsid w:val="00531010"/>
    <w:rsid w:val="00531192"/>
    <w:rsid w:val="005312B1"/>
    <w:rsid w:val="0053143C"/>
    <w:rsid w:val="005315CF"/>
    <w:rsid w:val="005315F4"/>
    <w:rsid w:val="005317CE"/>
    <w:rsid w:val="00531899"/>
    <w:rsid w:val="00531914"/>
    <w:rsid w:val="00531B05"/>
    <w:rsid w:val="00531B6A"/>
    <w:rsid w:val="00531CA8"/>
    <w:rsid w:val="00531CDA"/>
    <w:rsid w:val="00532098"/>
    <w:rsid w:val="005320A5"/>
    <w:rsid w:val="00532110"/>
    <w:rsid w:val="005321F2"/>
    <w:rsid w:val="0053229F"/>
    <w:rsid w:val="0053233E"/>
    <w:rsid w:val="00532373"/>
    <w:rsid w:val="005324C7"/>
    <w:rsid w:val="00532509"/>
    <w:rsid w:val="00532559"/>
    <w:rsid w:val="00532654"/>
    <w:rsid w:val="0053277F"/>
    <w:rsid w:val="00532820"/>
    <w:rsid w:val="0053284C"/>
    <w:rsid w:val="005328C7"/>
    <w:rsid w:val="00532973"/>
    <w:rsid w:val="00532A58"/>
    <w:rsid w:val="00532A78"/>
    <w:rsid w:val="00532A7A"/>
    <w:rsid w:val="00532B5A"/>
    <w:rsid w:val="00532B81"/>
    <w:rsid w:val="00532CED"/>
    <w:rsid w:val="00532E08"/>
    <w:rsid w:val="00532EF2"/>
    <w:rsid w:val="00532F22"/>
    <w:rsid w:val="00532F5C"/>
    <w:rsid w:val="00532F5F"/>
    <w:rsid w:val="00532F95"/>
    <w:rsid w:val="00533140"/>
    <w:rsid w:val="00533182"/>
    <w:rsid w:val="005331DD"/>
    <w:rsid w:val="0053331D"/>
    <w:rsid w:val="0053336B"/>
    <w:rsid w:val="00533462"/>
    <w:rsid w:val="005334C7"/>
    <w:rsid w:val="0053350D"/>
    <w:rsid w:val="0053354D"/>
    <w:rsid w:val="005336A8"/>
    <w:rsid w:val="00533758"/>
    <w:rsid w:val="005337C1"/>
    <w:rsid w:val="005337DE"/>
    <w:rsid w:val="00533A7A"/>
    <w:rsid w:val="00533B81"/>
    <w:rsid w:val="00533C44"/>
    <w:rsid w:val="00533C9C"/>
    <w:rsid w:val="00533D16"/>
    <w:rsid w:val="00533D6B"/>
    <w:rsid w:val="00534083"/>
    <w:rsid w:val="005340AC"/>
    <w:rsid w:val="0053443C"/>
    <w:rsid w:val="00534495"/>
    <w:rsid w:val="005344A5"/>
    <w:rsid w:val="0053457B"/>
    <w:rsid w:val="00534590"/>
    <w:rsid w:val="00534610"/>
    <w:rsid w:val="0053467C"/>
    <w:rsid w:val="005346F7"/>
    <w:rsid w:val="00534866"/>
    <w:rsid w:val="005348C6"/>
    <w:rsid w:val="00534914"/>
    <w:rsid w:val="00534958"/>
    <w:rsid w:val="00534A18"/>
    <w:rsid w:val="00534C4A"/>
    <w:rsid w:val="00534E25"/>
    <w:rsid w:val="00534F26"/>
    <w:rsid w:val="00534F42"/>
    <w:rsid w:val="005350E2"/>
    <w:rsid w:val="00535273"/>
    <w:rsid w:val="0053560F"/>
    <w:rsid w:val="005357D3"/>
    <w:rsid w:val="0053597F"/>
    <w:rsid w:val="00535B90"/>
    <w:rsid w:val="00535C06"/>
    <w:rsid w:val="00535CA6"/>
    <w:rsid w:val="00535CE4"/>
    <w:rsid w:val="00535D57"/>
    <w:rsid w:val="00535E0D"/>
    <w:rsid w:val="00535E52"/>
    <w:rsid w:val="00535E63"/>
    <w:rsid w:val="00535E90"/>
    <w:rsid w:val="00535F8E"/>
    <w:rsid w:val="00535FB3"/>
    <w:rsid w:val="00535FB7"/>
    <w:rsid w:val="00535FC4"/>
    <w:rsid w:val="0053600C"/>
    <w:rsid w:val="00536318"/>
    <w:rsid w:val="005363AA"/>
    <w:rsid w:val="005363DD"/>
    <w:rsid w:val="005366CC"/>
    <w:rsid w:val="00536745"/>
    <w:rsid w:val="0053678B"/>
    <w:rsid w:val="00536842"/>
    <w:rsid w:val="005368BB"/>
    <w:rsid w:val="005368BD"/>
    <w:rsid w:val="00536AD8"/>
    <w:rsid w:val="00536AFF"/>
    <w:rsid w:val="00536B34"/>
    <w:rsid w:val="00536B74"/>
    <w:rsid w:val="00536BBC"/>
    <w:rsid w:val="00536BD5"/>
    <w:rsid w:val="00536C66"/>
    <w:rsid w:val="00536CBF"/>
    <w:rsid w:val="00536E3A"/>
    <w:rsid w:val="00536E66"/>
    <w:rsid w:val="00536EC3"/>
    <w:rsid w:val="00536F19"/>
    <w:rsid w:val="00536F80"/>
    <w:rsid w:val="0053703A"/>
    <w:rsid w:val="00537047"/>
    <w:rsid w:val="005372ED"/>
    <w:rsid w:val="005373E6"/>
    <w:rsid w:val="00537414"/>
    <w:rsid w:val="0053754B"/>
    <w:rsid w:val="00537805"/>
    <w:rsid w:val="005378B3"/>
    <w:rsid w:val="00537942"/>
    <w:rsid w:val="00537973"/>
    <w:rsid w:val="00537A7C"/>
    <w:rsid w:val="00537B23"/>
    <w:rsid w:val="00537B72"/>
    <w:rsid w:val="00537C93"/>
    <w:rsid w:val="00537CE2"/>
    <w:rsid w:val="00537F11"/>
    <w:rsid w:val="00537F33"/>
    <w:rsid w:val="005400D3"/>
    <w:rsid w:val="0054016C"/>
    <w:rsid w:val="00540256"/>
    <w:rsid w:val="00540261"/>
    <w:rsid w:val="00540299"/>
    <w:rsid w:val="00540323"/>
    <w:rsid w:val="00540380"/>
    <w:rsid w:val="00540472"/>
    <w:rsid w:val="005404E6"/>
    <w:rsid w:val="0054055B"/>
    <w:rsid w:val="00540617"/>
    <w:rsid w:val="005406B2"/>
    <w:rsid w:val="00540712"/>
    <w:rsid w:val="00540791"/>
    <w:rsid w:val="005407F9"/>
    <w:rsid w:val="005408DB"/>
    <w:rsid w:val="00540A80"/>
    <w:rsid w:val="00540B89"/>
    <w:rsid w:val="00540BE0"/>
    <w:rsid w:val="00540BE3"/>
    <w:rsid w:val="00540BFF"/>
    <w:rsid w:val="00540C3B"/>
    <w:rsid w:val="00540D16"/>
    <w:rsid w:val="00540DB5"/>
    <w:rsid w:val="00540DEF"/>
    <w:rsid w:val="00540EA2"/>
    <w:rsid w:val="00540EA3"/>
    <w:rsid w:val="00540F25"/>
    <w:rsid w:val="00541042"/>
    <w:rsid w:val="005411B6"/>
    <w:rsid w:val="00541298"/>
    <w:rsid w:val="0054130F"/>
    <w:rsid w:val="0054132B"/>
    <w:rsid w:val="0054148C"/>
    <w:rsid w:val="00541500"/>
    <w:rsid w:val="00541582"/>
    <w:rsid w:val="00541610"/>
    <w:rsid w:val="0054167A"/>
    <w:rsid w:val="005418DD"/>
    <w:rsid w:val="005419FC"/>
    <w:rsid w:val="00541A81"/>
    <w:rsid w:val="00541C30"/>
    <w:rsid w:val="00541C47"/>
    <w:rsid w:val="00541D37"/>
    <w:rsid w:val="00541F5E"/>
    <w:rsid w:val="005421CC"/>
    <w:rsid w:val="00542278"/>
    <w:rsid w:val="005422E3"/>
    <w:rsid w:val="00542382"/>
    <w:rsid w:val="005423A4"/>
    <w:rsid w:val="00542447"/>
    <w:rsid w:val="00542468"/>
    <w:rsid w:val="00542478"/>
    <w:rsid w:val="005424DC"/>
    <w:rsid w:val="00542591"/>
    <w:rsid w:val="00542631"/>
    <w:rsid w:val="00542661"/>
    <w:rsid w:val="0054268B"/>
    <w:rsid w:val="00542760"/>
    <w:rsid w:val="005427CC"/>
    <w:rsid w:val="00542856"/>
    <w:rsid w:val="00542887"/>
    <w:rsid w:val="005428E3"/>
    <w:rsid w:val="00542A29"/>
    <w:rsid w:val="00542A5A"/>
    <w:rsid w:val="00542A68"/>
    <w:rsid w:val="00542B17"/>
    <w:rsid w:val="00542B44"/>
    <w:rsid w:val="00542BE1"/>
    <w:rsid w:val="00542BEB"/>
    <w:rsid w:val="00542BFA"/>
    <w:rsid w:val="00542D40"/>
    <w:rsid w:val="00542D52"/>
    <w:rsid w:val="00542DBF"/>
    <w:rsid w:val="00542E06"/>
    <w:rsid w:val="00542EB2"/>
    <w:rsid w:val="00542EEC"/>
    <w:rsid w:val="00542F71"/>
    <w:rsid w:val="00542F90"/>
    <w:rsid w:val="0054337C"/>
    <w:rsid w:val="005434F7"/>
    <w:rsid w:val="00543562"/>
    <w:rsid w:val="005435AF"/>
    <w:rsid w:val="00543624"/>
    <w:rsid w:val="005436CD"/>
    <w:rsid w:val="00543716"/>
    <w:rsid w:val="0054372B"/>
    <w:rsid w:val="0054375A"/>
    <w:rsid w:val="005437A4"/>
    <w:rsid w:val="005437EA"/>
    <w:rsid w:val="005437F9"/>
    <w:rsid w:val="00543963"/>
    <w:rsid w:val="00543AC2"/>
    <w:rsid w:val="00543B54"/>
    <w:rsid w:val="00543B7D"/>
    <w:rsid w:val="00543B8A"/>
    <w:rsid w:val="00543CF7"/>
    <w:rsid w:val="00543DE3"/>
    <w:rsid w:val="00543E6D"/>
    <w:rsid w:val="00543E7E"/>
    <w:rsid w:val="00543EC8"/>
    <w:rsid w:val="00543ED1"/>
    <w:rsid w:val="00543FC7"/>
    <w:rsid w:val="00544245"/>
    <w:rsid w:val="00544251"/>
    <w:rsid w:val="005442AE"/>
    <w:rsid w:val="00544352"/>
    <w:rsid w:val="0054436B"/>
    <w:rsid w:val="005444D3"/>
    <w:rsid w:val="00544561"/>
    <w:rsid w:val="00544AAF"/>
    <w:rsid w:val="00544AC6"/>
    <w:rsid w:val="00544B12"/>
    <w:rsid w:val="00544C04"/>
    <w:rsid w:val="00544C47"/>
    <w:rsid w:val="00544C86"/>
    <w:rsid w:val="00544CBD"/>
    <w:rsid w:val="00544D6D"/>
    <w:rsid w:val="00544DF0"/>
    <w:rsid w:val="00544E1E"/>
    <w:rsid w:val="00544EB7"/>
    <w:rsid w:val="00544EE7"/>
    <w:rsid w:val="00544F64"/>
    <w:rsid w:val="0054501E"/>
    <w:rsid w:val="005452E3"/>
    <w:rsid w:val="005452EF"/>
    <w:rsid w:val="005452F8"/>
    <w:rsid w:val="00545444"/>
    <w:rsid w:val="005455CA"/>
    <w:rsid w:val="00545776"/>
    <w:rsid w:val="00545A33"/>
    <w:rsid w:val="00545A5B"/>
    <w:rsid w:val="00545AF8"/>
    <w:rsid w:val="00545C6B"/>
    <w:rsid w:val="00545DEB"/>
    <w:rsid w:val="00545E1D"/>
    <w:rsid w:val="00545F89"/>
    <w:rsid w:val="00545FA0"/>
    <w:rsid w:val="00545FDE"/>
    <w:rsid w:val="0054600F"/>
    <w:rsid w:val="0054608F"/>
    <w:rsid w:val="005461A0"/>
    <w:rsid w:val="005461F0"/>
    <w:rsid w:val="0054638A"/>
    <w:rsid w:val="0054642B"/>
    <w:rsid w:val="0054649E"/>
    <w:rsid w:val="00546556"/>
    <w:rsid w:val="00546585"/>
    <w:rsid w:val="005465BF"/>
    <w:rsid w:val="005465DD"/>
    <w:rsid w:val="005467EF"/>
    <w:rsid w:val="00546800"/>
    <w:rsid w:val="00546968"/>
    <w:rsid w:val="00546A37"/>
    <w:rsid w:val="00546A98"/>
    <w:rsid w:val="00546ABC"/>
    <w:rsid w:val="00546AF5"/>
    <w:rsid w:val="00546BCD"/>
    <w:rsid w:val="00546E4D"/>
    <w:rsid w:val="00546EBA"/>
    <w:rsid w:val="00546F9A"/>
    <w:rsid w:val="005470AB"/>
    <w:rsid w:val="005470F2"/>
    <w:rsid w:val="00547114"/>
    <w:rsid w:val="0054732C"/>
    <w:rsid w:val="0054738D"/>
    <w:rsid w:val="005474B9"/>
    <w:rsid w:val="005475BF"/>
    <w:rsid w:val="0054769A"/>
    <w:rsid w:val="00547842"/>
    <w:rsid w:val="0054784C"/>
    <w:rsid w:val="00547943"/>
    <w:rsid w:val="00547963"/>
    <w:rsid w:val="00547A63"/>
    <w:rsid w:val="00547AA8"/>
    <w:rsid w:val="00547C09"/>
    <w:rsid w:val="00547C16"/>
    <w:rsid w:val="00547C55"/>
    <w:rsid w:val="00547C5F"/>
    <w:rsid w:val="00547D75"/>
    <w:rsid w:val="00547E90"/>
    <w:rsid w:val="00547EEA"/>
    <w:rsid w:val="005500A5"/>
    <w:rsid w:val="005500E0"/>
    <w:rsid w:val="00550371"/>
    <w:rsid w:val="005503DE"/>
    <w:rsid w:val="0055044A"/>
    <w:rsid w:val="0055049A"/>
    <w:rsid w:val="00550624"/>
    <w:rsid w:val="0055072E"/>
    <w:rsid w:val="00550782"/>
    <w:rsid w:val="0055078E"/>
    <w:rsid w:val="005507F5"/>
    <w:rsid w:val="005507FB"/>
    <w:rsid w:val="0055082E"/>
    <w:rsid w:val="00550869"/>
    <w:rsid w:val="005508E4"/>
    <w:rsid w:val="005508FD"/>
    <w:rsid w:val="00550A80"/>
    <w:rsid w:val="00550AD9"/>
    <w:rsid w:val="00550D03"/>
    <w:rsid w:val="00550EBE"/>
    <w:rsid w:val="00550ED5"/>
    <w:rsid w:val="00550F05"/>
    <w:rsid w:val="00550F64"/>
    <w:rsid w:val="00550F6B"/>
    <w:rsid w:val="0055121C"/>
    <w:rsid w:val="00551332"/>
    <w:rsid w:val="00551484"/>
    <w:rsid w:val="0055158F"/>
    <w:rsid w:val="005515BA"/>
    <w:rsid w:val="0055169A"/>
    <w:rsid w:val="0055172E"/>
    <w:rsid w:val="00551794"/>
    <w:rsid w:val="005519C1"/>
    <w:rsid w:val="00551AB1"/>
    <w:rsid w:val="00551BCC"/>
    <w:rsid w:val="00551BD6"/>
    <w:rsid w:val="00551C53"/>
    <w:rsid w:val="00551D26"/>
    <w:rsid w:val="00551E3A"/>
    <w:rsid w:val="00551EB4"/>
    <w:rsid w:val="00551EE3"/>
    <w:rsid w:val="00552041"/>
    <w:rsid w:val="0055209C"/>
    <w:rsid w:val="005521E0"/>
    <w:rsid w:val="00552326"/>
    <w:rsid w:val="00552355"/>
    <w:rsid w:val="0055235B"/>
    <w:rsid w:val="0055254E"/>
    <w:rsid w:val="0055257D"/>
    <w:rsid w:val="005525E9"/>
    <w:rsid w:val="00552973"/>
    <w:rsid w:val="005529DD"/>
    <w:rsid w:val="00552A4A"/>
    <w:rsid w:val="00552A84"/>
    <w:rsid w:val="00552AAD"/>
    <w:rsid w:val="00552B3C"/>
    <w:rsid w:val="00552B4E"/>
    <w:rsid w:val="00552C70"/>
    <w:rsid w:val="00552DB1"/>
    <w:rsid w:val="00553153"/>
    <w:rsid w:val="005532AF"/>
    <w:rsid w:val="0055338F"/>
    <w:rsid w:val="00553507"/>
    <w:rsid w:val="0055358B"/>
    <w:rsid w:val="005535C1"/>
    <w:rsid w:val="00553616"/>
    <w:rsid w:val="005536A2"/>
    <w:rsid w:val="00553718"/>
    <w:rsid w:val="005539DE"/>
    <w:rsid w:val="00553A5A"/>
    <w:rsid w:val="00553CF5"/>
    <w:rsid w:val="00553D17"/>
    <w:rsid w:val="00553D53"/>
    <w:rsid w:val="00553D74"/>
    <w:rsid w:val="00553DC2"/>
    <w:rsid w:val="00553E1C"/>
    <w:rsid w:val="00553E3B"/>
    <w:rsid w:val="00553E46"/>
    <w:rsid w:val="00553F64"/>
    <w:rsid w:val="00553F69"/>
    <w:rsid w:val="00553FF9"/>
    <w:rsid w:val="00554205"/>
    <w:rsid w:val="0055427F"/>
    <w:rsid w:val="0055438C"/>
    <w:rsid w:val="005543BC"/>
    <w:rsid w:val="00554582"/>
    <w:rsid w:val="005545A4"/>
    <w:rsid w:val="005545BE"/>
    <w:rsid w:val="0055463A"/>
    <w:rsid w:val="00554680"/>
    <w:rsid w:val="00554720"/>
    <w:rsid w:val="0055475F"/>
    <w:rsid w:val="005547AD"/>
    <w:rsid w:val="005547BB"/>
    <w:rsid w:val="005547EC"/>
    <w:rsid w:val="00554803"/>
    <w:rsid w:val="00554807"/>
    <w:rsid w:val="00554857"/>
    <w:rsid w:val="0055489D"/>
    <w:rsid w:val="00554998"/>
    <w:rsid w:val="005549BC"/>
    <w:rsid w:val="00554C34"/>
    <w:rsid w:val="00554DE6"/>
    <w:rsid w:val="00554DEC"/>
    <w:rsid w:val="00554E74"/>
    <w:rsid w:val="00554EFA"/>
    <w:rsid w:val="00554FD2"/>
    <w:rsid w:val="00555021"/>
    <w:rsid w:val="005550A9"/>
    <w:rsid w:val="005551DD"/>
    <w:rsid w:val="0055523F"/>
    <w:rsid w:val="005553A2"/>
    <w:rsid w:val="005553FC"/>
    <w:rsid w:val="005554D3"/>
    <w:rsid w:val="005555DA"/>
    <w:rsid w:val="005555FF"/>
    <w:rsid w:val="00555693"/>
    <w:rsid w:val="00555725"/>
    <w:rsid w:val="005557C0"/>
    <w:rsid w:val="00555A16"/>
    <w:rsid w:val="00555A7E"/>
    <w:rsid w:val="00555B71"/>
    <w:rsid w:val="00555BB7"/>
    <w:rsid w:val="00555BE6"/>
    <w:rsid w:val="00555C2C"/>
    <w:rsid w:val="00555DF7"/>
    <w:rsid w:val="00555E2F"/>
    <w:rsid w:val="00555E80"/>
    <w:rsid w:val="00556104"/>
    <w:rsid w:val="00556131"/>
    <w:rsid w:val="005562CC"/>
    <w:rsid w:val="0055648B"/>
    <w:rsid w:val="0055651C"/>
    <w:rsid w:val="00556604"/>
    <w:rsid w:val="0055662D"/>
    <w:rsid w:val="00556687"/>
    <w:rsid w:val="005567F9"/>
    <w:rsid w:val="0055681D"/>
    <w:rsid w:val="005568FF"/>
    <w:rsid w:val="005569C7"/>
    <w:rsid w:val="00556AAA"/>
    <w:rsid w:val="00556AD5"/>
    <w:rsid w:val="00556BE1"/>
    <w:rsid w:val="00556D39"/>
    <w:rsid w:val="00556E78"/>
    <w:rsid w:val="00556F4D"/>
    <w:rsid w:val="00556FE6"/>
    <w:rsid w:val="00557049"/>
    <w:rsid w:val="0055706C"/>
    <w:rsid w:val="005570DE"/>
    <w:rsid w:val="00557211"/>
    <w:rsid w:val="00557261"/>
    <w:rsid w:val="00557294"/>
    <w:rsid w:val="005572D8"/>
    <w:rsid w:val="00557363"/>
    <w:rsid w:val="005573D4"/>
    <w:rsid w:val="005574AC"/>
    <w:rsid w:val="0055771C"/>
    <w:rsid w:val="00557775"/>
    <w:rsid w:val="0055779E"/>
    <w:rsid w:val="00557933"/>
    <w:rsid w:val="00557B78"/>
    <w:rsid w:val="00557CF4"/>
    <w:rsid w:val="00557D80"/>
    <w:rsid w:val="00557E29"/>
    <w:rsid w:val="005601D9"/>
    <w:rsid w:val="005602DE"/>
    <w:rsid w:val="0056038A"/>
    <w:rsid w:val="00560512"/>
    <w:rsid w:val="00560612"/>
    <w:rsid w:val="00560699"/>
    <w:rsid w:val="00560A54"/>
    <w:rsid w:val="00560A8D"/>
    <w:rsid w:val="00560CEC"/>
    <w:rsid w:val="00560D70"/>
    <w:rsid w:val="00560E0B"/>
    <w:rsid w:val="00560E91"/>
    <w:rsid w:val="00560ECD"/>
    <w:rsid w:val="00560F0E"/>
    <w:rsid w:val="00560F11"/>
    <w:rsid w:val="00560F1C"/>
    <w:rsid w:val="005610E2"/>
    <w:rsid w:val="005614DA"/>
    <w:rsid w:val="00561576"/>
    <w:rsid w:val="0056158A"/>
    <w:rsid w:val="005616B6"/>
    <w:rsid w:val="005616D5"/>
    <w:rsid w:val="005617CB"/>
    <w:rsid w:val="005617F7"/>
    <w:rsid w:val="005619BE"/>
    <w:rsid w:val="005619EE"/>
    <w:rsid w:val="005619F4"/>
    <w:rsid w:val="00561B14"/>
    <w:rsid w:val="00561C6C"/>
    <w:rsid w:val="00561C85"/>
    <w:rsid w:val="00561CB2"/>
    <w:rsid w:val="00561D55"/>
    <w:rsid w:val="00561D7B"/>
    <w:rsid w:val="00561DCB"/>
    <w:rsid w:val="00561E39"/>
    <w:rsid w:val="00561E50"/>
    <w:rsid w:val="00561F28"/>
    <w:rsid w:val="00561FC4"/>
    <w:rsid w:val="005620CA"/>
    <w:rsid w:val="00562245"/>
    <w:rsid w:val="00562270"/>
    <w:rsid w:val="0056227A"/>
    <w:rsid w:val="00562295"/>
    <w:rsid w:val="0056229C"/>
    <w:rsid w:val="00562306"/>
    <w:rsid w:val="00562338"/>
    <w:rsid w:val="0056240E"/>
    <w:rsid w:val="00562446"/>
    <w:rsid w:val="0056277A"/>
    <w:rsid w:val="00562A38"/>
    <w:rsid w:val="00562ADB"/>
    <w:rsid w:val="00562B76"/>
    <w:rsid w:val="00562C2B"/>
    <w:rsid w:val="00562CC2"/>
    <w:rsid w:val="00562D07"/>
    <w:rsid w:val="00562D8D"/>
    <w:rsid w:val="00562DF0"/>
    <w:rsid w:val="00562E35"/>
    <w:rsid w:val="00562E48"/>
    <w:rsid w:val="00562E66"/>
    <w:rsid w:val="005631AF"/>
    <w:rsid w:val="005632DD"/>
    <w:rsid w:val="0056331F"/>
    <w:rsid w:val="0056353D"/>
    <w:rsid w:val="0056359C"/>
    <w:rsid w:val="00563711"/>
    <w:rsid w:val="005637B8"/>
    <w:rsid w:val="00563833"/>
    <w:rsid w:val="0056387C"/>
    <w:rsid w:val="005638CF"/>
    <w:rsid w:val="0056391E"/>
    <w:rsid w:val="0056394E"/>
    <w:rsid w:val="00563954"/>
    <w:rsid w:val="00563A16"/>
    <w:rsid w:val="00563C2B"/>
    <w:rsid w:val="00563C72"/>
    <w:rsid w:val="00563DE2"/>
    <w:rsid w:val="00564154"/>
    <w:rsid w:val="0056439D"/>
    <w:rsid w:val="005644D6"/>
    <w:rsid w:val="005644FC"/>
    <w:rsid w:val="0056454C"/>
    <w:rsid w:val="0056463D"/>
    <w:rsid w:val="00564854"/>
    <w:rsid w:val="0056488B"/>
    <w:rsid w:val="0056499D"/>
    <w:rsid w:val="005649FD"/>
    <w:rsid w:val="00564B6E"/>
    <w:rsid w:val="00564C38"/>
    <w:rsid w:val="00564C55"/>
    <w:rsid w:val="00564CD5"/>
    <w:rsid w:val="00564D7B"/>
    <w:rsid w:val="00564E0E"/>
    <w:rsid w:val="00564F55"/>
    <w:rsid w:val="00564F7F"/>
    <w:rsid w:val="00564FDE"/>
    <w:rsid w:val="00565014"/>
    <w:rsid w:val="0056524D"/>
    <w:rsid w:val="00565293"/>
    <w:rsid w:val="005652BF"/>
    <w:rsid w:val="005653A1"/>
    <w:rsid w:val="0056544B"/>
    <w:rsid w:val="00565489"/>
    <w:rsid w:val="005654A3"/>
    <w:rsid w:val="005654CD"/>
    <w:rsid w:val="0056558F"/>
    <w:rsid w:val="00565645"/>
    <w:rsid w:val="00565683"/>
    <w:rsid w:val="005657BA"/>
    <w:rsid w:val="00565889"/>
    <w:rsid w:val="005659A7"/>
    <w:rsid w:val="00565A18"/>
    <w:rsid w:val="00565A48"/>
    <w:rsid w:val="00565A6C"/>
    <w:rsid w:val="00565BD5"/>
    <w:rsid w:val="00565C56"/>
    <w:rsid w:val="00565C6B"/>
    <w:rsid w:val="00565C80"/>
    <w:rsid w:val="00565DEB"/>
    <w:rsid w:val="00565EE3"/>
    <w:rsid w:val="00565EF5"/>
    <w:rsid w:val="00565F1A"/>
    <w:rsid w:val="005661CD"/>
    <w:rsid w:val="005663BA"/>
    <w:rsid w:val="005663F1"/>
    <w:rsid w:val="0056652F"/>
    <w:rsid w:val="0056666A"/>
    <w:rsid w:val="0056667A"/>
    <w:rsid w:val="00566683"/>
    <w:rsid w:val="005666D3"/>
    <w:rsid w:val="00566830"/>
    <w:rsid w:val="005669D8"/>
    <w:rsid w:val="00566A1B"/>
    <w:rsid w:val="00566AC0"/>
    <w:rsid w:val="00566AFD"/>
    <w:rsid w:val="00566C41"/>
    <w:rsid w:val="00566D30"/>
    <w:rsid w:val="00566D35"/>
    <w:rsid w:val="00566D3E"/>
    <w:rsid w:val="00566D6E"/>
    <w:rsid w:val="00566F09"/>
    <w:rsid w:val="00566F25"/>
    <w:rsid w:val="00566FB2"/>
    <w:rsid w:val="005670D1"/>
    <w:rsid w:val="005670D7"/>
    <w:rsid w:val="005670F0"/>
    <w:rsid w:val="0056713C"/>
    <w:rsid w:val="005671F0"/>
    <w:rsid w:val="00567325"/>
    <w:rsid w:val="0056732B"/>
    <w:rsid w:val="0056732E"/>
    <w:rsid w:val="005675E6"/>
    <w:rsid w:val="00567683"/>
    <w:rsid w:val="005676FA"/>
    <w:rsid w:val="005677EB"/>
    <w:rsid w:val="00567830"/>
    <w:rsid w:val="00567928"/>
    <w:rsid w:val="005679E2"/>
    <w:rsid w:val="00567A95"/>
    <w:rsid w:val="00567AFF"/>
    <w:rsid w:val="00567BC0"/>
    <w:rsid w:val="00567D9B"/>
    <w:rsid w:val="00567DCD"/>
    <w:rsid w:val="00567E22"/>
    <w:rsid w:val="00567E2B"/>
    <w:rsid w:val="00567F51"/>
    <w:rsid w:val="00570123"/>
    <w:rsid w:val="00570154"/>
    <w:rsid w:val="00570192"/>
    <w:rsid w:val="00570203"/>
    <w:rsid w:val="005702E7"/>
    <w:rsid w:val="00570527"/>
    <w:rsid w:val="0057055F"/>
    <w:rsid w:val="00570635"/>
    <w:rsid w:val="005706E3"/>
    <w:rsid w:val="00570785"/>
    <w:rsid w:val="005707FE"/>
    <w:rsid w:val="00570827"/>
    <w:rsid w:val="0057083A"/>
    <w:rsid w:val="0057088A"/>
    <w:rsid w:val="00570910"/>
    <w:rsid w:val="005709CF"/>
    <w:rsid w:val="00570B5C"/>
    <w:rsid w:val="00570BB8"/>
    <w:rsid w:val="00570C8B"/>
    <w:rsid w:val="00570D0B"/>
    <w:rsid w:val="00570D83"/>
    <w:rsid w:val="00570ECE"/>
    <w:rsid w:val="0057112B"/>
    <w:rsid w:val="00571153"/>
    <w:rsid w:val="00571334"/>
    <w:rsid w:val="005714A6"/>
    <w:rsid w:val="005715B1"/>
    <w:rsid w:val="005715E5"/>
    <w:rsid w:val="005718AE"/>
    <w:rsid w:val="0057195A"/>
    <w:rsid w:val="00571CD3"/>
    <w:rsid w:val="00571CF7"/>
    <w:rsid w:val="00571D85"/>
    <w:rsid w:val="00571E23"/>
    <w:rsid w:val="00571EDE"/>
    <w:rsid w:val="00571F57"/>
    <w:rsid w:val="00571F70"/>
    <w:rsid w:val="00572180"/>
    <w:rsid w:val="00572259"/>
    <w:rsid w:val="005725CA"/>
    <w:rsid w:val="0057266D"/>
    <w:rsid w:val="00572853"/>
    <w:rsid w:val="00572867"/>
    <w:rsid w:val="005728AC"/>
    <w:rsid w:val="0057296D"/>
    <w:rsid w:val="00572A30"/>
    <w:rsid w:val="00572AAA"/>
    <w:rsid w:val="00573020"/>
    <w:rsid w:val="00573053"/>
    <w:rsid w:val="00573091"/>
    <w:rsid w:val="00573150"/>
    <w:rsid w:val="005731FF"/>
    <w:rsid w:val="005732E6"/>
    <w:rsid w:val="00573404"/>
    <w:rsid w:val="005736E6"/>
    <w:rsid w:val="005736FC"/>
    <w:rsid w:val="00573811"/>
    <w:rsid w:val="0057387D"/>
    <w:rsid w:val="00573893"/>
    <w:rsid w:val="0057391C"/>
    <w:rsid w:val="005739B2"/>
    <w:rsid w:val="005739D9"/>
    <w:rsid w:val="005739F9"/>
    <w:rsid w:val="00573A47"/>
    <w:rsid w:val="00573BC8"/>
    <w:rsid w:val="00573BFA"/>
    <w:rsid w:val="00573C59"/>
    <w:rsid w:val="00573C99"/>
    <w:rsid w:val="00573F15"/>
    <w:rsid w:val="00574116"/>
    <w:rsid w:val="0057413A"/>
    <w:rsid w:val="00574200"/>
    <w:rsid w:val="0057420A"/>
    <w:rsid w:val="00574261"/>
    <w:rsid w:val="00574330"/>
    <w:rsid w:val="00574331"/>
    <w:rsid w:val="005745F2"/>
    <w:rsid w:val="0057464A"/>
    <w:rsid w:val="0057467E"/>
    <w:rsid w:val="00574762"/>
    <w:rsid w:val="005747BA"/>
    <w:rsid w:val="0057482F"/>
    <w:rsid w:val="00574868"/>
    <w:rsid w:val="005748AE"/>
    <w:rsid w:val="005748F4"/>
    <w:rsid w:val="00574920"/>
    <w:rsid w:val="0057496E"/>
    <w:rsid w:val="00574AB2"/>
    <w:rsid w:val="00574C6D"/>
    <w:rsid w:val="00574CA1"/>
    <w:rsid w:val="00574D51"/>
    <w:rsid w:val="00574E05"/>
    <w:rsid w:val="00574E37"/>
    <w:rsid w:val="00574EA0"/>
    <w:rsid w:val="00574EBA"/>
    <w:rsid w:val="00575156"/>
    <w:rsid w:val="00575289"/>
    <w:rsid w:val="0057531D"/>
    <w:rsid w:val="0057537C"/>
    <w:rsid w:val="0057544C"/>
    <w:rsid w:val="005755C4"/>
    <w:rsid w:val="005756AF"/>
    <w:rsid w:val="005757C2"/>
    <w:rsid w:val="005759F1"/>
    <w:rsid w:val="005759FA"/>
    <w:rsid w:val="00575A8A"/>
    <w:rsid w:val="00575BCF"/>
    <w:rsid w:val="00575BFD"/>
    <w:rsid w:val="00575C91"/>
    <w:rsid w:val="00575D30"/>
    <w:rsid w:val="00575E97"/>
    <w:rsid w:val="00575F74"/>
    <w:rsid w:val="00575FFC"/>
    <w:rsid w:val="005760F1"/>
    <w:rsid w:val="005761B0"/>
    <w:rsid w:val="0057635F"/>
    <w:rsid w:val="00576430"/>
    <w:rsid w:val="005764A3"/>
    <w:rsid w:val="00576782"/>
    <w:rsid w:val="0057695A"/>
    <w:rsid w:val="00576B20"/>
    <w:rsid w:val="00576C50"/>
    <w:rsid w:val="00576CA6"/>
    <w:rsid w:val="00576E0F"/>
    <w:rsid w:val="00576E79"/>
    <w:rsid w:val="00576F65"/>
    <w:rsid w:val="005770E8"/>
    <w:rsid w:val="0057713E"/>
    <w:rsid w:val="0057719B"/>
    <w:rsid w:val="005771E9"/>
    <w:rsid w:val="00577203"/>
    <w:rsid w:val="0057722B"/>
    <w:rsid w:val="0057722F"/>
    <w:rsid w:val="005772D5"/>
    <w:rsid w:val="00577612"/>
    <w:rsid w:val="005777C8"/>
    <w:rsid w:val="005777CD"/>
    <w:rsid w:val="005778AE"/>
    <w:rsid w:val="00577902"/>
    <w:rsid w:val="0057794F"/>
    <w:rsid w:val="0057798A"/>
    <w:rsid w:val="0057799C"/>
    <w:rsid w:val="00577A3F"/>
    <w:rsid w:val="00577AC3"/>
    <w:rsid w:val="00577AD9"/>
    <w:rsid w:val="00577B12"/>
    <w:rsid w:val="00577B76"/>
    <w:rsid w:val="00577CEB"/>
    <w:rsid w:val="00577D5B"/>
    <w:rsid w:val="00577D6A"/>
    <w:rsid w:val="00577F2B"/>
    <w:rsid w:val="00580001"/>
    <w:rsid w:val="00580123"/>
    <w:rsid w:val="00580136"/>
    <w:rsid w:val="00580164"/>
    <w:rsid w:val="00580249"/>
    <w:rsid w:val="0058044A"/>
    <w:rsid w:val="0058051E"/>
    <w:rsid w:val="005805A4"/>
    <w:rsid w:val="005805DF"/>
    <w:rsid w:val="005806E7"/>
    <w:rsid w:val="00580771"/>
    <w:rsid w:val="00580815"/>
    <w:rsid w:val="0058093A"/>
    <w:rsid w:val="0058098E"/>
    <w:rsid w:val="005809B8"/>
    <w:rsid w:val="00580A98"/>
    <w:rsid w:val="00580ACE"/>
    <w:rsid w:val="00580C06"/>
    <w:rsid w:val="00580C70"/>
    <w:rsid w:val="00580D9F"/>
    <w:rsid w:val="00580E89"/>
    <w:rsid w:val="00580FF3"/>
    <w:rsid w:val="0058115F"/>
    <w:rsid w:val="0058136C"/>
    <w:rsid w:val="0058136D"/>
    <w:rsid w:val="0058139C"/>
    <w:rsid w:val="00581536"/>
    <w:rsid w:val="00581570"/>
    <w:rsid w:val="0058166A"/>
    <w:rsid w:val="00581786"/>
    <w:rsid w:val="0058190B"/>
    <w:rsid w:val="005819DF"/>
    <w:rsid w:val="00581A9C"/>
    <w:rsid w:val="00581C24"/>
    <w:rsid w:val="00581DCB"/>
    <w:rsid w:val="00581DDE"/>
    <w:rsid w:val="00581EF5"/>
    <w:rsid w:val="00581F0B"/>
    <w:rsid w:val="00581FF5"/>
    <w:rsid w:val="005820B1"/>
    <w:rsid w:val="005821A1"/>
    <w:rsid w:val="0058240A"/>
    <w:rsid w:val="00582468"/>
    <w:rsid w:val="0058248A"/>
    <w:rsid w:val="005824C1"/>
    <w:rsid w:val="0058255C"/>
    <w:rsid w:val="005825DC"/>
    <w:rsid w:val="00582633"/>
    <w:rsid w:val="005826B0"/>
    <w:rsid w:val="00582873"/>
    <w:rsid w:val="00582947"/>
    <w:rsid w:val="00582957"/>
    <w:rsid w:val="00582986"/>
    <w:rsid w:val="00582B61"/>
    <w:rsid w:val="00582D27"/>
    <w:rsid w:val="00582D34"/>
    <w:rsid w:val="00582D3C"/>
    <w:rsid w:val="00582E6B"/>
    <w:rsid w:val="00582F6A"/>
    <w:rsid w:val="00583007"/>
    <w:rsid w:val="005830C4"/>
    <w:rsid w:val="005831B9"/>
    <w:rsid w:val="00583207"/>
    <w:rsid w:val="00583333"/>
    <w:rsid w:val="0058335A"/>
    <w:rsid w:val="0058340F"/>
    <w:rsid w:val="0058341E"/>
    <w:rsid w:val="0058342C"/>
    <w:rsid w:val="005835D9"/>
    <w:rsid w:val="00583658"/>
    <w:rsid w:val="005837AF"/>
    <w:rsid w:val="005837EB"/>
    <w:rsid w:val="00583805"/>
    <w:rsid w:val="005838F0"/>
    <w:rsid w:val="00583A5F"/>
    <w:rsid w:val="00583AD7"/>
    <w:rsid w:val="00583B07"/>
    <w:rsid w:val="00583D73"/>
    <w:rsid w:val="00583F0E"/>
    <w:rsid w:val="00583F2C"/>
    <w:rsid w:val="00583F83"/>
    <w:rsid w:val="00583F8F"/>
    <w:rsid w:val="0058405F"/>
    <w:rsid w:val="0058419D"/>
    <w:rsid w:val="005842AC"/>
    <w:rsid w:val="0058445E"/>
    <w:rsid w:val="005844BA"/>
    <w:rsid w:val="00584586"/>
    <w:rsid w:val="0058470F"/>
    <w:rsid w:val="005847BD"/>
    <w:rsid w:val="00584803"/>
    <w:rsid w:val="0058480B"/>
    <w:rsid w:val="005849EC"/>
    <w:rsid w:val="005849F0"/>
    <w:rsid w:val="00584B60"/>
    <w:rsid w:val="00584C72"/>
    <w:rsid w:val="00584CEB"/>
    <w:rsid w:val="00584D78"/>
    <w:rsid w:val="00584D96"/>
    <w:rsid w:val="00584E2E"/>
    <w:rsid w:val="00584F7A"/>
    <w:rsid w:val="00584F86"/>
    <w:rsid w:val="00585043"/>
    <w:rsid w:val="00585390"/>
    <w:rsid w:val="005853EF"/>
    <w:rsid w:val="005858CB"/>
    <w:rsid w:val="00585915"/>
    <w:rsid w:val="005859BF"/>
    <w:rsid w:val="005859D1"/>
    <w:rsid w:val="00585AA6"/>
    <w:rsid w:val="00585B51"/>
    <w:rsid w:val="00585B7B"/>
    <w:rsid w:val="00585BB8"/>
    <w:rsid w:val="00585BC0"/>
    <w:rsid w:val="00585C76"/>
    <w:rsid w:val="00585CFA"/>
    <w:rsid w:val="00585E10"/>
    <w:rsid w:val="00585F9F"/>
    <w:rsid w:val="00585FF9"/>
    <w:rsid w:val="00586040"/>
    <w:rsid w:val="0058610F"/>
    <w:rsid w:val="005861DF"/>
    <w:rsid w:val="005861F1"/>
    <w:rsid w:val="005861F5"/>
    <w:rsid w:val="005862BF"/>
    <w:rsid w:val="0058636C"/>
    <w:rsid w:val="005863E4"/>
    <w:rsid w:val="00586440"/>
    <w:rsid w:val="00586472"/>
    <w:rsid w:val="005866FF"/>
    <w:rsid w:val="005867EB"/>
    <w:rsid w:val="0058683D"/>
    <w:rsid w:val="00586A4E"/>
    <w:rsid w:val="00586A5C"/>
    <w:rsid w:val="00586AF1"/>
    <w:rsid w:val="00586AFB"/>
    <w:rsid w:val="00586B47"/>
    <w:rsid w:val="00586B79"/>
    <w:rsid w:val="00586C3D"/>
    <w:rsid w:val="00586C43"/>
    <w:rsid w:val="00586C63"/>
    <w:rsid w:val="00586D04"/>
    <w:rsid w:val="00586DA8"/>
    <w:rsid w:val="00586EE5"/>
    <w:rsid w:val="0058704A"/>
    <w:rsid w:val="005871DC"/>
    <w:rsid w:val="0058729E"/>
    <w:rsid w:val="00587314"/>
    <w:rsid w:val="00587368"/>
    <w:rsid w:val="0058745B"/>
    <w:rsid w:val="00587492"/>
    <w:rsid w:val="005874BF"/>
    <w:rsid w:val="005877CB"/>
    <w:rsid w:val="005877EF"/>
    <w:rsid w:val="00587967"/>
    <w:rsid w:val="00587A62"/>
    <w:rsid w:val="00587BB5"/>
    <w:rsid w:val="00587BEA"/>
    <w:rsid w:val="00587C2D"/>
    <w:rsid w:val="00587C33"/>
    <w:rsid w:val="00587C6A"/>
    <w:rsid w:val="00587CA0"/>
    <w:rsid w:val="00587E7E"/>
    <w:rsid w:val="00587EEC"/>
    <w:rsid w:val="00587F3B"/>
    <w:rsid w:val="00587FA0"/>
    <w:rsid w:val="00590054"/>
    <w:rsid w:val="0059049D"/>
    <w:rsid w:val="005905C3"/>
    <w:rsid w:val="005905CC"/>
    <w:rsid w:val="005905F8"/>
    <w:rsid w:val="00590702"/>
    <w:rsid w:val="00590947"/>
    <w:rsid w:val="00590A6F"/>
    <w:rsid w:val="00590A99"/>
    <w:rsid w:val="00590BC5"/>
    <w:rsid w:val="00590CE9"/>
    <w:rsid w:val="00590D30"/>
    <w:rsid w:val="00590DEF"/>
    <w:rsid w:val="00590EFE"/>
    <w:rsid w:val="00590F12"/>
    <w:rsid w:val="005910B1"/>
    <w:rsid w:val="005910FF"/>
    <w:rsid w:val="005912DF"/>
    <w:rsid w:val="00591518"/>
    <w:rsid w:val="005915F8"/>
    <w:rsid w:val="005917B3"/>
    <w:rsid w:val="005917FD"/>
    <w:rsid w:val="0059180F"/>
    <w:rsid w:val="00591AA1"/>
    <w:rsid w:val="00591C9F"/>
    <w:rsid w:val="00591CA5"/>
    <w:rsid w:val="00591DAC"/>
    <w:rsid w:val="00591E38"/>
    <w:rsid w:val="00591EB0"/>
    <w:rsid w:val="00591F1A"/>
    <w:rsid w:val="00591FF5"/>
    <w:rsid w:val="00592161"/>
    <w:rsid w:val="005921AC"/>
    <w:rsid w:val="00592259"/>
    <w:rsid w:val="00592286"/>
    <w:rsid w:val="00592316"/>
    <w:rsid w:val="0059233D"/>
    <w:rsid w:val="005924EC"/>
    <w:rsid w:val="00592510"/>
    <w:rsid w:val="0059254C"/>
    <w:rsid w:val="00592589"/>
    <w:rsid w:val="00592605"/>
    <w:rsid w:val="00592749"/>
    <w:rsid w:val="0059276C"/>
    <w:rsid w:val="005927AC"/>
    <w:rsid w:val="00592A1F"/>
    <w:rsid w:val="00592AED"/>
    <w:rsid w:val="00592B7B"/>
    <w:rsid w:val="00592DF9"/>
    <w:rsid w:val="00592F15"/>
    <w:rsid w:val="00592F50"/>
    <w:rsid w:val="00592F86"/>
    <w:rsid w:val="00592F9E"/>
    <w:rsid w:val="00592FAB"/>
    <w:rsid w:val="005931D9"/>
    <w:rsid w:val="00593241"/>
    <w:rsid w:val="00593342"/>
    <w:rsid w:val="0059336A"/>
    <w:rsid w:val="005933FF"/>
    <w:rsid w:val="00593515"/>
    <w:rsid w:val="00593565"/>
    <w:rsid w:val="0059359D"/>
    <w:rsid w:val="00593879"/>
    <w:rsid w:val="00593A09"/>
    <w:rsid w:val="00593A7D"/>
    <w:rsid w:val="00593C4B"/>
    <w:rsid w:val="00593CAE"/>
    <w:rsid w:val="00593E64"/>
    <w:rsid w:val="00593E88"/>
    <w:rsid w:val="00593FAE"/>
    <w:rsid w:val="00593FF0"/>
    <w:rsid w:val="00594092"/>
    <w:rsid w:val="005941C5"/>
    <w:rsid w:val="005941F4"/>
    <w:rsid w:val="0059433F"/>
    <w:rsid w:val="005943A2"/>
    <w:rsid w:val="00594401"/>
    <w:rsid w:val="005944BD"/>
    <w:rsid w:val="00594701"/>
    <w:rsid w:val="00594706"/>
    <w:rsid w:val="00594726"/>
    <w:rsid w:val="005947DA"/>
    <w:rsid w:val="0059480C"/>
    <w:rsid w:val="005949DF"/>
    <w:rsid w:val="00594A78"/>
    <w:rsid w:val="00594C35"/>
    <w:rsid w:val="00594C6F"/>
    <w:rsid w:val="00594D0C"/>
    <w:rsid w:val="00594D26"/>
    <w:rsid w:val="00594EDA"/>
    <w:rsid w:val="00594F2F"/>
    <w:rsid w:val="00594F54"/>
    <w:rsid w:val="00594FE2"/>
    <w:rsid w:val="005950E2"/>
    <w:rsid w:val="00595187"/>
    <w:rsid w:val="00595189"/>
    <w:rsid w:val="00595192"/>
    <w:rsid w:val="005952F9"/>
    <w:rsid w:val="005953E4"/>
    <w:rsid w:val="00595554"/>
    <w:rsid w:val="00595577"/>
    <w:rsid w:val="00595682"/>
    <w:rsid w:val="005957F2"/>
    <w:rsid w:val="0059583A"/>
    <w:rsid w:val="0059589B"/>
    <w:rsid w:val="005958AC"/>
    <w:rsid w:val="005959A8"/>
    <w:rsid w:val="00595AE5"/>
    <w:rsid w:val="00595B35"/>
    <w:rsid w:val="00595CFA"/>
    <w:rsid w:val="00595D1E"/>
    <w:rsid w:val="00595D2F"/>
    <w:rsid w:val="00595E05"/>
    <w:rsid w:val="00595E3C"/>
    <w:rsid w:val="00595FFF"/>
    <w:rsid w:val="005960C5"/>
    <w:rsid w:val="005960FE"/>
    <w:rsid w:val="0059611D"/>
    <w:rsid w:val="0059614D"/>
    <w:rsid w:val="005963DC"/>
    <w:rsid w:val="0059644B"/>
    <w:rsid w:val="00596464"/>
    <w:rsid w:val="0059658A"/>
    <w:rsid w:val="00596782"/>
    <w:rsid w:val="0059698C"/>
    <w:rsid w:val="005969F6"/>
    <w:rsid w:val="00596A1A"/>
    <w:rsid w:val="00596B24"/>
    <w:rsid w:val="00596BFC"/>
    <w:rsid w:val="00596C1A"/>
    <w:rsid w:val="00596CA0"/>
    <w:rsid w:val="00596CD4"/>
    <w:rsid w:val="00596DB2"/>
    <w:rsid w:val="00596DBB"/>
    <w:rsid w:val="00596E0C"/>
    <w:rsid w:val="00596EE6"/>
    <w:rsid w:val="00596FBE"/>
    <w:rsid w:val="00597086"/>
    <w:rsid w:val="00597167"/>
    <w:rsid w:val="005971CB"/>
    <w:rsid w:val="005972E5"/>
    <w:rsid w:val="0059731E"/>
    <w:rsid w:val="00597351"/>
    <w:rsid w:val="0059747B"/>
    <w:rsid w:val="0059750B"/>
    <w:rsid w:val="00597598"/>
    <w:rsid w:val="005975C9"/>
    <w:rsid w:val="0059761B"/>
    <w:rsid w:val="005977A8"/>
    <w:rsid w:val="005977B7"/>
    <w:rsid w:val="005977EE"/>
    <w:rsid w:val="00597912"/>
    <w:rsid w:val="0059797A"/>
    <w:rsid w:val="00597A16"/>
    <w:rsid w:val="00597A20"/>
    <w:rsid w:val="00597C18"/>
    <w:rsid w:val="00597CD5"/>
    <w:rsid w:val="00597CFC"/>
    <w:rsid w:val="00597DD3"/>
    <w:rsid w:val="00597FEA"/>
    <w:rsid w:val="005A0008"/>
    <w:rsid w:val="005A0162"/>
    <w:rsid w:val="005A0258"/>
    <w:rsid w:val="005A0334"/>
    <w:rsid w:val="005A03BE"/>
    <w:rsid w:val="005A046E"/>
    <w:rsid w:val="005A05D7"/>
    <w:rsid w:val="005A0652"/>
    <w:rsid w:val="005A06F0"/>
    <w:rsid w:val="005A0736"/>
    <w:rsid w:val="005A07EB"/>
    <w:rsid w:val="005A0ADD"/>
    <w:rsid w:val="005A0B52"/>
    <w:rsid w:val="005A0C41"/>
    <w:rsid w:val="005A0CFC"/>
    <w:rsid w:val="005A0DD3"/>
    <w:rsid w:val="005A0F85"/>
    <w:rsid w:val="005A0F97"/>
    <w:rsid w:val="005A1021"/>
    <w:rsid w:val="005A1052"/>
    <w:rsid w:val="005A1142"/>
    <w:rsid w:val="005A1153"/>
    <w:rsid w:val="005A11C3"/>
    <w:rsid w:val="005A1272"/>
    <w:rsid w:val="005A13A7"/>
    <w:rsid w:val="005A13B3"/>
    <w:rsid w:val="005A13D2"/>
    <w:rsid w:val="005A13DE"/>
    <w:rsid w:val="005A15A4"/>
    <w:rsid w:val="005A17F7"/>
    <w:rsid w:val="005A18A9"/>
    <w:rsid w:val="005A1914"/>
    <w:rsid w:val="005A194B"/>
    <w:rsid w:val="005A19EF"/>
    <w:rsid w:val="005A1A9B"/>
    <w:rsid w:val="005A1B34"/>
    <w:rsid w:val="005A1C2C"/>
    <w:rsid w:val="005A1C71"/>
    <w:rsid w:val="005A1D51"/>
    <w:rsid w:val="005A1E53"/>
    <w:rsid w:val="005A1FE8"/>
    <w:rsid w:val="005A2021"/>
    <w:rsid w:val="005A2187"/>
    <w:rsid w:val="005A222B"/>
    <w:rsid w:val="005A2276"/>
    <w:rsid w:val="005A22B0"/>
    <w:rsid w:val="005A22B6"/>
    <w:rsid w:val="005A232A"/>
    <w:rsid w:val="005A23A4"/>
    <w:rsid w:val="005A23C2"/>
    <w:rsid w:val="005A255A"/>
    <w:rsid w:val="005A2595"/>
    <w:rsid w:val="005A28C8"/>
    <w:rsid w:val="005A29A3"/>
    <w:rsid w:val="005A29DC"/>
    <w:rsid w:val="005A2A33"/>
    <w:rsid w:val="005A2A6A"/>
    <w:rsid w:val="005A2B48"/>
    <w:rsid w:val="005A2BA0"/>
    <w:rsid w:val="005A2C62"/>
    <w:rsid w:val="005A2CD0"/>
    <w:rsid w:val="005A2CD7"/>
    <w:rsid w:val="005A2D17"/>
    <w:rsid w:val="005A2D35"/>
    <w:rsid w:val="005A2F88"/>
    <w:rsid w:val="005A3056"/>
    <w:rsid w:val="005A30B9"/>
    <w:rsid w:val="005A3227"/>
    <w:rsid w:val="005A3264"/>
    <w:rsid w:val="005A3324"/>
    <w:rsid w:val="005A33C5"/>
    <w:rsid w:val="005A3481"/>
    <w:rsid w:val="005A3536"/>
    <w:rsid w:val="005A361E"/>
    <w:rsid w:val="005A36B8"/>
    <w:rsid w:val="005A36BF"/>
    <w:rsid w:val="005A3700"/>
    <w:rsid w:val="005A37FB"/>
    <w:rsid w:val="005A3832"/>
    <w:rsid w:val="005A3902"/>
    <w:rsid w:val="005A3A17"/>
    <w:rsid w:val="005A3D7D"/>
    <w:rsid w:val="005A3D7F"/>
    <w:rsid w:val="005A3DCC"/>
    <w:rsid w:val="005A3E42"/>
    <w:rsid w:val="005A3EC4"/>
    <w:rsid w:val="005A41AF"/>
    <w:rsid w:val="005A427B"/>
    <w:rsid w:val="005A4297"/>
    <w:rsid w:val="005A4569"/>
    <w:rsid w:val="005A4583"/>
    <w:rsid w:val="005A46FF"/>
    <w:rsid w:val="005A490F"/>
    <w:rsid w:val="005A496E"/>
    <w:rsid w:val="005A4BF1"/>
    <w:rsid w:val="005A4C41"/>
    <w:rsid w:val="005A4D87"/>
    <w:rsid w:val="005A4F27"/>
    <w:rsid w:val="005A5026"/>
    <w:rsid w:val="005A5324"/>
    <w:rsid w:val="005A53AB"/>
    <w:rsid w:val="005A5480"/>
    <w:rsid w:val="005A54A1"/>
    <w:rsid w:val="005A54D9"/>
    <w:rsid w:val="005A5505"/>
    <w:rsid w:val="005A5542"/>
    <w:rsid w:val="005A55B7"/>
    <w:rsid w:val="005A55E7"/>
    <w:rsid w:val="005A5AC1"/>
    <w:rsid w:val="005A5AF9"/>
    <w:rsid w:val="005A5D00"/>
    <w:rsid w:val="005A5D8D"/>
    <w:rsid w:val="005A60FE"/>
    <w:rsid w:val="005A625A"/>
    <w:rsid w:val="005A638C"/>
    <w:rsid w:val="005A6424"/>
    <w:rsid w:val="005A64BC"/>
    <w:rsid w:val="005A650A"/>
    <w:rsid w:val="005A653F"/>
    <w:rsid w:val="005A65A1"/>
    <w:rsid w:val="005A65FF"/>
    <w:rsid w:val="005A6883"/>
    <w:rsid w:val="005A68A3"/>
    <w:rsid w:val="005A6902"/>
    <w:rsid w:val="005A69C7"/>
    <w:rsid w:val="005A6A41"/>
    <w:rsid w:val="005A6AD1"/>
    <w:rsid w:val="005A6C95"/>
    <w:rsid w:val="005A6DCB"/>
    <w:rsid w:val="005A6F5F"/>
    <w:rsid w:val="005A6FDC"/>
    <w:rsid w:val="005A700A"/>
    <w:rsid w:val="005A7179"/>
    <w:rsid w:val="005A71B3"/>
    <w:rsid w:val="005A71CD"/>
    <w:rsid w:val="005A726D"/>
    <w:rsid w:val="005A7294"/>
    <w:rsid w:val="005A72D7"/>
    <w:rsid w:val="005A72E0"/>
    <w:rsid w:val="005A73DE"/>
    <w:rsid w:val="005A7477"/>
    <w:rsid w:val="005A747A"/>
    <w:rsid w:val="005A7669"/>
    <w:rsid w:val="005A7759"/>
    <w:rsid w:val="005A77BD"/>
    <w:rsid w:val="005A77EE"/>
    <w:rsid w:val="005A784E"/>
    <w:rsid w:val="005A7ACC"/>
    <w:rsid w:val="005A7C2E"/>
    <w:rsid w:val="005A7C9A"/>
    <w:rsid w:val="005A7E25"/>
    <w:rsid w:val="005A7E35"/>
    <w:rsid w:val="005A7EFF"/>
    <w:rsid w:val="005B00E1"/>
    <w:rsid w:val="005B0186"/>
    <w:rsid w:val="005B0342"/>
    <w:rsid w:val="005B0409"/>
    <w:rsid w:val="005B0625"/>
    <w:rsid w:val="005B074A"/>
    <w:rsid w:val="005B07D0"/>
    <w:rsid w:val="005B0836"/>
    <w:rsid w:val="005B0895"/>
    <w:rsid w:val="005B08F5"/>
    <w:rsid w:val="005B09C6"/>
    <w:rsid w:val="005B0AFB"/>
    <w:rsid w:val="005B0B6E"/>
    <w:rsid w:val="005B0D79"/>
    <w:rsid w:val="005B0E88"/>
    <w:rsid w:val="005B0FAD"/>
    <w:rsid w:val="005B0FEC"/>
    <w:rsid w:val="005B114F"/>
    <w:rsid w:val="005B12EE"/>
    <w:rsid w:val="005B1323"/>
    <w:rsid w:val="005B13EF"/>
    <w:rsid w:val="005B1699"/>
    <w:rsid w:val="005B16B5"/>
    <w:rsid w:val="005B16BC"/>
    <w:rsid w:val="005B16BF"/>
    <w:rsid w:val="005B182C"/>
    <w:rsid w:val="005B1903"/>
    <w:rsid w:val="005B1AAE"/>
    <w:rsid w:val="005B1D49"/>
    <w:rsid w:val="005B1DCC"/>
    <w:rsid w:val="005B1DE5"/>
    <w:rsid w:val="005B1ECF"/>
    <w:rsid w:val="005B1F42"/>
    <w:rsid w:val="005B1F71"/>
    <w:rsid w:val="005B2084"/>
    <w:rsid w:val="005B214C"/>
    <w:rsid w:val="005B2358"/>
    <w:rsid w:val="005B2386"/>
    <w:rsid w:val="005B2408"/>
    <w:rsid w:val="005B2497"/>
    <w:rsid w:val="005B2498"/>
    <w:rsid w:val="005B24E3"/>
    <w:rsid w:val="005B25EE"/>
    <w:rsid w:val="005B270D"/>
    <w:rsid w:val="005B2786"/>
    <w:rsid w:val="005B282E"/>
    <w:rsid w:val="005B287A"/>
    <w:rsid w:val="005B29B8"/>
    <w:rsid w:val="005B29C7"/>
    <w:rsid w:val="005B2AEC"/>
    <w:rsid w:val="005B2B73"/>
    <w:rsid w:val="005B2E05"/>
    <w:rsid w:val="005B2EBB"/>
    <w:rsid w:val="005B2F33"/>
    <w:rsid w:val="005B3041"/>
    <w:rsid w:val="005B30B0"/>
    <w:rsid w:val="005B30B9"/>
    <w:rsid w:val="005B3124"/>
    <w:rsid w:val="005B3249"/>
    <w:rsid w:val="005B341F"/>
    <w:rsid w:val="005B35C0"/>
    <w:rsid w:val="005B3629"/>
    <w:rsid w:val="005B3780"/>
    <w:rsid w:val="005B37F5"/>
    <w:rsid w:val="005B3820"/>
    <w:rsid w:val="005B3834"/>
    <w:rsid w:val="005B384D"/>
    <w:rsid w:val="005B3899"/>
    <w:rsid w:val="005B3ACF"/>
    <w:rsid w:val="005B3D42"/>
    <w:rsid w:val="005B3E0C"/>
    <w:rsid w:val="005B4198"/>
    <w:rsid w:val="005B41AA"/>
    <w:rsid w:val="005B41DD"/>
    <w:rsid w:val="005B422E"/>
    <w:rsid w:val="005B4265"/>
    <w:rsid w:val="005B42DB"/>
    <w:rsid w:val="005B443F"/>
    <w:rsid w:val="005B4577"/>
    <w:rsid w:val="005B46E6"/>
    <w:rsid w:val="005B4758"/>
    <w:rsid w:val="005B4BDC"/>
    <w:rsid w:val="005B4BF5"/>
    <w:rsid w:val="005B4D2F"/>
    <w:rsid w:val="005B4D63"/>
    <w:rsid w:val="005B4E2D"/>
    <w:rsid w:val="005B4EBA"/>
    <w:rsid w:val="005B4FED"/>
    <w:rsid w:val="005B5013"/>
    <w:rsid w:val="005B519F"/>
    <w:rsid w:val="005B51BF"/>
    <w:rsid w:val="005B52B2"/>
    <w:rsid w:val="005B55AA"/>
    <w:rsid w:val="005B55BD"/>
    <w:rsid w:val="005B577A"/>
    <w:rsid w:val="005B5796"/>
    <w:rsid w:val="005B594D"/>
    <w:rsid w:val="005B59A2"/>
    <w:rsid w:val="005B59C9"/>
    <w:rsid w:val="005B5AD8"/>
    <w:rsid w:val="005B5C49"/>
    <w:rsid w:val="005B5CEF"/>
    <w:rsid w:val="005B5EC0"/>
    <w:rsid w:val="005B5F36"/>
    <w:rsid w:val="005B600A"/>
    <w:rsid w:val="005B610F"/>
    <w:rsid w:val="005B654C"/>
    <w:rsid w:val="005B6672"/>
    <w:rsid w:val="005B668C"/>
    <w:rsid w:val="005B6855"/>
    <w:rsid w:val="005B694A"/>
    <w:rsid w:val="005B69C8"/>
    <w:rsid w:val="005B69F6"/>
    <w:rsid w:val="005B6A29"/>
    <w:rsid w:val="005B6B1B"/>
    <w:rsid w:val="005B6C54"/>
    <w:rsid w:val="005B6C58"/>
    <w:rsid w:val="005B6D0A"/>
    <w:rsid w:val="005B6D79"/>
    <w:rsid w:val="005B6DEF"/>
    <w:rsid w:val="005B6E69"/>
    <w:rsid w:val="005B7032"/>
    <w:rsid w:val="005B7088"/>
    <w:rsid w:val="005B7122"/>
    <w:rsid w:val="005B71A5"/>
    <w:rsid w:val="005B721E"/>
    <w:rsid w:val="005B7305"/>
    <w:rsid w:val="005B73D8"/>
    <w:rsid w:val="005B741A"/>
    <w:rsid w:val="005B75BA"/>
    <w:rsid w:val="005B75F8"/>
    <w:rsid w:val="005B7822"/>
    <w:rsid w:val="005B7852"/>
    <w:rsid w:val="005B7976"/>
    <w:rsid w:val="005B798B"/>
    <w:rsid w:val="005B7CDE"/>
    <w:rsid w:val="005B7CF6"/>
    <w:rsid w:val="005B7E44"/>
    <w:rsid w:val="005B7EE7"/>
    <w:rsid w:val="005C00CF"/>
    <w:rsid w:val="005C01D5"/>
    <w:rsid w:val="005C06D1"/>
    <w:rsid w:val="005C0725"/>
    <w:rsid w:val="005C0732"/>
    <w:rsid w:val="005C0969"/>
    <w:rsid w:val="005C0A34"/>
    <w:rsid w:val="005C0D7D"/>
    <w:rsid w:val="005C1005"/>
    <w:rsid w:val="005C106C"/>
    <w:rsid w:val="005C1145"/>
    <w:rsid w:val="005C1619"/>
    <w:rsid w:val="005C1693"/>
    <w:rsid w:val="005C16B8"/>
    <w:rsid w:val="005C16C3"/>
    <w:rsid w:val="005C1710"/>
    <w:rsid w:val="005C175F"/>
    <w:rsid w:val="005C17F8"/>
    <w:rsid w:val="005C1A3F"/>
    <w:rsid w:val="005C1AE6"/>
    <w:rsid w:val="005C1C61"/>
    <w:rsid w:val="005C1DFC"/>
    <w:rsid w:val="005C1F1E"/>
    <w:rsid w:val="005C20CC"/>
    <w:rsid w:val="005C2187"/>
    <w:rsid w:val="005C22AB"/>
    <w:rsid w:val="005C22B2"/>
    <w:rsid w:val="005C2495"/>
    <w:rsid w:val="005C2497"/>
    <w:rsid w:val="005C24B6"/>
    <w:rsid w:val="005C2764"/>
    <w:rsid w:val="005C2848"/>
    <w:rsid w:val="005C2A09"/>
    <w:rsid w:val="005C2BC7"/>
    <w:rsid w:val="005C2C7E"/>
    <w:rsid w:val="005C2E64"/>
    <w:rsid w:val="005C2E83"/>
    <w:rsid w:val="005C2EBF"/>
    <w:rsid w:val="005C2EC2"/>
    <w:rsid w:val="005C31DD"/>
    <w:rsid w:val="005C3284"/>
    <w:rsid w:val="005C32A3"/>
    <w:rsid w:val="005C332C"/>
    <w:rsid w:val="005C357A"/>
    <w:rsid w:val="005C358F"/>
    <w:rsid w:val="005C3601"/>
    <w:rsid w:val="005C362B"/>
    <w:rsid w:val="005C3637"/>
    <w:rsid w:val="005C36F8"/>
    <w:rsid w:val="005C3740"/>
    <w:rsid w:val="005C37FF"/>
    <w:rsid w:val="005C387A"/>
    <w:rsid w:val="005C38B0"/>
    <w:rsid w:val="005C3945"/>
    <w:rsid w:val="005C3A86"/>
    <w:rsid w:val="005C3B7F"/>
    <w:rsid w:val="005C3C93"/>
    <w:rsid w:val="005C3D84"/>
    <w:rsid w:val="005C3EFF"/>
    <w:rsid w:val="005C3F7D"/>
    <w:rsid w:val="005C3FA1"/>
    <w:rsid w:val="005C4003"/>
    <w:rsid w:val="005C405F"/>
    <w:rsid w:val="005C406A"/>
    <w:rsid w:val="005C4136"/>
    <w:rsid w:val="005C41EA"/>
    <w:rsid w:val="005C41FA"/>
    <w:rsid w:val="005C4209"/>
    <w:rsid w:val="005C42AA"/>
    <w:rsid w:val="005C42DF"/>
    <w:rsid w:val="005C432B"/>
    <w:rsid w:val="005C45A2"/>
    <w:rsid w:val="005C4615"/>
    <w:rsid w:val="005C4712"/>
    <w:rsid w:val="005C47C8"/>
    <w:rsid w:val="005C48AC"/>
    <w:rsid w:val="005C48F8"/>
    <w:rsid w:val="005C49B8"/>
    <w:rsid w:val="005C4B26"/>
    <w:rsid w:val="005C4C36"/>
    <w:rsid w:val="005C4CF0"/>
    <w:rsid w:val="005C4D53"/>
    <w:rsid w:val="005C4ED4"/>
    <w:rsid w:val="005C4F2A"/>
    <w:rsid w:val="005C5033"/>
    <w:rsid w:val="005C50A2"/>
    <w:rsid w:val="005C50AC"/>
    <w:rsid w:val="005C5143"/>
    <w:rsid w:val="005C520D"/>
    <w:rsid w:val="005C526A"/>
    <w:rsid w:val="005C575B"/>
    <w:rsid w:val="005C575F"/>
    <w:rsid w:val="005C57F7"/>
    <w:rsid w:val="005C5816"/>
    <w:rsid w:val="005C5898"/>
    <w:rsid w:val="005C58BA"/>
    <w:rsid w:val="005C5B77"/>
    <w:rsid w:val="005C5BC5"/>
    <w:rsid w:val="005C5C5F"/>
    <w:rsid w:val="005C5C61"/>
    <w:rsid w:val="005C5C90"/>
    <w:rsid w:val="005C5FA3"/>
    <w:rsid w:val="005C6071"/>
    <w:rsid w:val="005C6323"/>
    <w:rsid w:val="005C636A"/>
    <w:rsid w:val="005C64E8"/>
    <w:rsid w:val="005C65A7"/>
    <w:rsid w:val="005C660F"/>
    <w:rsid w:val="005C6670"/>
    <w:rsid w:val="005C669D"/>
    <w:rsid w:val="005C66A8"/>
    <w:rsid w:val="005C66CE"/>
    <w:rsid w:val="005C672D"/>
    <w:rsid w:val="005C6864"/>
    <w:rsid w:val="005C6895"/>
    <w:rsid w:val="005C68FA"/>
    <w:rsid w:val="005C691F"/>
    <w:rsid w:val="005C6957"/>
    <w:rsid w:val="005C69A4"/>
    <w:rsid w:val="005C6B72"/>
    <w:rsid w:val="005C6B77"/>
    <w:rsid w:val="005C6BD2"/>
    <w:rsid w:val="005C6C5E"/>
    <w:rsid w:val="005C6D0E"/>
    <w:rsid w:val="005C6D96"/>
    <w:rsid w:val="005C6EC7"/>
    <w:rsid w:val="005C6FB1"/>
    <w:rsid w:val="005C70DD"/>
    <w:rsid w:val="005C7101"/>
    <w:rsid w:val="005C714B"/>
    <w:rsid w:val="005C72F8"/>
    <w:rsid w:val="005C7313"/>
    <w:rsid w:val="005C7333"/>
    <w:rsid w:val="005C7382"/>
    <w:rsid w:val="005C73C2"/>
    <w:rsid w:val="005C7708"/>
    <w:rsid w:val="005C776F"/>
    <w:rsid w:val="005C7770"/>
    <w:rsid w:val="005C7A4E"/>
    <w:rsid w:val="005C7A50"/>
    <w:rsid w:val="005C7A9D"/>
    <w:rsid w:val="005C7AD1"/>
    <w:rsid w:val="005C7B6E"/>
    <w:rsid w:val="005C7BA5"/>
    <w:rsid w:val="005C7BDB"/>
    <w:rsid w:val="005C7C59"/>
    <w:rsid w:val="005C7C76"/>
    <w:rsid w:val="005C7E1C"/>
    <w:rsid w:val="005C7E3E"/>
    <w:rsid w:val="005C7F5C"/>
    <w:rsid w:val="005C7FE4"/>
    <w:rsid w:val="005D009D"/>
    <w:rsid w:val="005D01A7"/>
    <w:rsid w:val="005D0320"/>
    <w:rsid w:val="005D035D"/>
    <w:rsid w:val="005D03A1"/>
    <w:rsid w:val="005D05DC"/>
    <w:rsid w:val="005D0606"/>
    <w:rsid w:val="005D072C"/>
    <w:rsid w:val="005D08A7"/>
    <w:rsid w:val="005D0A54"/>
    <w:rsid w:val="005D0A9C"/>
    <w:rsid w:val="005D0ADD"/>
    <w:rsid w:val="005D0B30"/>
    <w:rsid w:val="005D0B94"/>
    <w:rsid w:val="005D0BD8"/>
    <w:rsid w:val="005D0D0E"/>
    <w:rsid w:val="005D0DB4"/>
    <w:rsid w:val="005D0DCA"/>
    <w:rsid w:val="005D0DF4"/>
    <w:rsid w:val="005D0FA7"/>
    <w:rsid w:val="005D10DF"/>
    <w:rsid w:val="005D1160"/>
    <w:rsid w:val="005D11A4"/>
    <w:rsid w:val="005D1252"/>
    <w:rsid w:val="005D138E"/>
    <w:rsid w:val="005D1681"/>
    <w:rsid w:val="005D1848"/>
    <w:rsid w:val="005D18C3"/>
    <w:rsid w:val="005D196F"/>
    <w:rsid w:val="005D1990"/>
    <w:rsid w:val="005D19C1"/>
    <w:rsid w:val="005D1AC5"/>
    <w:rsid w:val="005D1C3B"/>
    <w:rsid w:val="005D1D4C"/>
    <w:rsid w:val="005D1D7D"/>
    <w:rsid w:val="005D1DE0"/>
    <w:rsid w:val="005D1F82"/>
    <w:rsid w:val="005D2299"/>
    <w:rsid w:val="005D22DE"/>
    <w:rsid w:val="005D23B7"/>
    <w:rsid w:val="005D2407"/>
    <w:rsid w:val="005D2461"/>
    <w:rsid w:val="005D246A"/>
    <w:rsid w:val="005D24BC"/>
    <w:rsid w:val="005D2613"/>
    <w:rsid w:val="005D26E6"/>
    <w:rsid w:val="005D2790"/>
    <w:rsid w:val="005D2835"/>
    <w:rsid w:val="005D2897"/>
    <w:rsid w:val="005D29B9"/>
    <w:rsid w:val="005D29F0"/>
    <w:rsid w:val="005D2A1F"/>
    <w:rsid w:val="005D2ACB"/>
    <w:rsid w:val="005D2B96"/>
    <w:rsid w:val="005D2BC7"/>
    <w:rsid w:val="005D2BE8"/>
    <w:rsid w:val="005D2C75"/>
    <w:rsid w:val="005D2F84"/>
    <w:rsid w:val="005D2FB6"/>
    <w:rsid w:val="005D2FCA"/>
    <w:rsid w:val="005D309C"/>
    <w:rsid w:val="005D30AA"/>
    <w:rsid w:val="005D30AF"/>
    <w:rsid w:val="005D30E4"/>
    <w:rsid w:val="005D30F9"/>
    <w:rsid w:val="005D3162"/>
    <w:rsid w:val="005D3341"/>
    <w:rsid w:val="005D336F"/>
    <w:rsid w:val="005D3370"/>
    <w:rsid w:val="005D3373"/>
    <w:rsid w:val="005D337A"/>
    <w:rsid w:val="005D33E0"/>
    <w:rsid w:val="005D341A"/>
    <w:rsid w:val="005D341E"/>
    <w:rsid w:val="005D3494"/>
    <w:rsid w:val="005D3544"/>
    <w:rsid w:val="005D366B"/>
    <w:rsid w:val="005D3777"/>
    <w:rsid w:val="005D3797"/>
    <w:rsid w:val="005D37A8"/>
    <w:rsid w:val="005D3896"/>
    <w:rsid w:val="005D3987"/>
    <w:rsid w:val="005D3A2A"/>
    <w:rsid w:val="005D3A80"/>
    <w:rsid w:val="005D3D18"/>
    <w:rsid w:val="005D403B"/>
    <w:rsid w:val="005D40D7"/>
    <w:rsid w:val="005D4229"/>
    <w:rsid w:val="005D437E"/>
    <w:rsid w:val="005D4545"/>
    <w:rsid w:val="005D46BF"/>
    <w:rsid w:val="005D471D"/>
    <w:rsid w:val="005D472E"/>
    <w:rsid w:val="005D477D"/>
    <w:rsid w:val="005D479C"/>
    <w:rsid w:val="005D4909"/>
    <w:rsid w:val="005D493D"/>
    <w:rsid w:val="005D49B6"/>
    <w:rsid w:val="005D49E1"/>
    <w:rsid w:val="005D4B5C"/>
    <w:rsid w:val="005D4C05"/>
    <w:rsid w:val="005D4C36"/>
    <w:rsid w:val="005D4C95"/>
    <w:rsid w:val="005D4C96"/>
    <w:rsid w:val="005D4D3C"/>
    <w:rsid w:val="005D4D4C"/>
    <w:rsid w:val="005D4D90"/>
    <w:rsid w:val="005D5025"/>
    <w:rsid w:val="005D52A9"/>
    <w:rsid w:val="005D53C9"/>
    <w:rsid w:val="005D5542"/>
    <w:rsid w:val="005D5638"/>
    <w:rsid w:val="005D56F9"/>
    <w:rsid w:val="005D5AB4"/>
    <w:rsid w:val="005D5C57"/>
    <w:rsid w:val="005D5E4C"/>
    <w:rsid w:val="005D5E51"/>
    <w:rsid w:val="005D5E65"/>
    <w:rsid w:val="005D5E78"/>
    <w:rsid w:val="005D5EAB"/>
    <w:rsid w:val="005D5ECE"/>
    <w:rsid w:val="005D5F46"/>
    <w:rsid w:val="005D5F52"/>
    <w:rsid w:val="005D5F6B"/>
    <w:rsid w:val="005D5F9C"/>
    <w:rsid w:val="005D5F9F"/>
    <w:rsid w:val="005D6002"/>
    <w:rsid w:val="005D6012"/>
    <w:rsid w:val="005D6132"/>
    <w:rsid w:val="005D618B"/>
    <w:rsid w:val="005D63AB"/>
    <w:rsid w:val="005D668A"/>
    <w:rsid w:val="005D66DE"/>
    <w:rsid w:val="005D6804"/>
    <w:rsid w:val="005D68C8"/>
    <w:rsid w:val="005D6A12"/>
    <w:rsid w:val="005D6B55"/>
    <w:rsid w:val="005D6B57"/>
    <w:rsid w:val="005D6BF8"/>
    <w:rsid w:val="005D6D42"/>
    <w:rsid w:val="005D6DF1"/>
    <w:rsid w:val="005D6E63"/>
    <w:rsid w:val="005D6EAA"/>
    <w:rsid w:val="005D6ECA"/>
    <w:rsid w:val="005D6ED0"/>
    <w:rsid w:val="005D6FF7"/>
    <w:rsid w:val="005D70EA"/>
    <w:rsid w:val="005D71E1"/>
    <w:rsid w:val="005D720E"/>
    <w:rsid w:val="005D72B1"/>
    <w:rsid w:val="005D73FC"/>
    <w:rsid w:val="005D7480"/>
    <w:rsid w:val="005D749B"/>
    <w:rsid w:val="005D74F0"/>
    <w:rsid w:val="005D751B"/>
    <w:rsid w:val="005D7607"/>
    <w:rsid w:val="005D763F"/>
    <w:rsid w:val="005D7687"/>
    <w:rsid w:val="005D781A"/>
    <w:rsid w:val="005D78FD"/>
    <w:rsid w:val="005D79D9"/>
    <w:rsid w:val="005D7A4A"/>
    <w:rsid w:val="005D7AE0"/>
    <w:rsid w:val="005D7B93"/>
    <w:rsid w:val="005D7BC8"/>
    <w:rsid w:val="005D7C5E"/>
    <w:rsid w:val="005D7C61"/>
    <w:rsid w:val="005D7D0F"/>
    <w:rsid w:val="005D7DA1"/>
    <w:rsid w:val="005D7DE6"/>
    <w:rsid w:val="005D7E60"/>
    <w:rsid w:val="005D7E7B"/>
    <w:rsid w:val="005D7E86"/>
    <w:rsid w:val="005E0056"/>
    <w:rsid w:val="005E00C8"/>
    <w:rsid w:val="005E010E"/>
    <w:rsid w:val="005E012F"/>
    <w:rsid w:val="005E022B"/>
    <w:rsid w:val="005E02F3"/>
    <w:rsid w:val="005E06D9"/>
    <w:rsid w:val="005E06DB"/>
    <w:rsid w:val="005E0709"/>
    <w:rsid w:val="005E073D"/>
    <w:rsid w:val="005E0825"/>
    <w:rsid w:val="005E08C5"/>
    <w:rsid w:val="005E0A4A"/>
    <w:rsid w:val="005E0AB4"/>
    <w:rsid w:val="005E0B62"/>
    <w:rsid w:val="005E0B83"/>
    <w:rsid w:val="005E0BF9"/>
    <w:rsid w:val="005E0C01"/>
    <w:rsid w:val="005E0C12"/>
    <w:rsid w:val="005E0C22"/>
    <w:rsid w:val="005E0C25"/>
    <w:rsid w:val="005E0CFD"/>
    <w:rsid w:val="005E0D48"/>
    <w:rsid w:val="005E0EC0"/>
    <w:rsid w:val="005E0EC1"/>
    <w:rsid w:val="005E0EE6"/>
    <w:rsid w:val="005E105F"/>
    <w:rsid w:val="005E10F3"/>
    <w:rsid w:val="005E10F6"/>
    <w:rsid w:val="005E11EA"/>
    <w:rsid w:val="005E1262"/>
    <w:rsid w:val="005E136C"/>
    <w:rsid w:val="005E1375"/>
    <w:rsid w:val="005E1385"/>
    <w:rsid w:val="005E1407"/>
    <w:rsid w:val="005E1470"/>
    <w:rsid w:val="005E1523"/>
    <w:rsid w:val="005E1662"/>
    <w:rsid w:val="005E16DB"/>
    <w:rsid w:val="005E1848"/>
    <w:rsid w:val="005E1AE2"/>
    <w:rsid w:val="005E1AFC"/>
    <w:rsid w:val="005E1B6D"/>
    <w:rsid w:val="005E1C10"/>
    <w:rsid w:val="005E1C6A"/>
    <w:rsid w:val="005E1E52"/>
    <w:rsid w:val="005E1E7C"/>
    <w:rsid w:val="005E1EEF"/>
    <w:rsid w:val="005E1FC3"/>
    <w:rsid w:val="005E201F"/>
    <w:rsid w:val="005E20FA"/>
    <w:rsid w:val="005E211A"/>
    <w:rsid w:val="005E2167"/>
    <w:rsid w:val="005E2218"/>
    <w:rsid w:val="005E235B"/>
    <w:rsid w:val="005E237F"/>
    <w:rsid w:val="005E23EE"/>
    <w:rsid w:val="005E24E7"/>
    <w:rsid w:val="005E255D"/>
    <w:rsid w:val="005E25BF"/>
    <w:rsid w:val="005E26B7"/>
    <w:rsid w:val="005E26C4"/>
    <w:rsid w:val="005E26FE"/>
    <w:rsid w:val="005E2720"/>
    <w:rsid w:val="005E2871"/>
    <w:rsid w:val="005E28DB"/>
    <w:rsid w:val="005E29A2"/>
    <w:rsid w:val="005E29EB"/>
    <w:rsid w:val="005E2A4D"/>
    <w:rsid w:val="005E2B1B"/>
    <w:rsid w:val="005E2B5F"/>
    <w:rsid w:val="005E2C57"/>
    <w:rsid w:val="005E2D2D"/>
    <w:rsid w:val="005E2F2A"/>
    <w:rsid w:val="005E318E"/>
    <w:rsid w:val="005E3245"/>
    <w:rsid w:val="005E3393"/>
    <w:rsid w:val="005E33F4"/>
    <w:rsid w:val="005E34C4"/>
    <w:rsid w:val="005E3863"/>
    <w:rsid w:val="005E393E"/>
    <w:rsid w:val="005E39DC"/>
    <w:rsid w:val="005E3BD7"/>
    <w:rsid w:val="005E3C05"/>
    <w:rsid w:val="005E3D95"/>
    <w:rsid w:val="005E3E47"/>
    <w:rsid w:val="005E3E5B"/>
    <w:rsid w:val="005E3EB3"/>
    <w:rsid w:val="005E3F80"/>
    <w:rsid w:val="005E400C"/>
    <w:rsid w:val="005E4027"/>
    <w:rsid w:val="005E438C"/>
    <w:rsid w:val="005E43AA"/>
    <w:rsid w:val="005E446B"/>
    <w:rsid w:val="005E449C"/>
    <w:rsid w:val="005E450D"/>
    <w:rsid w:val="005E462B"/>
    <w:rsid w:val="005E4783"/>
    <w:rsid w:val="005E4862"/>
    <w:rsid w:val="005E489B"/>
    <w:rsid w:val="005E4956"/>
    <w:rsid w:val="005E4960"/>
    <w:rsid w:val="005E4991"/>
    <w:rsid w:val="005E4AA4"/>
    <w:rsid w:val="005E4AC2"/>
    <w:rsid w:val="005E4B8A"/>
    <w:rsid w:val="005E4C2B"/>
    <w:rsid w:val="005E4CCC"/>
    <w:rsid w:val="005E4D05"/>
    <w:rsid w:val="005E4D2E"/>
    <w:rsid w:val="005E4DD1"/>
    <w:rsid w:val="005E5015"/>
    <w:rsid w:val="005E50D2"/>
    <w:rsid w:val="005E529F"/>
    <w:rsid w:val="005E5307"/>
    <w:rsid w:val="005E5409"/>
    <w:rsid w:val="005E54C0"/>
    <w:rsid w:val="005E553C"/>
    <w:rsid w:val="005E5543"/>
    <w:rsid w:val="005E55D0"/>
    <w:rsid w:val="005E564A"/>
    <w:rsid w:val="005E5725"/>
    <w:rsid w:val="005E576E"/>
    <w:rsid w:val="005E580F"/>
    <w:rsid w:val="005E5912"/>
    <w:rsid w:val="005E5930"/>
    <w:rsid w:val="005E59D7"/>
    <w:rsid w:val="005E59E1"/>
    <w:rsid w:val="005E5AFE"/>
    <w:rsid w:val="005E5B45"/>
    <w:rsid w:val="005E5C44"/>
    <w:rsid w:val="005E5C73"/>
    <w:rsid w:val="005E5CD4"/>
    <w:rsid w:val="005E5EF4"/>
    <w:rsid w:val="005E5F19"/>
    <w:rsid w:val="005E5F23"/>
    <w:rsid w:val="005E603A"/>
    <w:rsid w:val="005E6165"/>
    <w:rsid w:val="005E62D0"/>
    <w:rsid w:val="005E6409"/>
    <w:rsid w:val="005E6491"/>
    <w:rsid w:val="005E64A7"/>
    <w:rsid w:val="005E689F"/>
    <w:rsid w:val="005E696A"/>
    <w:rsid w:val="005E6BD4"/>
    <w:rsid w:val="005E6C26"/>
    <w:rsid w:val="005E6C3C"/>
    <w:rsid w:val="005E6C43"/>
    <w:rsid w:val="005E6C71"/>
    <w:rsid w:val="005E6D69"/>
    <w:rsid w:val="005E6D92"/>
    <w:rsid w:val="005E6DC4"/>
    <w:rsid w:val="005E6E17"/>
    <w:rsid w:val="005E6E2D"/>
    <w:rsid w:val="005E6EF9"/>
    <w:rsid w:val="005E73BD"/>
    <w:rsid w:val="005E74DA"/>
    <w:rsid w:val="005E7534"/>
    <w:rsid w:val="005E767D"/>
    <w:rsid w:val="005E7944"/>
    <w:rsid w:val="005E7A44"/>
    <w:rsid w:val="005E7BA3"/>
    <w:rsid w:val="005E7D81"/>
    <w:rsid w:val="005E7EA1"/>
    <w:rsid w:val="005E7FFA"/>
    <w:rsid w:val="005F00B8"/>
    <w:rsid w:val="005F0105"/>
    <w:rsid w:val="005F0174"/>
    <w:rsid w:val="005F0182"/>
    <w:rsid w:val="005F0246"/>
    <w:rsid w:val="005F02AB"/>
    <w:rsid w:val="005F045B"/>
    <w:rsid w:val="005F0487"/>
    <w:rsid w:val="005F065E"/>
    <w:rsid w:val="005F0761"/>
    <w:rsid w:val="005F08AD"/>
    <w:rsid w:val="005F0912"/>
    <w:rsid w:val="005F091F"/>
    <w:rsid w:val="005F09FA"/>
    <w:rsid w:val="005F0A51"/>
    <w:rsid w:val="005F0B5F"/>
    <w:rsid w:val="005F0C01"/>
    <w:rsid w:val="005F0C4A"/>
    <w:rsid w:val="005F0C5F"/>
    <w:rsid w:val="005F0DAD"/>
    <w:rsid w:val="005F0DD2"/>
    <w:rsid w:val="005F0E40"/>
    <w:rsid w:val="005F0E67"/>
    <w:rsid w:val="005F0E84"/>
    <w:rsid w:val="005F0F75"/>
    <w:rsid w:val="005F109B"/>
    <w:rsid w:val="005F10C1"/>
    <w:rsid w:val="005F117B"/>
    <w:rsid w:val="005F117D"/>
    <w:rsid w:val="005F11B9"/>
    <w:rsid w:val="005F11FB"/>
    <w:rsid w:val="005F12E4"/>
    <w:rsid w:val="005F12FA"/>
    <w:rsid w:val="005F131B"/>
    <w:rsid w:val="005F13B3"/>
    <w:rsid w:val="005F143C"/>
    <w:rsid w:val="005F1532"/>
    <w:rsid w:val="005F1572"/>
    <w:rsid w:val="005F16BE"/>
    <w:rsid w:val="005F1732"/>
    <w:rsid w:val="005F18BF"/>
    <w:rsid w:val="005F1B38"/>
    <w:rsid w:val="005F1CE5"/>
    <w:rsid w:val="005F1EBF"/>
    <w:rsid w:val="005F1F30"/>
    <w:rsid w:val="005F1F60"/>
    <w:rsid w:val="005F2156"/>
    <w:rsid w:val="005F22B9"/>
    <w:rsid w:val="005F23EF"/>
    <w:rsid w:val="005F259D"/>
    <w:rsid w:val="005F29F7"/>
    <w:rsid w:val="005F2BDA"/>
    <w:rsid w:val="005F2C1B"/>
    <w:rsid w:val="005F2D84"/>
    <w:rsid w:val="005F2E27"/>
    <w:rsid w:val="005F2EDC"/>
    <w:rsid w:val="005F2F08"/>
    <w:rsid w:val="005F2F79"/>
    <w:rsid w:val="005F306E"/>
    <w:rsid w:val="005F30A0"/>
    <w:rsid w:val="005F30A8"/>
    <w:rsid w:val="005F31C9"/>
    <w:rsid w:val="005F335B"/>
    <w:rsid w:val="005F33F3"/>
    <w:rsid w:val="005F3500"/>
    <w:rsid w:val="005F35F5"/>
    <w:rsid w:val="005F36AE"/>
    <w:rsid w:val="005F37C5"/>
    <w:rsid w:val="005F39BB"/>
    <w:rsid w:val="005F3B35"/>
    <w:rsid w:val="005F3B49"/>
    <w:rsid w:val="005F3C4B"/>
    <w:rsid w:val="005F3CC1"/>
    <w:rsid w:val="005F3F50"/>
    <w:rsid w:val="005F3F70"/>
    <w:rsid w:val="005F4219"/>
    <w:rsid w:val="005F4283"/>
    <w:rsid w:val="005F4291"/>
    <w:rsid w:val="005F42E9"/>
    <w:rsid w:val="005F430C"/>
    <w:rsid w:val="005F455B"/>
    <w:rsid w:val="005F4577"/>
    <w:rsid w:val="005F4628"/>
    <w:rsid w:val="005F46F5"/>
    <w:rsid w:val="005F4716"/>
    <w:rsid w:val="005F47CB"/>
    <w:rsid w:val="005F489B"/>
    <w:rsid w:val="005F48EF"/>
    <w:rsid w:val="005F4AA0"/>
    <w:rsid w:val="005F4BDF"/>
    <w:rsid w:val="005F4BFA"/>
    <w:rsid w:val="005F4DA1"/>
    <w:rsid w:val="005F4FA2"/>
    <w:rsid w:val="005F50E3"/>
    <w:rsid w:val="005F51D2"/>
    <w:rsid w:val="005F5201"/>
    <w:rsid w:val="005F520A"/>
    <w:rsid w:val="005F523B"/>
    <w:rsid w:val="005F5269"/>
    <w:rsid w:val="005F52C2"/>
    <w:rsid w:val="005F52F8"/>
    <w:rsid w:val="005F53F1"/>
    <w:rsid w:val="005F55A3"/>
    <w:rsid w:val="005F55C9"/>
    <w:rsid w:val="005F562C"/>
    <w:rsid w:val="005F56B0"/>
    <w:rsid w:val="005F5810"/>
    <w:rsid w:val="005F582C"/>
    <w:rsid w:val="005F5876"/>
    <w:rsid w:val="005F5B95"/>
    <w:rsid w:val="005F5C8A"/>
    <w:rsid w:val="005F5D24"/>
    <w:rsid w:val="005F5D9A"/>
    <w:rsid w:val="005F5DF0"/>
    <w:rsid w:val="005F5E64"/>
    <w:rsid w:val="005F5EB5"/>
    <w:rsid w:val="005F5FBC"/>
    <w:rsid w:val="005F5FDC"/>
    <w:rsid w:val="005F5FE7"/>
    <w:rsid w:val="005F6209"/>
    <w:rsid w:val="005F6220"/>
    <w:rsid w:val="005F6261"/>
    <w:rsid w:val="005F64BE"/>
    <w:rsid w:val="005F65AE"/>
    <w:rsid w:val="005F65FA"/>
    <w:rsid w:val="005F6611"/>
    <w:rsid w:val="005F668C"/>
    <w:rsid w:val="005F682D"/>
    <w:rsid w:val="005F68F4"/>
    <w:rsid w:val="005F6AF2"/>
    <w:rsid w:val="005F6C57"/>
    <w:rsid w:val="005F6CA9"/>
    <w:rsid w:val="005F6CB1"/>
    <w:rsid w:val="005F6CDC"/>
    <w:rsid w:val="005F6D25"/>
    <w:rsid w:val="005F6E74"/>
    <w:rsid w:val="005F6E7B"/>
    <w:rsid w:val="005F6ED1"/>
    <w:rsid w:val="005F7018"/>
    <w:rsid w:val="005F70B6"/>
    <w:rsid w:val="005F7188"/>
    <w:rsid w:val="005F7220"/>
    <w:rsid w:val="005F726D"/>
    <w:rsid w:val="005F7274"/>
    <w:rsid w:val="005F7285"/>
    <w:rsid w:val="005F7288"/>
    <w:rsid w:val="005F7429"/>
    <w:rsid w:val="005F7453"/>
    <w:rsid w:val="005F74C9"/>
    <w:rsid w:val="005F7534"/>
    <w:rsid w:val="005F76AF"/>
    <w:rsid w:val="005F7743"/>
    <w:rsid w:val="005F7A17"/>
    <w:rsid w:val="005F7B30"/>
    <w:rsid w:val="005F7C77"/>
    <w:rsid w:val="005F7CEC"/>
    <w:rsid w:val="005F7D3E"/>
    <w:rsid w:val="005F7E0C"/>
    <w:rsid w:val="005F7E62"/>
    <w:rsid w:val="005F7F58"/>
    <w:rsid w:val="005F7F7D"/>
    <w:rsid w:val="005F7FDC"/>
    <w:rsid w:val="005F7FE8"/>
    <w:rsid w:val="00600041"/>
    <w:rsid w:val="006000CB"/>
    <w:rsid w:val="0060022E"/>
    <w:rsid w:val="006003AA"/>
    <w:rsid w:val="006003B5"/>
    <w:rsid w:val="0060041D"/>
    <w:rsid w:val="0060043F"/>
    <w:rsid w:val="0060047E"/>
    <w:rsid w:val="006004AF"/>
    <w:rsid w:val="0060055A"/>
    <w:rsid w:val="0060056A"/>
    <w:rsid w:val="0060057B"/>
    <w:rsid w:val="006005CC"/>
    <w:rsid w:val="0060083E"/>
    <w:rsid w:val="006008D2"/>
    <w:rsid w:val="00600A93"/>
    <w:rsid w:val="00600B74"/>
    <w:rsid w:val="00600C53"/>
    <w:rsid w:val="00600CA7"/>
    <w:rsid w:val="00600D1D"/>
    <w:rsid w:val="00600D55"/>
    <w:rsid w:val="00600EB8"/>
    <w:rsid w:val="00601028"/>
    <w:rsid w:val="006011AC"/>
    <w:rsid w:val="00601223"/>
    <w:rsid w:val="00601240"/>
    <w:rsid w:val="006012CF"/>
    <w:rsid w:val="006012F8"/>
    <w:rsid w:val="0060134E"/>
    <w:rsid w:val="0060149B"/>
    <w:rsid w:val="00601585"/>
    <w:rsid w:val="0060164B"/>
    <w:rsid w:val="006017A4"/>
    <w:rsid w:val="006017D5"/>
    <w:rsid w:val="00601918"/>
    <w:rsid w:val="00601A07"/>
    <w:rsid w:val="00601AD5"/>
    <w:rsid w:val="00601CE1"/>
    <w:rsid w:val="00601D0F"/>
    <w:rsid w:val="00601E1D"/>
    <w:rsid w:val="00601E7A"/>
    <w:rsid w:val="00601FD9"/>
    <w:rsid w:val="00602109"/>
    <w:rsid w:val="00602129"/>
    <w:rsid w:val="00602173"/>
    <w:rsid w:val="006021B1"/>
    <w:rsid w:val="00602262"/>
    <w:rsid w:val="0060226F"/>
    <w:rsid w:val="006022B7"/>
    <w:rsid w:val="00602304"/>
    <w:rsid w:val="006023C1"/>
    <w:rsid w:val="006023F6"/>
    <w:rsid w:val="006024B7"/>
    <w:rsid w:val="0060257B"/>
    <w:rsid w:val="00602664"/>
    <w:rsid w:val="00602668"/>
    <w:rsid w:val="0060269C"/>
    <w:rsid w:val="006028D9"/>
    <w:rsid w:val="006029F0"/>
    <w:rsid w:val="00602A23"/>
    <w:rsid w:val="00602BB6"/>
    <w:rsid w:val="00602CC4"/>
    <w:rsid w:val="00602DBB"/>
    <w:rsid w:val="00602F4B"/>
    <w:rsid w:val="00602F89"/>
    <w:rsid w:val="0060322F"/>
    <w:rsid w:val="00603290"/>
    <w:rsid w:val="0060336B"/>
    <w:rsid w:val="0060353A"/>
    <w:rsid w:val="00603583"/>
    <w:rsid w:val="006036FF"/>
    <w:rsid w:val="00603710"/>
    <w:rsid w:val="0060390B"/>
    <w:rsid w:val="00603A1F"/>
    <w:rsid w:val="00603B48"/>
    <w:rsid w:val="00603C00"/>
    <w:rsid w:val="00603CC9"/>
    <w:rsid w:val="00603CCE"/>
    <w:rsid w:val="00603D43"/>
    <w:rsid w:val="00603DB7"/>
    <w:rsid w:val="00603E4C"/>
    <w:rsid w:val="00604003"/>
    <w:rsid w:val="00604194"/>
    <w:rsid w:val="006041CE"/>
    <w:rsid w:val="006041D2"/>
    <w:rsid w:val="00604265"/>
    <w:rsid w:val="0060426D"/>
    <w:rsid w:val="006042DF"/>
    <w:rsid w:val="006043B0"/>
    <w:rsid w:val="006043E8"/>
    <w:rsid w:val="0060445C"/>
    <w:rsid w:val="00604528"/>
    <w:rsid w:val="00604597"/>
    <w:rsid w:val="00604843"/>
    <w:rsid w:val="006049D8"/>
    <w:rsid w:val="006049E6"/>
    <w:rsid w:val="00604A0D"/>
    <w:rsid w:val="00604ABA"/>
    <w:rsid w:val="00604CA1"/>
    <w:rsid w:val="006050AD"/>
    <w:rsid w:val="00605211"/>
    <w:rsid w:val="0060524B"/>
    <w:rsid w:val="0060532B"/>
    <w:rsid w:val="00605531"/>
    <w:rsid w:val="00605636"/>
    <w:rsid w:val="006056BB"/>
    <w:rsid w:val="006058B2"/>
    <w:rsid w:val="006058E5"/>
    <w:rsid w:val="006059A4"/>
    <w:rsid w:val="006059F1"/>
    <w:rsid w:val="00605B0E"/>
    <w:rsid w:val="00605DDF"/>
    <w:rsid w:val="00605DEA"/>
    <w:rsid w:val="00605F2B"/>
    <w:rsid w:val="00606033"/>
    <w:rsid w:val="006060F9"/>
    <w:rsid w:val="0060614E"/>
    <w:rsid w:val="0060631F"/>
    <w:rsid w:val="0060638A"/>
    <w:rsid w:val="006063DD"/>
    <w:rsid w:val="006063FF"/>
    <w:rsid w:val="00606633"/>
    <w:rsid w:val="006068DD"/>
    <w:rsid w:val="00606925"/>
    <w:rsid w:val="00606ADD"/>
    <w:rsid w:val="00606C00"/>
    <w:rsid w:val="00606C82"/>
    <w:rsid w:val="00606C84"/>
    <w:rsid w:val="00606C92"/>
    <w:rsid w:val="00606CC2"/>
    <w:rsid w:val="00606D5C"/>
    <w:rsid w:val="00606DB7"/>
    <w:rsid w:val="00606F12"/>
    <w:rsid w:val="00606F69"/>
    <w:rsid w:val="00606F90"/>
    <w:rsid w:val="00607161"/>
    <w:rsid w:val="00607248"/>
    <w:rsid w:val="0060731B"/>
    <w:rsid w:val="006073DE"/>
    <w:rsid w:val="006073FF"/>
    <w:rsid w:val="00607505"/>
    <w:rsid w:val="006075AA"/>
    <w:rsid w:val="0060761A"/>
    <w:rsid w:val="0060763F"/>
    <w:rsid w:val="006076A8"/>
    <w:rsid w:val="006077AA"/>
    <w:rsid w:val="006079AC"/>
    <w:rsid w:val="006079E4"/>
    <w:rsid w:val="00607AE4"/>
    <w:rsid w:val="00607DD1"/>
    <w:rsid w:val="00607FBF"/>
    <w:rsid w:val="00607FDB"/>
    <w:rsid w:val="00610099"/>
    <w:rsid w:val="00610178"/>
    <w:rsid w:val="0061017C"/>
    <w:rsid w:val="0061021B"/>
    <w:rsid w:val="006103ED"/>
    <w:rsid w:val="00610613"/>
    <w:rsid w:val="0061069C"/>
    <w:rsid w:val="006106E6"/>
    <w:rsid w:val="00610733"/>
    <w:rsid w:val="006108A8"/>
    <w:rsid w:val="006108D7"/>
    <w:rsid w:val="0061096B"/>
    <w:rsid w:val="00610A4A"/>
    <w:rsid w:val="00610A77"/>
    <w:rsid w:val="00610C1C"/>
    <w:rsid w:val="00610D34"/>
    <w:rsid w:val="00610D45"/>
    <w:rsid w:val="00610DD7"/>
    <w:rsid w:val="00610F3D"/>
    <w:rsid w:val="00610F86"/>
    <w:rsid w:val="00611038"/>
    <w:rsid w:val="00611207"/>
    <w:rsid w:val="0061125C"/>
    <w:rsid w:val="0061142F"/>
    <w:rsid w:val="00611459"/>
    <w:rsid w:val="00611620"/>
    <w:rsid w:val="006116B5"/>
    <w:rsid w:val="00611739"/>
    <w:rsid w:val="0061176C"/>
    <w:rsid w:val="006118CD"/>
    <w:rsid w:val="00611908"/>
    <w:rsid w:val="00611964"/>
    <w:rsid w:val="00611A2C"/>
    <w:rsid w:val="00611ACC"/>
    <w:rsid w:val="00611B4A"/>
    <w:rsid w:val="00611B5F"/>
    <w:rsid w:val="00611BD0"/>
    <w:rsid w:val="00611C20"/>
    <w:rsid w:val="00611C41"/>
    <w:rsid w:val="00611D85"/>
    <w:rsid w:val="00611D86"/>
    <w:rsid w:val="00611E3F"/>
    <w:rsid w:val="00611EBB"/>
    <w:rsid w:val="00611FC1"/>
    <w:rsid w:val="00612142"/>
    <w:rsid w:val="0061217F"/>
    <w:rsid w:val="00612215"/>
    <w:rsid w:val="0061222E"/>
    <w:rsid w:val="00612271"/>
    <w:rsid w:val="0061237A"/>
    <w:rsid w:val="006123D4"/>
    <w:rsid w:val="00612443"/>
    <w:rsid w:val="00612490"/>
    <w:rsid w:val="006125C4"/>
    <w:rsid w:val="006125EA"/>
    <w:rsid w:val="00612620"/>
    <w:rsid w:val="00612652"/>
    <w:rsid w:val="006126E5"/>
    <w:rsid w:val="006126F7"/>
    <w:rsid w:val="00612846"/>
    <w:rsid w:val="006128B2"/>
    <w:rsid w:val="006128CE"/>
    <w:rsid w:val="00612981"/>
    <w:rsid w:val="006129A6"/>
    <w:rsid w:val="00612BAC"/>
    <w:rsid w:val="00612BAE"/>
    <w:rsid w:val="00612E5F"/>
    <w:rsid w:val="00613063"/>
    <w:rsid w:val="006130AF"/>
    <w:rsid w:val="00613105"/>
    <w:rsid w:val="0061310F"/>
    <w:rsid w:val="00613127"/>
    <w:rsid w:val="0061320F"/>
    <w:rsid w:val="006132FE"/>
    <w:rsid w:val="00613412"/>
    <w:rsid w:val="006134F0"/>
    <w:rsid w:val="0061358C"/>
    <w:rsid w:val="00613618"/>
    <w:rsid w:val="006136A6"/>
    <w:rsid w:val="00613811"/>
    <w:rsid w:val="0061387F"/>
    <w:rsid w:val="006138EA"/>
    <w:rsid w:val="0061395F"/>
    <w:rsid w:val="00613A7B"/>
    <w:rsid w:val="00613D22"/>
    <w:rsid w:val="00613E1E"/>
    <w:rsid w:val="00613E3D"/>
    <w:rsid w:val="00613EC3"/>
    <w:rsid w:val="00613EE3"/>
    <w:rsid w:val="00613F17"/>
    <w:rsid w:val="00613F91"/>
    <w:rsid w:val="006141AF"/>
    <w:rsid w:val="006142EB"/>
    <w:rsid w:val="0061444E"/>
    <w:rsid w:val="006145DF"/>
    <w:rsid w:val="0061465D"/>
    <w:rsid w:val="006146F8"/>
    <w:rsid w:val="00614781"/>
    <w:rsid w:val="00614880"/>
    <w:rsid w:val="006148E4"/>
    <w:rsid w:val="00614B37"/>
    <w:rsid w:val="00614B92"/>
    <w:rsid w:val="00614DA4"/>
    <w:rsid w:val="00614F65"/>
    <w:rsid w:val="00614FB5"/>
    <w:rsid w:val="006150E3"/>
    <w:rsid w:val="00615190"/>
    <w:rsid w:val="006151A4"/>
    <w:rsid w:val="006154AE"/>
    <w:rsid w:val="006154D7"/>
    <w:rsid w:val="0061550F"/>
    <w:rsid w:val="00615569"/>
    <w:rsid w:val="0061556D"/>
    <w:rsid w:val="00615634"/>
    <w:rsid w:val="006156E2"/>
    <w:rsid w:val="006158F3"/>
    <w:rsid w:val="006159AD"/>
    <w:rsid w:val="006159D6"/>
    <w:rsid w:val="00615B91"/>
    <w:rsid w:val="00615B9E"/>
    <w:rsid w:val="00615CA6"/>
    <w:rsid w:val="00615DBC"/>
    <w:rsid w:val="00615DBD"/>
    <w:rsid w:val="00615DD8"/>
    <w:rsid w:val="00615E2B"/>
    <w:rsid w:val="006160E8"/>
    <w:rsid w:val="00616136"/>
    <w:rsid w:val="006162FE"/>
    <w:rsid w:val="0061644E"/>
    <w:rsid w:val="0061650A"/>
    <w:rsid w:val="006165F5"/>
    <w:rsid w:val="00616689"/>
    <w:rsid w:val="006166B4"/>
    <w:rsid w:val="006166CB"/>
    <w:rsid w:val="006167E1"/>
    <w:rsid w:val="0061689B"/>
    <w:rsid w:val="00616984"/>
    <w:rsid w:val="00616B52"/>
    <w:rsid w:val="00616C79"/>
    <w:rsid w:val="00616C81"/>
    <w:rsid w:val="00616D10"/>
    <w:rsid w:val="00616EF5"/>
    <w:rsid w:val="00617003"/>
    <w:rsid w:val="00617020"/>
    <w:rsid w:val="00617023"/>
    <w:rsid w:val="00617349"/>
    <w:rsid w:val="00617537"/>
    <w:rsid w:val="0061773C"/>
    <w:rsid w:val="0061777B"/>
    <w:rsid w:val="00617794"/>
    <w:rsid w:val="006177B8"/>
    <w:rsid w:val="0061780D"/>
    <w:rsid w:val="0061793A"/>
    <w:rsid w:val="00617975"/>
    <w:rsid w:val="00617B93"/>
    <w:rsid w:val="00617BFD"/>
    <w:rsid w:val="00617C05"/>
    <w:rsid w:val="00617D98"/>
    <w:rsid w:val="00617E5F"/>
    <w:rsid w:val="00617EA8"/>
    <w:rsid w:val="00617F8E"/>
    <w:rsid w:val="00620019"/>
    <w:rsid w:val="006202D8"/>
    <w:rsid w:val="00620457"/>
    <w:rsid w:val="0062045B"/>
    <w:rsid w:val="0062059D"/>
    <w:rsid w:val="00620687"/>
    <w:rsid w:val="00620905"/>
    <w:rsid w:val="00620A9A"/>
    <w:rsid w:val="00620B40"/>
    <w:rsid w:val="00620BB0"/>
    <w:rsid w:val="00620C38"/>
    <w:rsid w:val="00620E06"/>
    <w:rsid w:val="00620E75"/>
    <w:rsid w:val="00620F59"/>
    <w:rsid w:val="00621116"/>
    <w:rsid w:val="006212A2"/>
    <w:rsid w:val="00621313"/>
    <w:rsid w:val="0062139C"/>
    <w:rsid w:val="006215A0"/>
    <w:rsid w:val="00621653"/>
    <w:rsid w:val="00621741"/>
    <w:rsid w:val="0062179C"/>
    <w:rsid w:val="00621923"/>
    <w:rsid w:val="006219F8"/>
    <w:rsid w:val="00621A9D"/>
    <w:rsid w:val="00621ACD"/>
    <w:rsid w:val="00621B70"/>
    <w:rsid w:val="00621C38"/>
    <w:rsid w:val="00621C53"/>
    <w:rsid w:val="00621D13"/>
    <w:rsid w:val="00621E55"/>
    <w:rsid w:val="00621F68"/>
    <w:rsid w:val="00621F7E"/>
    <w:rsid w:val="00621FFB"/>
    <w:rsid w:val="00622010"/>
    <w:rsid w:val="00622192"/>
    <w:rsid w:val="006221ED"/>
    <w:rsid w:val="00622805"/>
    <w:rsid w:val="00622949"/>
    <w:rsid w:val="00622A13"/>
    <w:rsid w:val="00622A4E"/>
    <w:rsid w:val="00622AB1"/>
    <w:rsid w:val="00622C13"/>
    <w:rsid w:val="00622C83"/>
    <w:rsid w:val="00622E34"/>
    <w:rsid w:val="00623185"/>
    <w:rsid w:val="00623243"/>
    <w:rsid w:val="00623356"/>
    <w:rsid w:val="006234F0"/>
    <w:rsid w:val="006235DA"/>
    <w:rsid w:val="0062379B"/>
    <w:rsid w:val="006237D4"/>
    <w:rsid w:val="006237E2"/>
    <w:rsid w:val="006237EC"/>
    <w:rsid w:val="006238E5"/>
    <w:rsid w:val="006238F4"/>
    <w:rsid w:val="0062398B"/>
    <w:rsid w:val="006239FA"/>
    <w:rsid w:val="00623A53"/>
    <w:rsid w:val="00623A5C"/>
    <w:rsid w:val="00623ABC"/>
    <w:rsid w:val="00623ACF"/>
    <w:rsid w:val="00623B18"/>
    <w:rsid w:val="00623D0D"/>
    <w:rsid w:val="00623D6C"/>
    <w:rsid w:val="00623FEC"/>
    <w:rsid w:val="00624173"/>
    <w:rsid w:val="006241C2"/>
    <w:rsid w:val="006241C7"/>
    <w:rsid w:val="006241CF"/>
    <w:rsid w:val="00624212"/>
    <w:rsid w:val="0062427E"/>
    <w:rsid w:val="006242E6"/>
    <w:rsid w:val="00624352"/>
    <w:rsid w:val="0062436D"/>
    <w:rsid w:val="00624383"/>
    <w:rsid w:val="006243CC"/>
    <w:rsid w:val="00624424"/>
    <w:rsid w:val="00624484"/>
    <w:rsid w:val="0062454B"/>
    <w:rsid w:val="00624768"/>
    <w:rsid w:val="00624A4A"/>
    <w:rsid w:val="00624A51"/>
    <w:rsid w:val="00624AB0"/>
    <w:rsid w:val="00624AEF"/>
    <w:rsid w:val="00624B19"/>
    <w:rsid w:val="00624C19"/>
    <w:rsid w:val="00624C5D"/>
    <w:rsid w:val="00624E83"/>
    <w:rsid w:val="00624EA8"/>
    <w:rsid w:val="00625053"/>
    <w:rsid w:val="0062505A"/>
    <w:rsid w:val="00625122"/>
    <w:rsid w:val="006251B1"/>
    <w:rsid w:val="00625478"/>
    <w:rsid w:val="00625519"/>
    <w:rsid w:val="006255F5"/>
    <w:rsid w:val="00625692"/>
    <w:rsid w:val="006256A0"/>
    <w:rsid w:val="006256EB"/>
    <w:rsid w:val="0062578A"/>
    <w:rsid w:val="0062589C"/>
    <w:rsid w:val="0062594B"/>
    <w:rsid w:val="006259E4"/>
    <w:rsid w:val="00625AD1"/>
    <w:rsid w:val="00625B39"/>
    <w:rsid w:val="00625D9D"/>
    <w:rsid w:val="00625E00"/>
    <w:rsid w:val="00625E09"/>
    <w:rsid w:val="00625E2E"/>
    <w:rsid w:val="00625E77"/>
    <w:rsid w:val="00625EAB"/>
    <w:rsid w:val="00626064"/>
    <w:rsid w:val="006260D3"/>
    <w:rsid w:val="0062610B"/>
    <w:rsid w:val="00626145"/>
    <w:rsid w:val="0062615F"/>
    <w:rsid w:val="00626225"/>
    <w:rsid w:val="006262BF"/>
    <w:rsid w:val="0062630C"/>
    <w:rsid w:val="006263D7"/>
    <w:rsid w:val="006264DF"/>
    <w:rsid w:val="0062673E"/>
    <w:rsid w:val="006267B2"/>
    <w:rsid w:val="006268AF"/>
    <w:rsid w:val="006268F9"/>
    <w:rsid w:val="0062691A"/>
    <w:rsid w:val="00626A8A"/>
    <w:rsid w:val="00626AAE"/>
    <w:rsid w:val="00626AE7"/>
    <w:rsid w:val="00626FF6"/>
    <w:rsid w:val="0062705C"/>
    <w:rsid w:val="00627260"/>
    <w:rsid w:val="006272B8"/>
    <w:rsid w:val="006272CA"/>
    <w:rsid w:val="00627335"/>
    <w:rsid w:val="00627342"/>
    <w:rsid w:val="00627600"/>
    <w:rsid w:val="006276C5"/>
    <w:rsid w:val="006277AE"/>
    <w:rsid w:val="006277D1"/>
    <w:rsid w:val="0062787F"/>
    <w:rsid w:val="006278C4"/>
    <w:rsid w:val="006279FB"/>
    <w:rsid w:val="00627A2E"/>
    <w:rsid w:val="00627AD9"/>
    <w:rsid w:val="00627CEA"/>
    <w:rsid w:val="00627DE8"/>
    <w:rsid w:val="00627EA4"/>
    <w:rsid w:val="00627F1D"/>
    <w:rsid w:val="00627F30"/>
    <w:rsid w:val="00627FAF"/>
    <w:rsid w:val="00630006"/>
    <w:rsid w:val="00630132"/>
    <w:rsid w:val="006303BA"/>
    <w:rsid w:val="006303CE"/>
    <w:rsid w:val="006305B1"/>
    <w:rsid w:val="006305C5"/>
    <w:rsid w:val="006305FE"/>
    <w:rsid w:val="00630789"/>
    <w:rsid w:val="006307E4"/>
    <w:rsid w:val="006308A1"/>
    <w:rsid w:val="006308AA"/>
    <w:rsid w:val="00630A3C"/>
    <w:rsid w:val="00630B31"/>
    <w:rsid w:val="00630BA1"/>
    <w:rsid w:val="00630C1A"/>
    <w:rsid w:val="00630D3A"/>
    <w:rsid w:val="00630E41"/>
    <w:rsid w:val="00630F23"/>
    <w:rsid w:val="00630FCA"/>
    <w:rsid w:val="0063102D"/>
    <w:rsid w:val="006310E8"/>
    <w:rsid w:val="0063125C"/>
    <w:rsid w:val="006314A7"/>
    <w:rsid w:val="006314F7"/>
    <w:rsid w:val="006315FE"/>
    <w:rsid w:val="0063167B"/>
    <w:rsid w:val="006316EE"/>
    <w:rsid w:val="006318EA"/>
    <w:rsid w:val="00631955"/>
    <w:rsid w:val="006319F6"/>
    <w:rsid w:val="00631A73"/>
    <w:rsid w:val="00631AD8"/>
    <w:rsid w:val="00631C28"/>
    <w:rsid w:val="00631D96"/>
    <w:rsid w:val="00631D9D"/>
    <w:rsid w:val="00631EC0"/>
    <w:rsid w:val="00631F70"/>
    <w:rsid w:val="00631F8D"/>
    <w:rsid w:val="00632012"/>
    <w:rsid w:val="0063206B"/>
    <w:rsid w:val="006320C0"/>
    <w:rsid w:val="0063214D"/>
    <w:rsid w:val="00632158"/>
    <w:rsid w:val="00632359"/>
    <w:rsid w:val="006323E5"/>
    <w:rsid w:val="006323EB"/>
    <w:rsid w:val="0063256C"/>
    <w:rsid w:val="0063262E"/>
    <w:rsid w:val="00632696"/>
    <w:rsid w:val="00632706"/>
    <w:rsid w:val="00632900"/>
    <w:rsid w:val="00632AE3"/>
    <w:rsid w:val="00632F13"/>
    <w:rsid w:val="00632FFD"/>
    <w:rsid w:val="00633030"/>
    <w:rsid w:val="006330F0"/>
    <w:rsid w:val="006331EC"/>
    <w:rsid w:val="00633285"/>
    <w:rsid w:val="0063337D"/>
    <w:rsid w:val="006333A3"/>
    <w:rsid w:val="00633423"/>
    <w:rsid w:val="0063342B"/>
    <w:rsid w:val="00633479"/>
    <w:rsid w:val="00633484"/>
    <w:rsid w:val="006334A6"/>
    <w:rsid w:val="006334B4"/>
    <w:rsid w:val="0063353C"/>
    <w:rsid w:val="0063353F"/>
    <w:rsid w:val="006335DF"/>
    <w:rsid w:val="006335E6"/>
    <w:rsid w:val="00633713"/>
    <w:rsid w:val="0063372C"/>
    <w:rsid w:val="006337E5"/>
    <w:rsid w:val="006338E7"/>
    <w:rsid w:val="006339BB"/>
    <w:rsid w:val="006339BF"/>
    <w:rsid w:val="00633AD6"/>
    <w:rsid w:val="00633C0D"/>
    <w:rsid w:val="00633C31"/>
    <w:rsid w:val="00633DB8"/>
    <w:rsid w:val="00633DD9"/>
    <w:rsid w:val="00633E7A"/>
    <w:rsid w:val="00633EA0"/>
    <w:rsid w:val="00633EE0"/>
    <w:rsid w:val="00633F03"/>
    <w:rsid w:val="00633F67"/>
    <w:rsid w:val="00634026"/>
    <w:rsid w:val="0063403C"/>
    <w:rsid w:val="0063429F"/>
    <w:rsid w:val="00634343"/>
    <w:rsid w:val="00634567"/>
    <w:rsid w:val="00634601"/>
    <w:rsid w:val="0063465C"/>
    <w:rsid w:val="006346F3"/>
    <w:rsid w:val="006347D4"/>
    <w:rsid w:val="00634AC2"/>
    <w:rsid w:val="00634AD6"/>
    <w:rsid w:val="00634C1F"/>
    <w:rsid w:val="00634C2A"/>
    <w:rsid w:val="00634C72"/>
    <w:rsid w:val="00634C7B"/>
    <w:rsid w:val="00634CF0"/>
    <w:rsid w:val="00634D27"/>
    <w:rsid w:val="00634F10"/>
    <w:rsid w:val="00634F8D"/>
    <w:rsid w:val="00635030"/>
    <w:rsid w:val="0063503C"/>
    <w:rsid w:val="00635124"/>
    <w:rsid w:val="00635188"/>
    <w:rsid w:val="00635248"/>
    <w:rsid w:val="006352DC"/>
    <w:rsid w:val="006353AC"/>
    <w:rsid w:val="00635454"/>
    <w:rsid w:val="0063555F"/>
    <w:rsid w:val="0063563C"/>
    <w:rsid w:val="00635648"/>
    <w:rsid w:val="006356BC"/>
    <w:rsid w:val="006356DF"/>
    <w:rsid w:val="00635831"/>
    <w:rsid w:val="0063588C"/>
    <w:rsid w:val="00635961"/>
    <w:rsid w:val="00635963"/>
    <w:rsid w:val="0063598E"/>
    <w:rsid w:val="00635C2D"/>
    <w:rsid w:val="00635D7F"/>
    <w:rsid w:val="00635DD2"/>
    <w:rsid w:val="00635E0C"/>
    <w:rsid w:val="00635FA8"/>
    <w:rsid w:val="00636027"/>
    <w:rsid w:val="00636090"/>
    <w:rsid w:val="006361E5"/>
    <w:rsid w:val="006363F7"/>
    <w:rsid w:val="006364C1"/>
    <w:rsid w:val="006364C9"/>
    <w:rsid w:val="0063654C"/>
    <w:rsid w:val="0063657F"/>
    <w:rsid w:val="0063673A"/>
    <w:rsid w:val="00636751"/>
    <w:rsid w:val="00636763"/>
    <w:rsid w:val="006369C8"/>
    <w:rsid w:val="00636B2D"/>
    <w:rsid w:val="00636BA5"/>
    <w:rsid w:val="00636C61"/>
    <w:rsid w:val="00636CD1"/>
    <w:rsid w:val="00636CFB"/>
    <w:rsid w:val="00636D2A"/>
    <w:rsid w:val="00636DAB"/>
    <w:rsid w:val="00636E56"/>
    <w:rsid w:val="00636F17"/>
    <w:rsid w:val="00636F1E"/>
    <w:rsid w:val="00636F99"/>
    <w:rsid w:val="00636FD4"/>
    <w:rsid w:val="006370BB"/>
    <w:rsid w:val="006370D5"/>
    <w:rsid w:val="006371BC"/>
    <w:rsid w:val="0063721B"/>
    <w:rsid w:val="00637282"/>
    <w:rsid w:val="006372D3"/>
    <w:rsid w:val="006373F3"/>
    <w:rsid w:val="00637439"/>
    <w:rsid w:val="00637531"/>
    <w:rsid w:val="00637596"/>
    <w:rsid w:val="0063775A"/>
    <w:rsid w:val="006377C6"/>
    <w:rsid w:val="006378BE"/>
    <w:rsid w:val="00637A55"/>
    <w:rsid w:val="00637B78"/>
    <w:rsid w:val="00637C2D"/>
    <w:rsid w:val="00637CBA"/>
    <w:rsid w:val="00637DD1"/>
    <w:rsid w:val="00637F5B"/>
    <w:rsid w:val="00637F90"/>
    <w:rsid w:val="00637FA2"/>
    <w:rsid w:val="006400A3"/>
    <w:rsid w:val="00640148"/>
    <w:rsid w:val="006402A1"/>
    <w:rsid w:val="006402FC"/>
    <w:rsid w:val="006404E7"/>
    <w:rsid w:val="00640692"/>
    <w:rsid w:val="0064069A"/>
    <w:rsid w:val="00640758"/>
    <w:rsid w:val="00640B5B"/>
    <w:rsid w:val="00640C2B"/>
    <w:rsid w:val="00640D46"/>
    <w:rsid w:val="00640E6F"/>
    <w:rsid w:val="00640FCC"/>
    <w:rsid w:val="00640FD4"/>
    <w:rsid w:val="0064107D"/>
    <w:rsid w:val="006411BB"/>
    <w:rsid w:val="00641233"/>
    <w:rsid w:val="00641272"/>
    <w:rsid w:val="006412F3"/>
    <w:rsid w:val="006413D2"/>
    <w:rsid w:val="0064148F"/>
    <w:rsid w:val="00641581"/>
    <w:rsid w:val="006415D6"/>
    <w:rsid w:val="0064164A"/>
    <w:rsid w:val="0064169E"/>
    <w:rsid w:val="006417B2"/>
    <w:rsid w:val="00641820"/>
    <w:rsid w:val="006419C1"/>
    <w:rsid w:val="00641B12"/>
    <w:rsid w:val="00641B34"/>
    <w:rsid w:val="00641D13"/>
    <w:rsid w:val="00641F36"/>
    <w:rsid w:val="00641FD4"/>
    <w:rsid w:val="006420AA"/>
    <w:rsid w:val="00642175"/>
    <w:rsid w:val="00642197"/>
    <w:rsid w:val="006421A0"/>
    <w:rsid w:val="0064223F"/>
    <w:rsid w:val="00642462"/>
    <w:rsid w:val="006424D5"/>
    <w:rsid w:val="00642611"/>
    <w:rsid w:val="006426A9"/>
    <w:rsid w:val="006426E9"/>
    <w:rsid w:val="00642732"/>
    <w:rsid w:val="0064274C"/>
    <w:rsid w:val="0064278D"/>
    <w:rsid w:val="00642833"/>
    <w:rsid w:val="00642B64"/>
    <w:rsid w:val="00642B72"/>
    <w:rsid w:val="00642C19"/>
    <w:rsid w:val="00642D59"/>
    <w:rsid w:val="00642D76"/>
    <w:rsid w:val="00642F98"/>
    <w:rsid w:val="00642FA5"/>
    <w:rsid w:val="00643029"/>
    <w:rsid w:val="00643041"/>
    <w:rsid w:val="006430C7"/>
    <w:rsid w:val="00643273"/>
    <w:rsid w:val="00643327"/>
    <w:rsid w:val="00643346"/>
    <w:rsid w:val="0064345A"/>
    <w:rsid w:val="006434BA"/>
    <w:rsid w:val="006435CC"/>
    <w:rsid w:val="006435CE"/>
    <w:rsid w:val="00643938"/>
    <w:rsid w:val="00643A56"/>
    <w:rsid w:val="00643BC3"/>
    <w:rsid w:val="00643C41"/>
    <w:rsid w:val="00643C74"/>
    <w:rsid w:val="00643C85"/>
    <w:rsid w:val="00643CB8"/>
    <w:rsid w:val="00643D0D"/>
    <w:rsid w:val="00643D29"/>
    <w:rsid w:val="00643E5D"/>
    <w:rsid w:val="006440B6"/>
    <w:rsid w:val="006440F4"/>
    <w:rsid w:val="006442AB"/>
    <w:rsid w:val="006442CE"/>
    <w:rsid w:val="006442D3"/>
    <w:rsid w:val="0064436E"/>
    <w:rsid w:val="0064451A"/>
    <w:rsid w:val="00644573"/>
    <w:rsid w:val="00644591"/>
    <w:rsid w:val="006445A1"/>
    <w:rsid w:val="006445B6"/>
    <w:rsid w:val="0064464D"/>
    <w:rsid w:val="00644923"/>
    <w:rsid w:val="006449CB"/>
    <w:rsid w:val="00644C9E"/>
    <w:rsid w:val="0064502B"/>
    <w:rsid w:val="006450C2"/>
    <w:rsid w:val="00645162"/>
    <w:rsid w:val="00645173"/>
    <w:rsid w:val="0064517B"/>
    <w:rsid w:val="006452C4"/>
    <w:rsid w:val="006453A2"/>
    <w:rsid w:val="006453DA"/>
    <w:rsid w:val="00645474"/>
    <w:rsid w:val="006456C0"/>
    <w:rsid w:val="00645717"/>
    <w:rsid w:val="006457F6"/>
    <w:rsid w:val="006458A2"/>
    <w:rsid w:val="00645D82"/>
    <w:rsid w:val="00645DF1"/>
    <w:rsid w:val="00646193"/>
    <w:rsid w:val="006462B1"/>
    <w:rsid w:val="006462C8"/>
    <w:rsid w:val="00646320"/>
    <w:rsid w:val="00646635"/>
    <w:rsid w:val="0064669B"/>
    <w:rsid w:val="00646740"/>
    <w:rsid w:val="006467B2"/>
    <w:rsid w:val="006468EB"/>
    <w:rsid w:val="006469A8"/>
    <w:rsid w:val="00646B08"/>
    <w:rsid w:val="00646C36"/>
    <w:rsid w:val="00646C87"/>
    <w:rsid w:val="00646D84"/>
    <w:rsid w:val="00646DFA"/>
    <w:rsid w:val="00646E2A"/>
    <w:rsid w:val="00646E82"/>
    <w:rsid w:val="00646EC3"/>
    <w:rsid w:val="00646EEA"/>
    <w:rsid w:val="00646F9C"/>
    <w:rsid w:val="00647015"/>
    <w:rsid w:val="0064704B"/>
    <w:rsid w:val="0064706F"/>
    <w:rsid w:val="00647074"/>
    <w:rsid w:val="006472BF"/>
    <w:rsid w:val="0064744B"/>
    <w:rsid w:val="00647517"/>
    <w:rsid w:val="0064768A"/>
    <w:rsid w:val="006476EF"/>
    <w:rsid w:val="00647840"/>
    <w:rsid w:val="00647928"/>
    <w:rsid w:val="00647943"/>
    <w:rsid w:val="006479D9"/>
    <w:rsid w:val="00647ADF"/>
    <w:rsid w:val="00647BCB"/>
    <w:rsid w:val="00647C14"/>
    <w:rsid w:val="00647C94"/>
    <w:rsid w:val="00647CC6"/>
    <w:rsid w:val="00647D2B"/>
    <w:rsid w:val="00647D42"/>
    <w:rsid w:val="00647FA1"/>
    <w:rsid w:val="00650161"/>
    <w:rsid w:val="006501E0"/>
    <w:rsid w:val="00650206"/>
    <w:rsid w:val="0065029C"/>
    <w:rsid w:val="00650329"/>
    <w:rsid w:val="00650361"/>
    <w:rsid w:val="006503BB"/>
    <w:rsid w:val="00650457"/>
    <w:rsid w:val="00650523"/>
    <w:rsid w:val="00650582"/>
    <w:rsid w:val="006507EA"/>
    <w:rsid w:val="00650853"/>
    <w:rsid w:val="0065097D"/>
    <w:rsid w:val="006509D2"/>
    <w:rsid w:val="006509F3"/>
    <w:rsid w:val="00650BB4"/>
    <w:rsid w:val="00650D93"/>
    <w:rsid w:val="00650E0E"/>
    <w:rsid w:val="00650F40"/>
    <w:rsid w:val="00650FA5"/>
    <w:rsid w:val="00650FA8"/>
    <w:rsid w:val="00650FAA"/>
    <w:rsid w:val="00650FCD"/>
    <w:rsid w:val="00650FEB"/>
    <w:rsid w:val="00651003"/>
    <w:rsid w:val="00651005"/>
    <w:rsid w:val="00651053"/>
    <w:rsid w:val="00651080"/>
    <w:rsid w:val="006510B0"/>
    <w:rsid w:val="00651164"/>
    <w:rsid w:val="0065126A"/>
    <w:rsid w:val="006512D7"/>
    <w:rsid w:val="00651373"/>
    <w:rsid w:val="006513CD"/>
    <w:rsid w:val="006513FE"/>
    <w:rsid w:val="00651443"/>
    <w:rsid w:val="00651518"/>
    <w:rsid w:val="0065154C"/>
    <w:rsid w:val="006515FB"/>
    <w:rsid w:val="0065175E"/>
    <w:rsid w:val="0065177D"/>
    <w:rsid w:val="006517EC"/>
    <w:rsid w:val="0065181D"/>
    <w:rsid w:val="0065187B"/>
    <w:rsid w:val="006519D6"/>
    <w:rsid w:val="00651B3C"/>
    <w:rsid w:val="00651C68"/>
    <w:rsid w:val="00651CE5"/>
    <w:rsid w:val="00651D3B"/>
    <w:rsid w:val="00651D3D"/>
    <w:rsid w:val="00651E6A"/>
    <w:rsid w:val="00651F01"/>
    <w:rsid w:val="00652020"/>
    <w:rsid w:val="00652147"/>
    <w:rsid w:val="00652261"/>
    <w:rsid w:val="00652280"/>
    <w:rsid w:val="00652476"/>
    <w:rsid w:val="006524D7"/>
    <w:rsid w:val="0065250E"/>
    <w:rsid w:val="006526A3"/>
    <w:rsid w:val="006526A9"/>
    <w:rsid w:val="0065287A"/>
    <w:rsid w:val="006528E0"/>
    <w:rsid w:val="00652943"/>
    <w:rsid w:val="006529E2"/>
    <w:rsid w:val="00652A02"/>
    <w:rsid w:val="00652A24"/>
    <w:rsid w:val="00652A68"/>
    <w:rsid w:val="00652CB5"/>
    <w:rsid w:val="00653154"/>
    <w:rsid w:val="006532EC"/>
    <w:rsid w:val="00653309"/>
    <w:rsid w:val="006533C0"/>
    <w:rsid w:val="00653470"/>
    <w:rsid w:val="006534F0"/>
    <w:rsid w:val="00653517"/>
    <w:rsid w:val="006535C2"/>
    <w:rsid w:val="006535DB"/>
    <w:rsid w:val="00653648"/>
    <w:rsid w:val="00653840"/>
    <w:rsid w:val="00653865"/>
    <w:rsid w:val="006539B8"/>
    <w:rsid w:val="006539F6"/>
    <w:rsid w:val="00653A74"/>
    <w:rsid w:val="00653CC0"/>
    <w:rsid w:val="00653DE3"/>
    <w:rsid w:val="00653F12"/>
    <w:rsid w:val="0065424C"/>
    <w:rsid w:val="0065445D"/>
    <w:rsid w:val="00654713"/>
    <w:rsid w:val="00654898"/>
    <w:rsid w:val="006548FF"/>
    <w:rsid w:val="0065490C"/>
    <w:rsid w:val="006549B3"/>
    <w:rsid w:val="006549F0"/>
    <w:rsid w:val="00654A66"/>
    <w:rsid w:val="00654B2F"/>
    <w:rsid w:val="00654C6E"/>
    <w:rsid w:val="00654CFA"/>
    <w:rsid w:val="00654D2D"/>
    <w:rsid w:val="00654E3D"/>
    <w:rsid w:val="00654E86"/>
    <w:rsid w:val="00654FAD"/>
    <w:rsid w:val="0065512F"/>
    <w:rsid w:val="006552E8"/>
    <w:rsid w:val="00655498"/>
    <w:rsid w:val="00655564"/>
    <w:rsid w:val="00655666"/>
    <w:rsid w:val="006556BE"/>
    <w:rsid w:val="006556E9"/>
    <w:rsid w:val="00655722"/>
    <w:rsid w:val="00655875"/>
    <w:rsid w:val="006559DD"/>
    <w:rsid w:val="00655AAF"/>
    <w:rsid w:val="00655C62"/>
    <w:rsid w:val="00655CE1"/>
    <w:rsid w:val="00655CF7"/>
    <w:rsid w:val="00655D94"/>
    <w:rsid w:val="00655E55"/>
    <w:rsid w:val="00655FAD"/>
    <w:rsid w:val="00656182"/>
    <w:rsid w:val="006562D9"/>
    <w:rsid w:val="0065639F"/>
    <w:rsid w:val="0065650A"/>
    <w:rsid w:val="0065655C"/>
    <w:rsid w:val="00656783"/>
    <w:rsid w:val="00656893"/>
    <w:rsid w:val="00656899"/>
    <w:rsid w:val="006568EA"/>
    <w:rsid w:val="00656908"/>
    <w:rsid w:val="006569FD"/>
    <w:rsid w:val="00656A07"/>
    <w:rsid w:val="00656A08"/>
    <w:rsid w:val="00656ADA"/>
    <w:rsid w:val="00656B40"/>
    <w:rsid w:val="00656C1D"/>
    <w:rsid w:val="00656C33"/>
    <w:rsid w:val="00656C5F"/>
    <w:rsid w:val="00656C70"/>
    <w:rsid w:val="00656D2E"/>
    <w:rsid w:val="00656D70"/>
    <w:rsid w:val="00656DAB"/>
    <w:rsid w:val="00656E27"/>
    <w:rsid w:val="00656F2B"/>
    <w:rsid w:val="00656F67"/>
    <w:rsid w:val="00656FA3"/>
    <w:rsid w:val="0065703D"/>
    <w:rsid w:val="0065707C"/>
    <w:rsid w:val="0065713E"/>
    <w:rsid w:val="00657143"/>
    <w:rsid w:val="006572F0"/>
    <w:rsid w:val="0065748D"/>
    <w:rsid w:val="006574DC"/>
    <w:rsid w:val="0065754F"/>
    <w:rsid w:val="00657589"/>
    <w:rsid w:val="00657667"/>
    <w:rsid w:val="00657695"/>
    <w:rsid w:val="00657707"/>
    <w:rsid w:val="006577B6"/>
    <w:rsid w:val="006577BF"/>
    <w:rsid w:val="0065782C"/>
    <w:rsid w:val="00657882"/>
    <w:rsid w:val="00657A36"/>
    <w:rsid w:val="00657A87"/>
    <w:rsid w:val="00657ABA"/>
    <w:rsid w:val="00657B71"/>
    <w:rsid w:val="00657C0C"/>
    <w:rsid w:val="00657DC7"/>
    <w:rsid w:val="00657EA1"/>
    <w:rsid w:val="00657F3A"/>
    <w:rsid w:val="00660010"/>
    <w:rsid w:val="0066006F"/>
    <w:rsid w:val="00660145"/>
    <w:rsid w:val="0066021B"/>
    <w:rsid w:val="006602DF"/>
    <w:rsid w:val="00660334"/>
    <w:rsid w:val="00660341"/>
    <w:rsid w:val="00660366"/>
    <w:rsid w:val="006603E3"/>
    <w:rsid w:val="00660422"/>
    <w:rsid w:val="006605FD"/>
    <w:rsid w:val="0066068A"/>
    <w:rsid w:val="00660840"/>
    <w:rsid w:val="00660AAB"/>
    <w:rsid w:val="00660ABF"/>
    <w:rsid w:val="00660ADA"/>
    <w:rsid w:val="00660B40"/>
    <w:rsid w:val="00660C75"/>
    <w:rsid w:val="00660CC5"/>
    <w:rsid w:val="00660E40"/>
    <w:rsid w:val="00660E72"/>
    <w:rsid w:val="00660EBF"/>
    <w:rsid w:val="0066103D"/>
    <w:rsid w:val="0066109E"/>
    <w:rsid w:val="00661180"/>
    <w:rsid w:val="006611A1"/>
    <w:rsid w:val="00661211"/>
    <w:rsid w:val="00661246"/>
    <w:rsid w:val="0066144D"/>
    <w:rsid w:val="00661682"/>
    <w:rsid w:val="006616AE"/>
    <w:rsid w:val="0066172A"/>
    <w:rsid w:val="00661759"/>
    <w:rsid w:val="0066184E"/>
    <w:rsid w:val="006618DE"/>
    <w:rsid w:val="00661934"/>
    <w:rsid w:val="0066195F"/>
    <w:rsid w:val="00661AE8"/>
    <w:rsid w:val="00661BE8"/>
    <w:rsid w:val="00661BF5"/>
    <w:rsid w:val="00661C38"/>
    <w:rsid w:val="00661C68"/>
    <w:rsid w:val="00661DA3"/>
    <w:rsid w:val="00661EB2"/>
    <w:rsid w:val="00661F15"/>
    <w:rsid w:val="00661F92"/>
    <w:rsid w:val="00661F99"/>
    <w:rsid w:val="00661FFF"/>
    <w:rsid w:val="00662061"/>
    <w:rsid w:val="00662132"/>
    <w:rsid w:val="0066217D"/>
    <w:rsid w:val="006621BA"/>
    <w:rsid w:val="0066223F"/>
    <w:rsid w:val="006623D3"/>
    <w:rsid w:val="00662685"/>
    <w:rsid w:val="006628CD"/>
    <w:rsid w:val="00662922"/>
    <w:rsid w:val="00662943"/>
    <w:rsid w:val="006629EA"/>
    <w:rsid w:val="00662B76"/>
    <w:rsid w:val="00662C0F"/>
    <w:rsid w:val="00662C9B"/>
    <w:rsid w:val="00662D82"/>
    <w:rsid w:val="00662F39"/>
    <w:rsid w:val="00662FE4"/>
    <w:rsid w:val="0066305F"/>
    <w:rsid w:val="0066315F"/>
    <w:rsid w:val="00663175"/>
    <w:rsid w:val="00663203"/>
    <w:rsid w:val="006632E6"/>
    <w:rsid w:val="0066333D"/>
    <w:rsid w:val="0066334C"/>
    <w:rsid w:val="0066340F"/>
    <w:rsid w:val="00663499"/>
    <w:rsid w:val="00663696"/>
    <w:rsid w:val="00663AE5"/>
    <w:rsid w:val="00663B11"/>
    <w:rsid w:val="00663BB2"/>
    <w:rsid w:val="00663D87"/>
    <w:rsid w:val="0066412B"/>
    <w:rsid w:val="00664194"/>
    <w:rsid w:val="006641BF"/>
    <w:rsid w:val="006641E9"/>
    <w:rsid w:val="00664220"/>
    <w:rsid w:val="0066457D"/>
    <w:rsid w:val="00664633"/>
    <w:rsid w:val="0066465C"/>
    <w:rsid w:val="006646AB"/>
    <w:rsid w:val="00664776"/>
    <w:rsid w:val="00664784"/>
    <w:rsid w:val="006648B8"/>
    <w:rsid w:val="006648FD"/>
    <w:rsid w:val="00664929"/>
    <w:rsid w:val="00664BFE"/>
    <w:rsid w:val="00664C30"/>
    <w:rsid w:val="00664CB0"/>
    <w:rsid w:val="00664CBC"/>
    <w:rsid w:val="00664D0D"/>
    <w:rsid w:val="00664E58"/>
    <w:rsid w:val="00664F4F"/>
    <w:rsid w:val="006650A3"/>
    <w:rsid w:val="00665134"/>
    <w:rsid w:val="00665195"/>
    <w:rsid w:val="0066521D"/>
    <w:rsid w:val="006652B1"/>
    <w:rsid w:val="006652BC"/>
    <w:rsid w:val="006653CC"/>
    <w:rsid w:val="00665564"/>
    <w:rsid w:val="006657C1"/>
    <w:rsid w:val="006657C5"/>
    <w:rsid w:val="006657E2"/>
    <w:rsid w:val="00665812"/>
    <w:rsid w:val="006658CD"/>
    <w:rsid w:val="0066594A"/>
    <w:rsid w:val="00665968"/>
    <w:rsid w:val="00665B87"/>
    <w:rsid w:val="00665C11"/>
    <w:rsid w:val="00665CD4"/>
    <w:rsid w:val="00665EF7"/>
    <w:rsid w:val="00665FFD"/>
    <w:rsid w:val="0066606E"/>
    <w:rsid w:val="006661B6"/>
    <w:rsid w:val="006661BD"/>
    <w:rsid w:val="0066620F"/>
    <w:rsid w:val="00666273"/>
    <w:rsid w:val="00666389"/>
    <w:rsid w:val="006663AF"/>
    <w:rsid w:val="006663CB"/>
    <w:rsid w:val="00666416"/>
    <w:rsid w:val="00666424"/>
    <w:rsid w:val="006664C6"/>
    <w:rsid w:val="006665FA"/>
    <w:rsid w:val="00666656"/>
    <w:rsid w:val="00666993"/>
    <w:rsid w:val="00666A6C"/>
    <w:rsid w:val="00666ACC"/>
    <w:rsid w:val="00666B16"/>
    <w:rsid w:val="00666CBB"/>
    <w:rsid w:val="00666D7F"/>
    <w:rsid w:val="00666F31"/>
    <w:rsid w:val="0066706A"/>
    <w:rsid w:val="006670A6"/>
    <w:rsid w:val="006670D8"/>
    <w:rsid w:val="00667128"/>
    <w:rsid w:val="006671D1"/>
    <w:rsid w:val="006672A7"/>
    <w:rsid w:val="00667315"/>
    <w:rsid w:val="00667455"/>
    <w:rsid w:val="00667505"/>
    <w:rsid w:val="00667524"/>
    <w:rsid w:val="0066771C"/>
    <w:rsid w:val="006678BD"/>
    <w:rsid w:val="00667992"/>
    <w:rsid w:val="00667B09"/>
    <w:rsid w:val="00667BCD"/>
    <w:rsid w:val="00667C0B"/>
    <w:rsid w:val="00667C25"/>
    <w:rsid w:val="00667E67"/>
    <w:rsid w:val="00667F49"/>
    <w:rsid w:val="00667FE4"/>
    <w:rsid w:val="00670134"/>
    <w:rsid w:val="0067016A"/>
    <w:rsid w:val="00670253"/>
    <w:rsid w:val="00670344"/>
    <w:rsid w:val="006703A1"/>
    <w:rsid w:val="0067040B"/>
    <w:rsid w:val="0067046E"/>
    <w:rsid w:val="006704BA"/>
    <w:rsid w:val="006704DC"/>
    <w:rsid w:val="006704F3"/>
    <w:rsid w:val="0067058E"/>
    <w:rsid w:val="006706EF"/>
    <w:rsid w:val="00670709"/>
    <w:rsid w:val="00670725"/>
    <w:rsid w:val="006708D1"/>
    <w:rsid w:val="0067094E"/>
    <w:rsid w:val="00670ACF"/>
    <w:rsid w:val="00670AF7"/>
    <w:rsid w:val="00670C51"/>
    <w:rsid w:val="00670CE4"/>
    <w:rsid w:val="00670CEC"/>
    <w:rsid w:val="00670FBF"/>
    <w:rsid w:val="0067108B"/>
    <w:rsid w:val="006710A2"/>
    <w:rsid w:val="006711DF"/>
    <w:rsid w:val="00671251"/>
    <w:rsid w:val="00671299"/>
    <w:rsid w:val="00671442"/>
    <w:rsid w:val="00671538"/>
    <w:rsid w:val="0067155D"/>
    <w:rsid w:val="00671590"/>
    <w:rsid w:val="006715B8"/>
    <w:rsid w:val="006717E1"/>
    <w:rsid w:val="0067185A"/>
    <w:rsid w:val="00671B26"/>
    <w:rsid w:val="00671BC9"/>
    <w:rsid w:val="00671CD6"/>
    <w:rsid w:val="00671D13"/>
    <w:rsid w:val="00671D60"/>
    <w:rsid w:val="00671DAF"/>
    <w:rsid w:val="00671E46"/>
    <w:rsid w:val="00671F14"/>
    <w:rsid w:val="00671F2F"/>
    <w:rsid w:val="00671F8B"/>
    <w:rsid w:val="0067212A"/>
    <w:rsid w:val="0067225D"/>
    <w:rsid w:val="006722E1"/>
    <w:rsid w:val="006723C9"/>
    <w:rsid w:val="00672424"/>
    <w:rsid w:val="0067248B"/>
    <w:rsid w:val="0067249B"/>
    <w:rsid w:val="006724E7"/>
    <w:rsid w:val="006724F4"/>
    <w:rsid w:val="00672590"/>
    <w:rsid w:val="006726B0"/>
    <w:rsid w:val="006727D2"/>
    <w:rsid w:val="00672895"/>
    <w:rsid w:val="00672B3A"/>
    <w:rsid w:val="00672BC3"/>
    <w:rsid w:val="00672C83"/>
    <w:rsid w:val="00672DB5"/>
    <w:rsid w:val="00672E0D"/>
    <w:rsid w:val="00672ED3"/>
    <w:rsid w:val="00672EEC"/>
    <w:rsid w:val="00672F48"/>
    <w:rsid w:val="00673193"/>
    <w:rsid w:val="00673209"/>
    <w:rsid w:val="0067323B"/>
    <w:rsid w:val="006732DB"/>
    <w:rsid w:val="0067330D"/>
    <w:rsid w:val="00673382"/>
    <w:rsid w:val="00673536"/>
    <w:rsid w:val="00673590"/>
    <w:rsid w:val="006737EF"/>
    <w:rsid w:val="006739D2"/>
    <w:rsid w:val="00673B2B"/>
    <w:rsid w:val="00673C3C"/>
    <w:rsid w:val="00673CAB"/>
    <w:rsid w:val="00673CD2"/>
    <w:rsid w:val="00673CE6"/>
    <w:rsid w:val="00673D32"/>
    <w:rsid w:val="00673D46"/>
    <w:rsid w:val="00673EB5"/>
    <w:rsid w:val="00673FEC"/>
    <w:rsid w:val="00673FFE"/>
    <w:rsid w:val="006740E4"/>
    <w:rsid w:val="0067425D"/>
    <w:rsid w:val="006742EC"/>
    <w:rsid w:val="006743E2"/>
    <w:rsid w:val="00674549"/>
    <w:rsid w:val="00674622"/>
    <w:rsid w:val="00674656"/>
    <w:rsid w:val="0067476C"/>
    <w:rsid w:val="00674772"/>
    <w:rsid w:val="0067477E"/>
    <w:rsid w:val="006747C8"/>
    <w:rsid w:val="00674849"/>
    <w:rsid w:val="00674910"/>
    <w:rsid w:val="00674AEA"/>
    <w:rsid w:val="00674B12"/>
    <w:rsid w:val="00674B48"/>
    <w:rsid w:val="00674BFB"/>
    <w:rsid w:val="00674D87"/>
    <w:rsid w:val="00674E00"/>
    <w:rsid w:val="00674E38"/>
    <w:rsid w:val="00674F2F"/>
    <w:rsid w:val="00674F57"/>
    <w:rsid w:val="00674F66"/>
    <w:rsid w:val="0067500E"/>
    <w:rsid w:val="00675307"/>
    <w:rsid w:val="00675562"/>
    <w:rsid w:val="006756AC"/>
    <w:rsid w:val="0067572F"/>
    <w:rsid w:val="00675872"/>
    <w:rsid w:val="0067590A"/>
    <w:rsid w:val="006759E7"/>
    <w:rsid w:val="006759E9"/>
    <w:rsid w:val="00675AC6"/>
    <w:rsid w:val="00675B06"/>
    <w:rsid w:val="00675CF3"/>
    <w:rsid w:val="00675EC1"/>
    <w:rsid w:val="00675F78"/>
    <w:rsid w:val="00675FC0"/>
    <w:rsid w:val="00676076"/>
    <w:rsid w:val="0067612F"/>
    <w:rsid w:val="006762AE"/>
    <w:rsid w:val="00676436"/>
    <w:rsid w:val="0067643F"/>
    <w:rsid w:val="006765A1"/>
    <w:rsid w:val="0067663C"/>
    <w:rsid w:val="006767EB"/>
    <w:rsid w:val="00676817"/>
    <w:rsid w:val="00676868"/>
    <w:rsid w:val="00676900"/>
    <w:rsid w:val="0067692C"/>
    <w:rsid w:val="006769F1"/>
    <w:rsid w:val="00676BA6"/>
    <w:rsid w:val="00677005"/>
    <w:rsid w:val="006770E8"/>
    <w:rsid w:val="00677104"/>
    <w:rsid w:val="00677159"/>
    <w:rsid w:val="00677177"/>
    <w:rsid w:val="00677191"/>
    <w:rsid w:val="00677253"/>
    <w:rsid w:val="006772B9"/>
    <w:rsid w:val="0067748D"/>
    <w:rsid w:val="006774D8"/>
    <w:rsid w:val="00677680"/>
    <w:rsid w:val="006776A1"/>
    <w:rsid w:val="0067786F"/>
    <w:rsid w:val="006779F8"/>
    <w:rsid w:val="006779FB"/>
    <w:rsid w:val="00677C88"/>
    <w:rsid w:val="00677D47"/>
    <w:rsid w:val="00677E42"/>
    <w:rsid w:val="00677FF4"/>
    <w:rsid w:val="0068000A"/>
    <w:rsid w:val="00680089"/>
    <w:rsid w:val="006801F6"/>
    <w:rsid w:val="0068024C"/>
    <w:rsid w:val="006802E3"/>
    <w:rsid w:val="00680369"/>
    <w:rsid w:val="00680455"/>
    <w:rsid w:val="006804AB"/>
    <w:rsid w:val="006804E6"/>
    <w:rsid w:val="0068052A"/>
    <w:rsid w:val="006805D6"/>
    <w:rsid w:val="00680701"/>
    <w:rsid w:val="00680784"/>
    <w:rsid w:val="006807ED"/>
    <w:rsid w:val="0068091A"/>
    <w:rsid w:val="006809BF"/>
    <w:rsid w:val="00680F19"/>
    <w:rsid w:val="0068100F"/>
    <w:rsid w:val="006810BA"/>
    <w:rsid w:val="00681108"/>
    <w:rsid w:val="006811ED"/>
    <w:rsid w:val="00681236"/>
    <w:rsid w:val="00681336"/>
    <w:rsid w:val="00681339"/>
    <w:rsid w:val="00681524"/>
    <w:rsid w:val="0068166C"/>
    <w:rsid w:val="006816A4"/>
    <w:rsid w:val="006816B7"/>
    <w:rsid w:val="0068174A"/>
    <w:rsid w:val="00681793"/>
    <w:rsid w:val="0068189A"/>
    <w:rsid w:val="0068197A"/>
    <w:rsid w:val="00681AA4"/>
    <w:rsid w:val="00681AD6"/>
    <w:rsid w:val="00681AD8"/>
    <w:rsid w:val="00681B32"/>
    <w:rsid w:val="00681B42"/>
    <w:rsid w:val="00681B83"/>
    <w:rsid w:val="00681B9B"/>
    <w:rsid w:val="00681CB4"/>
    <w:rsid w:val="00681CC3"/>
    <w:rsid w:val="00681CC5"/>
    <w:rsid w:val="00681DBF"/>
    <w:rsid w:val="00681E20"/>
    <w:rsid w:val="0068209B"/>
    <w:rsid w:val="00682179"/>
    <w:rsid w:val="0068222B"/>
    <w:rsid w:val="0068229B"/>
    <w:rsid w:val="00682356"/>
    <w:rsid w:val="00682480"/>
    <w:rsid w:val="006825C5"/>
    <w:rsid w:val="00682802"/>
    <w:rsid w:val="00682AA4"/>
    <w:rsid w:val="00682AE4"/>
    <w:rsid w:val="00682AFD"/>
    <w:rsid w:val="00682B34"/>
    <w:rsid w:val="00682B66"/>
    <w:rsid w:val="00682BE7"/>
    <w:rsid w:val="00682D99"/>
    <w:rsid w:val="00682F48"/>
    <w:rsid w:val="00683095"/>
    <w:rsid w:val="0068309C"/>
    <w:rsid w:val="00683193"/>
    <w:rsid w:val="006831DE"/>
    <w:rsid w:val="00683248"/>
    <w:rsid w:val="006832FC"/>
    <w:rsid w:val="0068330F"/>
    <w:rsid w:val="00683317"/>
    <w:rsid w:val="00683350"/>
    <w:rsid w:val="006835D6"/>
    <w:rsid w:val="0068371B"/>
    <w:rsid w:val="0068380A"/>
    <w:rsid w:val="00683897"/>
    <w:rsid w:val="00683A2F"/>
    <w:rsid w:val="00683AB3"/>
    <w:rsid w:val="00683BF7"/>
    <w:rsid w:val="00683E32"/>
    <w:rsid w:val="00683F55"/>
    <w:rsid w:val="0068406F"/>
    <w:rsid w:val="006840AE"/>
    <w:rsid w:val="006840AF"/>
    <w:rsid w:val="00684129"/>
    <w:rsid w:val="00684180"/>
    <w:rsid w:val="0068419E"/>
    <w:rsid w:val="00684287"/>
    <w:rsid w:val="00684312"/>
    <w:rsid w:val="00684357"/>
    <w:rsid w:val="0068435D"/>
    <w:rsid w:val="006843D0"/>
    <w:rsid w:val="00684409"/>
    <w:rsid w:val="00684684"/>
    <w:rsid w:val="0068473E"/>
    <w:rsid w:val="006847F2"/>
    <w:rsid w:val="006848F5"/>
    <w:rsid w:val="00684998"/>
    <w:rsid w:val="00684A5D"/>
    <w:rsid w:val="00684A7E"/>
    <w:rsid w:val="00684AB5"/>
    <w:rsid w:val="00684B5E"/>
    <w:rsid w:val="00684C29"/>
    <w:rsid w:val="00684D09"/>
    <w:rsid w:val="00684D64"/>
    <w:rsid w:val="00684EB0"/>
    <w:rsid w:val="00684EC3"/>
    <w:rsid w:val="00684ED8"/>
    <w:rsid w:val="00684F2A"/>
    <w:rsid w:val="00684F73"/>
    <w:rsid w:val="00684FC8"/>
    <w:rsid w:val="0068503D"/>
    <w:rsid w:val="00685091"/>
    <w:rsid w:val="006850AF"/>
    <w:rsid w:val="006850BB"/>
    <w:rsid w:val="006850FA"/>
    <w:rsid w:val="006852D7"/>
    <w:rsid w:val="0068535A"/>
    <w:rsid w:val="00685635"/>
    <w:rsid w:val="00685801"/>
    <w:rsid w:val="006859A8"/>
    <w:rsid w:val="00685B67"/>
    <w:rsid w:val="00685C41"/>
    <w:rsid w:val="00685CDE"/>
    <w:rsid w:val="00685CE0"/>
    <w:rsid w:val="00685FF8"/>
    <w:rsid w:val="006860D2"/>
    <w:rsid w:val="006861E3"/>
    <w:rsid w:val="00686227"/>
    <w:rsid w:val="00686300"/>
    <w:rsid w:val="006865D5"/>
    <w:rsid w:val="00686653"/>
    <w:rsid w:val="00686963"/>
    <w:rsid w:val="00686B4C"/>
    <w:rsid w:val="00686B86"/>
    <w:rsid w:val="00686BAA"/>
    <w:rsid w:val="00686BFB"/>
    <w:rsid w:val="00686CC8"/>
    <w:rsid w:val="00686D04"/>
    <w:rsid w:val="00686D4E"/>
    <w:rsid w:val="00686D4F"/>
    <w:rsid w:val="00686D99"/>
    <w:rsid w:val="00686E60"/>
    <w:rsid w:val="00686E7A"/>
    <w:rsid w:val="00686EA1"/>
    <w:rsid w:val="00687105"/>
    <w:rsid w:val="00687159"/>
    <w:rsid w:val="0068734E"/>
    <w:rsid w:val="00687354"/>
    <w:rsid w:val="00687533"/>
    <w:rsid w:val="00687675"/>
    <w:rsid w:val="006876E4"/>
    <w:rsid w:val="00687A54"/>
    <w:rsid w:val="00687C45"/>
    <w:rsid w:val="00687C89"/>
    <w:rsid w:val="00687CC5"/>
    <w:rsid w:val="00687FBA"/>
    <w:rsid w:val="00687FF5"/>
    <w:rsid w:val="006900CF"/>
    <w:rsid w:val="006900DF"/>
    <w:rsid w:val="006901BF"/>
    <w:rsid w:val="006903A1"/>
    <w:rsid w:val="006903D8"/>
    <w:rsid w:val="006903D9"/>
    <w:rsid w:val="006904AA"/>
    <w:rsid w:val="0069056B"/>
    <w:rsid w:val="006905E0"/>
    <w:rsid w:val="00690655"/>
    <w:rsid w:val="00690674"/>
    <w:rsid w:val="006906AB"/>
    <w:rsid w:val="00690769"/>
    <w:rsid w:val="0069082B"/>
    <w:rsid w:val="00690848"/>
    <w:rsid w:val="0069098B"/>
    <w:rsid w:val="00690A33"/>
    <w:rsid w:val="00690AA8"/>
    <w:rsid w:val="00690BC3"/>
    <w:rsid w:val="00690C52"/>
    <w:rsid w:val="00690C59"/>
    <w:rsid w:val="00690DC6"/>
    <w:rsid w:val="00690E24"/>
    <w:rsid w:val="0069101B"/>
    <w:rsid w:val="00691047"/>
    <w:rsid w:val="00691157"/>
    <w:rsid w:val="00691180"/>
    <w:rsid w:val="006911B9"/>
    <w:rsid w:val="006913AA"/>
    <w:rsid w:val="006913F4"/>
    <w:rsid w:val="006915BD"/>
    <w:rsid w:val="00691782"/>
    <w:rsid w:val="00691962"/>
    <w:rsid w:val="00691B1B"/>
    <w:rsid w:val="00691B3B"/>
    <w:rsid w:val="00691B4B"/>
    <w:rsid w:val="00691C2E"/>
    <w:rsid w:val="00691C31"/>
    <w:rsid w:val="00691C4D"/>
    <w:rsid w:val="00691DD9"/>
    <w:rsid w:val="00691E25"/>
    <w:rsid w:val="00691E63"/>
    <w:rsid w:val="00691EA0"/>
    <w:rsid w:val="00691F95"/>
    <w:rsid w:val="0069209D"/>
    <w:rsid w:val="0069211C"/>
    <w:rsid w:val="00692179"/>
    <w:rsid w:val="006925ED"/>
    <w:rsid w:val="00692601"/>
    <w:rsid w:val="00692603"/>
    <w:rsid w:val="0069294C"/>
    <w:rsid w:val="00692C11"/>
    <w:rsid w:val="00692C39"/>
    <w:rsid w:val="00692E3E"/>
    <w:rsid w:val="00692E8D"/>
    <w:rsid w:val="00692F5A"/>
    <w:rsid w:val="0069307D"/>
    <w:rsid w:val="0069308B"/>
    <w:rsid w:val="006930D7"/>
    <w:rsid w:val="00693105"/>
    <w:rsid w:val="0069310D"/>
    <w:rsid w:val="00693523"/>
    <w:rsid w:val="0069357F"/>
    <w:rsid w:val="00693696"/>
    <w:rsid w:val="006937CB"/>
    <w:rsid w:val="006937D7"/>
    <w:rsid w:val="006939C5"/>
    <w:rsid w:val="00693C26"/>
    <w:rsid w:val="00693D2A"/>
    <w:rsid w:val="00693E4B"/>
    <w:rsid w:val="00693F57"/>
    <w:rsid w:val="00693FC2"/>
    <w:rsid w:val="00693FC5"/>
    <w:rsid w:val="00694038"/>
    <w:rsid w:val="006940E4"/>
    <w:rsid w:val="00694392"/>
    <w:rsid w:val="006943FD"/>
    <w:rsid w:val="006945A4"/>
    <w:rsid w:val="00694623"/>
    <w:rsid w:val="0069469D"/>
    <w:rsid w:val="006946BD"/>
    <w:rsid w:val="00694721"/>
    <w:rsid w:val="006947E1"/>
    <w:rsid w:val="00694A62"/>
    <w:rsid w:val="00694C19"/>
    <w:rsid w:val="00694CCC"/>
    <w:rsid w:val="00694D91"/>
    <w:rsid w:val="00694E44"/>
    <w:rsid w:val="00694EE9"/>
    <w:rsid w:val="00694F09"/>
    <w:rsid w:val="00694F45"/>
    <w:rsid w:val="00695006"/>
    <w:rsid w:val="00695120"/>
    <w:rsid w:val="0069514F"/>
    <w:rsid w:val="006952C7"/>
    <w:rsid w:val="006952E0"/>
    <w:rsid w:val="00695316"/>
    <w:rsid w:val="00695379"/>
    <w:rsid w:val="006955C1"/>
    <w:rsid w:val="00695615"/>
    <w:rsid w:val="00695636"/>
    <w:rsid w:val="0069563F"/>
    <w:rsid w:val="006957A3"/>
    <w:rsid w:val="00695897"/>
    <w:rsid w:val="006959BA"/>
    <w:rsid w:val="00695A5C"/>
    <w:rsid w:val="00695AA1"/>
    <w:rsid w:val="00695ABD"/>
    <w:rsid w:val="00695C60"/>
    <w:rsid w:val="00695D0D"/>
    <w:rsid w:val="00695D88"/>
    <w:rsid w:val="00695E20"/>
    <w:rsid w:val="00695EE6"/>
    <w:rsid w:val="00695FE8"/>
    <w:rsid w:val="00696014"/>
    <w:rsid w:val="00696088"/>
    <w:rsid w:val="00696117"/>
    <w:rsid w:val="0069611B"/>
    <w:rsid w:val="006961FD"/>
    <w:rsid w:val="00696213"/>
    <w:rsid w:val="006962B7"/>
    <w:rsid w:val="0069649A"/>
    <w:rsid w:val="0069659C"/>
    <w:rsid w:val="00696649"/>
    <w:rsid w:val="00696728"/>
    <w:rsid w:val="006967A7"/>
    <w:rsid w:val="006967CE"/>
    <w:rsid w:val="00696865"/>
    <w:rsid w:val="006969B2"/>
    <w:rsid w:val="006969B7"/>
    <w:rsid w:val="00696A0B"/>
    <w:rsid w:val="00696A97"/>
    <w:rsid w:val="00696AE7"/>
    <w:rsid w:val="00696B6C"/>
    <w:rsid w:val="00696BFC"/>
    <w:rsid w:val="00696CA3"/>
    <w:rsid w:val="00696D85"/>
    <w:rsid w:val="00696E46"/>
    <w:rsid w:val="00696E4B"/>
    <w:rsid w:val="00696E6B"/>
    <w:rsid w:val="00696E80"/>
    <w:rsid w:val="00697117"/>
    <w:rsid w:val="006971EA"/>
    <w:rsid w:val="0069733B"/>
    <w:rsid w:val="0069757D"/>
    <w:rsid w:val="006975DC"/>
    <w:rsid w:val="00697605"/>
    <w:rsid w:val="0069761B"/>
    <w:rsid w:val="0069765B"/>
    <w:rsid w:val="006977B1"/>
    <w:rsid w:val="00697A6C"/>
    <w:rsid w:val="00697A72"/>
    <w:rsid w:val="00697B22"/>
    <w:rsid w:val="00697B45"/>
    <w:rsid w:val="00697D12"/>
    <w:rsid w:val="00697D75"/>
    <w:rsid w:val="00697DFC"/>
    <w:rsid w:val="00697E49"/>
    <w:rsid w:val="00697F76"/>
    <w:rsid w:val="00697FDF"/>
    <w:rsid w:val="006A005A"/>
    <w:rsid w:val="006A00F8"/>
    <w:rsid w:val="006A011E"/>
    <w:rsid w:val="006A0183"/>
    <w:rsid w:val="006A021C"/>
    <w:rsid w:val="006A021E"/>
    <w:rsid w:val="006A0297"/>
    <w:rsid w:val="006A02C8"/>
    <w:rsid w:val="006A0352"/>
    <w:rsid w:val="006A0354"/>
    <w:rsid w:val="006A05E0"/>
    <w:rsid w:val="006A05E5"/>
    <w:rsid w:val="006A0686"/>
    <w:rsid w:val="006A069C"/>
    <w:rsid w:val="006A06C9"/>
    <w:rsid w:val="006A072F"/>
    <w:rsid w:val="006A07D9"/>
    <w:rsid w:val="006A0989"/>
    <w:rsid w:val="006A0A5A"/>
    <w:rsid w:val="006A0B28"/>
    <w:rsid w:val="006A0CC7"/>
    <w:rsid w:val="006A0D06"/>
    <w:rsid w:val="006A0E2F"/>
    <w:rsid w:val="006A0FEE"/>
    <w:rsid w:val="006A0FFA"/>
    <w:rsid w:val="006A10C2"/>
    <w:rsid w:val="006A12C3"/>
    <w:rsid w:val="006A1303"/>
    <w:rsid w:val="006A1377"/>
    <w:rsid w:val="006A13F7"/>
    <w:rsid w:val="006A141B"/>
    <w:rsid w:val="006A16F2"/>
    <w:rsid w:val="006A1742"/>
    <w:rsid w:val="006A1831"/>
    <w:rsid w:val="006A1897"/>
    <w:rsid w:val="006A189D"/>
    <w:rsid w:val="006A1CA3"/>
    <w:rsid w:val="006A1CB6"/>
    <w:rsid w:val="006A1D77"/>
    <w:rsid w:val="006A1EC0"/>
    <w:rsid w:val="006A1F80"/>
    <w:rsid w:val="006A203F"/>
    <w:rsid w:val="006A221F"/>
    <w:rsid w:val="006A2338"/>
    <w:rsid w:val="006A2360"/>
    <w:rsid w:val="006A237B"/>
    <w:rsid w:val="006A239D"/>
    <w:rsid w:val="006A247E"/>
    <w:rsid w:val="006A2663"/>
    <w:rsid w:val="006A267C"/>
    <w:rsid w:val="006A2790"/>
    <w:rsid w:val="006A27DF"/>
    <w:rsid w:val="006A28E9"/>
    <w:rsid w:val="006A2A25"/>
    <w:rsid w:val="006A2A74"/>
    <w:rsid w:val="006A2AD8"/>
    <w:rsid w:val="006A2AF9"/>
    <w:rsid w:val="006A2C04"/>
    <w:rsid w:val="006A2D66"/>
    <w:rsid w:val="006A2D8F"/>
    <w:rsid w:val="006A2DCF"/>
    <w:rsid w:val="006A2FC7"/>
    <w:rsid w:val="006A311E"/>
    <w:rsid w:val="006A32DD"/>
    <w:rsid w:val="006A32EA"/>
    <w:rsid w:val="006A3310"/>
    <w:rsid w:val="006A35A6"/>
    <w:rsid w:val="006A39E5"/>
    <w:rsid w:val="006A3A56"/>
    <w:rsid w:val="006A3AA4"/>
    <w:rsid w:val="006A3AB2"/>
    <w:rsid w:val="006A3C78"/>
    <w:rsid w:val="006A3D2E"/>
    <w:rsid w:val="006A3DD7"/>
    <w:rsid w:val="006A3EF6"/>
    <w:rsid w:val="006A3FA8"/>
    <w:rsid w:val="006A4246"/>
    <w:rsid w:val="006A4285"/>
    <w:rsid w:val="006A4385"/>
    <w:rsid w:val="006A44B1"/>
    <w:rsid w:val="006A45D5"/>
    <w:rsid w:val="006A4604"/>
    <w:rsid w:val="006A463E"/>
    <w:rsid w:val="006A4768"/>
    <w:rsid w:val="006A477F"/>
    <w:rsid w:val="006A49CC"/>
    <w:rsid w:val="006A4B63"/>
    <w:rsid w:val="006A4BC1"/>
    <w:rsid w:val="006A4C35"/>
    <w:rsid w:val="006A4CC7"/>
    <w:rsid w:val="006A4D3B"/>
    <w:rsid w:val="006A4D89"/>
    <w:rsid w:val="006A4E89"/>
    <w:rsid w:val="006A4E9A"/>
    <w:rsid w:val="006A4EF6"/>
    <w:rsid w:val="006A4F33"/>
    <w:rsid w:val="006A5004"/>
    <w:rsid w:val="006A5014"/>
    <w:rsid w:val="006A5137"/>
    <w:rsid w:val="006A518E"/>
    <w:rsid w:val="006A52B5"/>
    <w:rsid w:val="006A52CB"/>
    <w:rsid w:val="006A57CF"/>
    <w:rsid w:val="006A598E"/>
    <w:rsid w:val="006A59A8"/>
    <w:rsid w:val="006A5A72"/>
    <w:rsid w:val="006A5D0E"/>
    <w:rsid w:val="006A5E4A"/>
    <w:rsid w:val="006A5E82"/>
    <w:rsid w:val="006A5E83"/>
    <w:rsid w:val="006A5E8B"/>
    <w:rsid w:val="006A5EE8"/>
    <w:rsid w:val="006A5F0F"/>
    <w:rsid w:val="006A5F7E"/>
    <w:rsid w:val="006A5FD0"/>
    <w:rsid w:val="006A5FDB"/>
    <w:rsid w:val="006A61FB"/>
    <w:rsid w:val="006A625D"/>
    <w:rsid w:val="006A627D"/>
    <w:rsid w:val="006A628D"/>
    <w:rsid w:val="006A62A2"/>
    <w:rsid w:val="006A6469"/>
    <w:rsid w:val="006A64CC"/>
    <w:rsid w:val="006A65D3"/>
    <w:rsid w:val="006A67EE"/>
    <w:rsid w:val="006A6872"/>
    <w:rsid w:val="006A6A5C"/>
    <w:rsid w:val="006A6B1A"/>
    <w:rsid w:val="006A6B2F"/>
    <w:rsid w:val="006A6B57"/>
    <w:rsid w:val="006A6D2F"/>
    <w:rsid w:val="006A6D3B"/>
    <w:rsid w:val="006A6EC8"/>
    <w:rsid w:val="006A6F54"/>
    <w:rsid w:val="006A6FD6"/>
    <w:rsid w:val="006A702B"/>
    <w:rsid w:val="006A733B"/>
    <w:rsid w:val="006A7376"/>
    <w:rsid w:val="006A7560"/>
    <w:rsid w:val="006A758E"/>
    <w:rsid w:val="006A7592"/>
    <w:rsid w:val="006A75EF"/>
    <w:rsid w:val="006A76B2"/>
    <w:rsid w:val="006A76B7"/>
    <w:rsid w:val="006A778B"/>
    <w:rsid w:val="006A77EA"/>
    <w:rsid w:val="006A77F1"/>
    <w:rsid w:val="006A7803"/>
    <w:rsid w:val="006A7882"/>
    <w:rsid w:val="006A790A"/>
    <w:rsid w:val="006A796F"/>
    <w:rsid w:val="006A7980"/>
    <w:rsid w:val="006A7ACD"/>
    <w:rsid w:val="006A7E5D"/>
    <w:rsid w:val="006A7F4E"/>
    <w:rsid w:val="006B000C"/>
    <w:rsid w:val="006B0048"/>
    <w:rsid w:val="006B009E"/>
    <w:rsid w:val="006B02B9"/>
    <w:rsid w:val="006B0582"/>
    <w:rsid w:val="006B086D"/>
    <w:rsid w:val="006B08C3"/>
    <w:rsid w:val="006B08CB"/>
    <w:rsid w:val="006B09D7"/>
    <w:rsid w:val="006B0A4E"/>
    <w:rsid w:val="006B0B61"/>
    <w:rsid w:val="006B0BAE"/>
    <w:rsid w:val="006B0BEE"/>
    <w:rsid w:val="006B0C3B"/>
    <w:rsid w:val="006B0D84"/>
    <w:rsid w:val="006B0EDA"/>
    <w:rsid w:val="006B0FC2"/>
    <w:rsid w:val="006B1058"/>
    <w:rsid w:val="006B10EF"/>
    <w:rsid w:val="006B116A"/>
    <w:rsid w:val="006B119E"/>
    <w:rsid w:val="006B136B"/>
    <w:rsid w:val="006B1439"/>
    <w:rsid w:val="006B152A"/>
    <w:rsid w:val="006B1551"/>
    <w:rsid w:val="006B1651"/>
    <w:rsid w:val="006B1667"/>
    <w:rsid w:val="006B16AA"/>
    <w:rsid w:val="006B1710"/>
    <w:rsid w:val="006B17DA"/>
    <w:rsid w:val="006B18F2"/>
    <w:rsid w:val="006B19AA"/>
    <w:rsid w:val="006B1A90"/>
    <w:rsid w:val="006B1ABF"/>
    <w:rsid w:val="006B1AE7"/>
    <w:rsid w:val="006B1C80"/>
    <w:rsid w:val="006B1D2B"/>
    <w:rsid w:val="006B1D3D"/>
    <w:rsid w:val="006B1DD6"/>
    <w:rsid w:val="006B1E26"/>
    <w:rsid w:val="006B1E9B"/>
    <w:rsid w:val="006B1EFE"/>
    <w:rsid w:val="006B20AF"/>
    <w:rsid w:val="006B210E"/>
    <w:rsid w:val="006B2211"/>
    <w:rsid w:val="006B2293"/>
    <w:rsid w:val="006B238D"/>
    <w:rsid w:val="006B2613"/>
    <w:rsid w:val="006B2902"/>
    <w:rsid w:val="006B2933"/>
    <w:rsid w:val="006B2B3B"/>
    <w:rsid w:val="006B2CAF"/>
    <w:rsid w:val="006B2FA2"/>
    <w:rsid w:val="006B2FE0"/>
    <w:rsid w:val="006B3113"/>
    <w:rsid w:val="006B3192"/>
    <w:rsid w:val="006B3226"/>
    <w:rsid w:val="006B32AA"/>
    <w:rsid w:val="006B32C6"/>
    <w:rsid w:val="006B3372"/>
    <w:rsid w:val="006B339A"/>
    <w:rsid w:val="006B339D"/>
    <w:rsid w:val="006B33B7"/>
    <w:rsid w:val="006B3452"/>
    <w:rsid w:val="006B3493"/>
    <w:rsid w:val="006B369F"/>
    <w:rsid w:val="006B36F0"/>
    <w:rsid w:val="006B3795"/>
    <w:rsid w:val="006B3896"/>
    <w:rsid w:val="006B38B4"/>
    <w:rsid w:val="006B3964"/>
    <w:rsid w:val="006B3998"/>
    <w:rsid w:val="006B3A04"/>
    <w:rsid w:val="006B3A3F"/>
    <w:rsid w:val="006B3AC6"/>
    <w:rsid w:val="006B3ADA"/>
    <w:rsid w:val="006B3ADE"/>
    <w:rsid w:val="006B3C79"/>
    <w:rsid w:val="006B3EE9"/>
    <w:rsid w:val="006B40D5"/>
    <w:rsid w:val="006B4313"/>
    <w:rsid w:val="006B44A6"/>
    <w:rsid w:val="006B44F5"/>
    <w:rsid w:val="006B4527"/>
    <w:rsid w:val="006B452C"/>
    <w:rsid w:val="006B45BE"/>
    <w:rsid w:val="006B45BF"/>
    <w:rsid w:val="006B45D6"/>
    <w:rsid w:val="006B467C"/>
    <w:rsid w:val="006B477D"/>
    <w:rsid w:val="006B47BF"/>
    <w:rsid w:val="006B48B6"/>
    <w:rsid w:val="006B4A51"/>
    <w:rsid w:val="006B4A8A"/>
    <w:rsid w:val="006B4EA2"/>
    <w:rsid w:val="006B4F69"/>
    <w:rsid w:val="006B5114"/>
    <w:rsid w:val="006B51D2"/>
    <w:rsid w:val="006B5256"/>
    <w:rsid w:val="006B5331"/>
    <w:rsid w:val="006B53A8"/>
    <w:rsid w:val="006B5472"/>
    <w:rsid w:val="006B55BD"/>
    <w:rsid w:val="006B5705"/>
    <w:rsid w:val="006B584E"/>
    <w:rsid w:val="006B58CB"/>
    <w:rsid w:val="006B596C"/>
    <w:rsid w:val="006B5993"/>
    <w:rsid w:val="006B5A57"/>
    <w:rsid w:val="006B5A78"/>
    <w:rsid w:val="006B5AD5"/>
    <w:rsid w:val="006B5C83"/>
    <w:rsid w:val="006B5D09"/>
    <w:rsid w:val="006B5D3B"/>
    <w:rsid w:val="006B5D46"/>
    <w:rsid w:val="006B5DD6"/>
    <w:rsid w:val="006B5E12"/>
    <w:rsid w:val="006B5E3C"/>
    <w:rsid w:val="006B5EA3"/>
    <w:rsid w:val="006B5EE3"/>
    <w:rsid w:val="006B5F2F"/>
    <w:rsid w:val="006B5F44"/>
    <w:rsid w:val="006B5FF5"/>
    <w:rsid w:val="006B604B"/>
    <w:rsid w:val="006B6077"/>
    <w:rsid w:val="006B6080"/>
    <w:rsid w:val="006B6095"/>
    <w:rsid w:val="006B6096"/>
    <w:rsid w:val="006B60BF"/>
    <w:rsid w:val="006B6176"/>
    <w:rsid w:val="006B61B8"/>
    <w:rsid w:val="006B6256"/>
    <w:rsid w:val="006B62FC"/>
    <w:rsid w:val="006B6376"/>
    <w:rsid w:val="006B6442"/>
    <w:rsid w:val="006B6514"/>
    <w:rsid w:val="006B6580"/>
    <w:rsid w:val="006B66BC"/>
    <w:rsid w:val="006B671F"/>
    <w:rsid w:val="006B67FB"/>
    <w:rsid w:val="006B685B"/>
    <w:rsid w:val="006B68DC"/>
    <w:rsid w:val="006B69DA"/>
    <w:rsid w:val="006B6BE1"/>
    <w:rsid w:val="006B6D9A"/>
    <w:rsid w:val="006B6DBE"/>
    <w:rsid w:val="006B6DCD"/>
    <w:rsid w:val="006B6E7A"/>
    <w:rsid w:val="006B6F43"/>
    <w:rsid w:val="006B7006"/>
    <w:rsid w:val="006B70B5"/>
    <w:rsid w:val="006B70CF"/>
    <w:rsid w:val="006B734E"/>
    <w:rsid w:val="006B7516"/>
    <w:rsid w:val="006B7536"/>
    <w:rsid w:val="006B755D"/>
    <w:rsid w:val="006B7701"/>
    <w:rsid w:val="006B7749"/>
    <w:rsid w:val="006B7751"/>
    <w:rsid w:val="006B788E"/>
    <w:rsid w:val="006B7906"/>
    <w:rsid w:val="006B79C5"/>
    <w:rsid w:val="006B7A80"/>
    <w:rsid w:val="006B7B30"/>
    <w:rsid w:val="006B7B36"/>
    <w:rsid w:val="006B7B80"/>
    <w:rsid w:val="006B7C23"/>
    <w:rsid w:val="006B7C78"/>
    <w:rsid w:val="006B7CCB"/>
    <w:rsid w:val="006B7D91"/>
    <w:rsid w:val="006B7DF1"/>
    <w:rsid w:val="006B7E99"/>
    <w:rsid w:val="006B7EDB"/>
    <w:rsid w:val="006B7F50"/>
    <w:rsid w:val="006B7F98"/>
    <w:rsid w:val="006B7FD8"/>
    <w:rsid w:val="006C009A"/>
    <w:rsid w:val="006C00ED"/>
    <w:rsid w:val="006C014E"/>
    <w:rsid w:val="006C01D5"/>
    <w:rsid w:val="006C01F1"/>
    <w:rsid w:val="006C0201"/>
    <w:rsid w:val="006C027D"/>
    <w:rsid w:val="006C02DD"/>
    <w:rsid w:val="006C0877"/>
    <w:rsid w:val="006C09F3"/>
    <w:rsid w:val="006C0A41"/>
    <w:rsid w:val="006C0A5B"/>
    <w:rsid w:val="006C0AFB"/>
    <w:rsid w:val="006C0B53"/>
    <w:rsid w:val="006C0C0D"/>
    <w:rsid w:val="006C0CCC"/>
    <w:rsid w:val="006C0D43"/>
    <w:rsid w:val="006C0ED5"/>
    <w:rsid w:val="006C0F33"/>
    <w:rsid w:val="006C0F95"/>
    <w:rsid w:val="006C0FD6"/>
    <w:rsid w:val="006C109A"/>
    <w:rsid w:val="006C1232"/>
    <w:rsid w:val="006C1282"/>
    <w:rsid w:val="006C12CE"/>
    <w:rsid w:val="006C138C"/>
    <w:rsid w:val="006C15C7"/>
    <w:rsid w:val="006C168D"/>
    <w:rsid w:val="006C18CF"/>
    <w:rsid w:val="006C19D8"/>
    <w:rsid w:val="006C1C37"/>
    <w:rsid w:val="006C1E3D"/>
    <w:rsid w:val="006C1F8E"/>
    <w:rsid w:val="006C1FBE"/>
    <w:rsid w:val="006C2016"/>
    <w:rsid w:val="006C2184"/>
    <w:rsid w:val="006C2404"/>
    <w:rsid w:val="006C24BE"/>
    <w:rsid w:val="006C2564"/>
    <w:rsid w:val="006C2819"/>
    <w:rsid w:val="006C2880"/>
    <w:rsid w:val="006C28BB"/>
    <w:rsid w:val="006C2995"/>
    <w:rsid w:val="006C29B5"/>
    <w:rsid w:val="006C2B4D"/>
    <w:rsid w:val="006C2B8F"/>
    <w:rsid w:val="006C2BCA"/>
    <w:rsid w:val="006C2C84"/>
    <w:rsid w:val="006C2CEF"/>
    <w:rsid w:val="006C2DE2"/>
    <w:rsid w:val="006C2E64"/>
    <w:rsid w:val="006C2E92"/>
    <w:rsid w:val="006C2E9E"/>
    <w:rsid w:val="006C2F34"/>
    <w:rsid w:val="006C2FAD"/>
    <w:rsid w:val="006C2FD5"/>
    <w:rsid w:val="006C3057"/>
    <w:rsid w:val="006C3265"/>
    <w:rsid w:val="006C32F6"/>
    <w:rsid w:val="006C351F"/>
    <w:rsid w:val="006C358E"/>
    <w:rsid w:val="006C35C0"/>
    <w:rsid w:val="006C363A"/>
    <w:rsid w:val="006C3770"/>
    <w:rsid w:val="006C379A"/>
    <w:rsid w:val="006C37E3"/>
    <w:rsid w:val="006C3894"/>
    <w:rsid w:val="006C3991"/>
    <w:rsid w:val="006C3AA3"/>
    <w:rsid w:val="006C3C06"/>
    <w:rsid w:val="006C3C60"/>
    <w:rsid w:val="006C3D55"/>
    <w:rsid w:val="006C3DED"/>
    <w:rsid w:val="006C3E1F"/>
    <w:rsid w:val="006C3E51"/>
    <w:rsid w:val="006C4292"/>
    <w:rsid w:val="006C435F"/>
    <w:rsid w:val="006C43D5"/>
    <w:rsid w:val="006C4435"/>
    <w:rsid w:val="006C45A7"/>
    <w:rsid w:val="006C472E"/>
    <w:rsid w:val="006C4805"/>
    <w:rsid w:val="006C4AF4"/>
    <w:rsid w:val="006C4E3D"/>
    <w:rsid w:val="006C4EDD"/>
    <w:rsid w:val="006C5082"/>
    <w:rsid w:val="006C513B"/>
    <w:rsid w:val="006C51A4"/>
    <w:rsid w:val="006C52A7"/>
    <w:rsid w:val="006C5336"/>
    <w:rsid w:val="006C538F"/>
    <w:rsid w:val="006C54D7"/>
    <w:rsid w:val="006C588B"/>
    <w:rsid w:val="006C58EF"/>
    <w:rsid w:val="006C599B"/>
    <w:rsid w:val="006C59FC"/>
    <w:rsid w:val="006C5A39"/>
    <w:rsid w:val="006C5ABC"/>
    <w:rsid w:val="006C5B98"/>
    <w:rsid w:val="006C5BE5"/>
    <w:rsid w:val="006C5C2E"/>
    <w:rsid w:val="006C5C5B"/>
    <w:rsid w:val="006C5CE0"/>
    <w:rsid w:val="006C5CF3"/>
    <w:rsid w:val="006C5E61"/>
    <w:rsid w:val="006C5E98"/>
    <w:rsid w:val="006C5EAF"/>
    <w:rsid w:val="006C5F39"/>
    <w:rsid w:val="006C5F3E"/>
    <w:rsid w:val="006C60CF"/>
    <w:rsid w:val="006C614B"/>
    <w:rsid w:val="006C615B"/>
    <w:rsid w:val="006C61C5"/>
    <w:rsid w:val="006C623A"/>
    <w:rsid w:val="006C62C8"/>
    <w:rsid w:val="006C65C1"/>
    <w:rsid w:val="006C661B"/>
    <w:rsid w:val="006C67EC"/>
    <w:rsid w:val="006C680B"/>
    <w:rsid w:val="006C684E"/>
    <w:rsid w:val="006C687B"/>
    <w:rsid w:val="006C68E4"/>
    <w:rsid w:val="006C6A9C"/>
    <w:rsid w:val="006C6B62"/>
    <w:rsid w:val="006C6B9D"/>
    <w:rsid w:val="006C6CF7"/>
    <w:rsid w:val="006C6E01"/>
    <w:rsid w:val="006C6EA5"/>
    <w:rsid w:val="006C6F5D"/>
    <w:rsid w:val="006C70ED"/>
    <w:rsid w:val="006C717C"/>
    <w:rsid w:val="006C74D2"/>
    <w:rsid w:val="006C752E"/>
    <w:rsid w:val="006C7555"/>
    <w:rsid w:val="006C7786"/>
    <w:rsid w:val="006C793B"/>
    <w:rsid w:val="006C796E"/>
    <w:rsid w:val="006C7B24"/>
    <w:rsid w:val="006C7B7D"/>
    <w:rsid w:val="006C7D15"/>
    <w:rsid w:val="006C7DFF"/>
    <w:rsid w:val="006D0058"/>
    <w:rsid w:val="006D00DB"/>
    <w:rsid w:val="006D0156"/>
    <w:rsid w:val="006D019A"/>
    <w:rsid w:val="006D0281"/>
    <w:rsid w:val="006D029C"/>
    <w:rsid w:val="006D02A6"/>
    <w:rsid w:val="006D0393"/>
    <w:rsid w:val="006D03BC"/>
    <w:rsid w:val="006D043C"/>
    <w:rsid w:val="006D0465"/>
    <w:rsid w:val="006D04D8"/>
    <w:rsid w:val="006D0579"/>
    <w:rsid w:val="006D0752"/>
    <w:rsid w:val="006D08EA"/>
    <w:rsid w:val="006D0A14"/>
    <w:rsid w:val="006D0ABD"/>
    <w:rsid w:val="006D0B42"/>
    <w:rsid w:val="006D0BCA"/>
    <w:rsid w:val="006D0C06"/>
    <w:rsid w:val="006D0C4D"/>
    <w:rsid w:val="006D0CA4"/>
    <w:rsid w:val="006D0D1C"/>
    <w:rsid w:val="006D0EA4"/>
    <w:rsid w:val="006D0F3E"/>
    <w:rsid w:val="006D0FB9"/>
    <w:rsid w:val="006D0FBE"/>
    <w:rsid w:val="006D10AA"/>
    <w:rsid w:val="006D12C8"/>
    <w:rsid w:val="006D12DD"/>
    <w:rsid w:val="006D12E6"/>
    <w:rsid w:val="006D1463"/>
    <w:rsid w:val="006D15C5"/>
    <w:rsid w:val="006D15F5"/>
    <w:rsid w:val="006D164B"/>
    <w:rsid w:val="006D1652"/>
    <w:rsid w:val="006D165B"/>
    <w:rsid w:val="006D1725"/>
    <w:rsid w:val="006D173E"/>
    <w:rsid w:val="006D17A0"/>
    <w:rsid w:val="006D18B9"/>
    <w:rsid w:val="006D1A1E"/>
    <w:rsid w:val="006D1A53"/>
    <w:rsid w:val="006D1B98"/>
    <w:rsid w:val="006D1C14"/>
    <w:rsid w:val="006D1E18"/>
    <w:rsid w:val="006D1E47"/>
    <w:rsid w:val="006D1E76"/>
    <w:rsid w:val="006D1F36"/>
    <w:rsid w:val="006D1FC7"/>
    <w:rsid w:val="006D2065"/>
    <w:rsid w:val="006D216E"/>
    <w:rsid w:val="006D22CF"/>
    <w:rsid w:val="006D2408"/>
    <w:rsid w:val="006D246D"/>
    <w:rsid w:val="006D2552"/>
    <w:rsid w:val="006D2556"/>
    <w:rsid w:val="006D25FD"/>
    <w:rsid w:val="006D2614"/>
    <w:rsid w:val="006D2621"/>
    <w:rsid w:val="006D2655"/>
    <w:rsid w:val="006D26B5"/>
    <w:rsid w:val="006D28ED"/>
    <w:rsid w:val="006D2B63"/>
    <w:rsid w:val="006D2BD2"/>
    <w:rsid w:val="006D2CEA"/>
    <w:rsid w:val="006D2E90"/>
    <w:rsid w:val="006D2E96"/>
    <w:rsid w:val="006D316E"/>
    <w:rsid w:val="006D3187"/>
    <w:rsid w:val="006D31B1"/>
    <w:rsid w:val="006D31BB"/>
    <w:rsid w:val="006D33CE"/>
    <w:rsid w:val="006D347E"/>
    <w:rsid w:val="006D347F"/>
    <w:rsid w:val="006D3541"/>
    <w:rsid w:val="006D37B5"/>
    <w:rsid w:val="006D398F"/>
    <w:rsid w:val="006D3B2C"/>
    <w:rsid w:val="006D3C27"/>
    <w:rsid w:val="006D3C95"/>
    <w:rsid w:val="006D3DA5"/>
    <w:rsid w:val="006D3DCA"/>
    <w:rsid w:val="006D3E2A"/>
    <w:rsid w:val="006D3E32"/>
    <w:rsid w:val="006D3F62"/>
    <w:rsid w:val="006D3F81"/>
    <w:rsid w:val="006D4043"/>
    <w:rsid w:val="006D4150"/>
    <w:rsid w:val="006D422F"/>
    <w:rsid w:val="006D4473"/>
    <w:rsid w:val="006D44B8"/>
    <w:rsid w:val="006D4568"/>
    <w:rsid w:val="006D4606"/>
    <w:rsid w:val="006D4607"/>
    <w:rsid w:val="006D4687"/>
    <w:rsid w:val="006D4691"/>
    <w:rsid w:val="006D473F"/>
    <w:rsid w:val="006D4843"/>
    <w:rsid w:val="006D4962"/>
    <w:rsid w:val="006D49E2"/>
    <w:rsid w:val="006D4A25"/>
    <w:rsid w:val="006D4D80"/>
    <w:rsid w:val="006D4DDD"/>
    <w:rsid w:val="006D51B1"/>
    <w:rsid w:val="006D5204"/>
    <w:rsid w:val="006D521E"/>
    <w:rsid w:val="006D528E"/>
    <w:rsid w:val="006D52FF"/>
    <w:rsid w:val="006D5328"/>
    <w:rsid w:val="006D542C"/>
    <w:rsid w:val="006D5576"/>
    <w:rsid w:val="006D55DE"/>
    <w:rsid w:val="006D5677"/>
    <w:rsid w:val="006D56F5"/>
    <w:rsid w:val="006D5717"/>
    <w:rsid w:val="006D57CE"/>
    <w:rsid w:val="006D58A6"/>
    <w:rsid w:val="006D591A"/>
    <w:rsid w:val="006D59AD"/>
    <w:rsid w:val="006D5AA5"/>
    <w:rsid w:val="006D5ADD"/>
    <w:rsid w:val="006D5B2F"/>
    <w:rsid w:val="006D5B5D"/>
    <w:rsid w:val="006D5C66"/>
    <w:rsid w:val="006D5CB4"/>
    <w:rsid w:val="006D5ECF"/>
    <w:rsid w:val="006D5F23"/>
    <w:rsid w:val="006D60E5"/>
    <w:rsid w:val="006D60F9"/>
    <w:rsid w:val="006D61D9"/>
    <w:rsid w:val="006D63CF"/>
    <w:rsid w:val="006D63D1"/>
    <w:rsid w:val="006D63F1"/>
    <w:rsid w:val="006D642D"/>
    <w:rsid w:val="006D64ED"/>
    <w:rsid w:val="006D6748"/>
    <w:rsid w:val="006D680C"/>
    <w:rsid w:val="006D68A6"/>
    <w:rsid w:val="006D6921"/>
    <w:rsid w:val="006D6979"/>
    <w:rsid w:val="006D6AE9"/>
    <w:rsid w:val="006D6BFE"/>
    <w:rsid w:val="006D6C57"/>
    <w:rsid w:val="006D6C5A"/>
    <w:rsid w:val="006D6D1B"/>
    <w:rsid w:val="006D6E09"/>
    <w:rsid w:val="006D6E69"/>
    <w:rsid w:val="006D6EB8"/>
    <w:rsid w:val="006D6F09"/>
    <w:rsid w:val="006D6F5A"/>
    <w:rsid w:val="006D718E"/>
    <w:rsid w:val="006D7239"/>
    <w:rsid w:val="006D724B"/>
    <w:rsid w:val="006D7276"/>
    <w:rsid w:val="006D72E2"/>
    <w:rsid w:val="006D732D"/>
    <w:rsid w:val="006D7349"/>
    <w:rsid w:val="006D7398"/>
    <w:rsid w:val="006D73A2"/>
    <w:rsid w:val="006D753F"/>
    <w:rsid w:val="006D75E4"/>
    <w:rsid w:val="006D775B"/>
    <w:rsid w:val="006D775C"/>
    <w:rsid w:val="006D778E"/>
    <w:rsid w:val="006D7844"/>
    <w:rsid w:val="006D78F0"/>
    <w:rsid w:val="006D7A36"/>
    <w:rsid w:val="006D7A5D"/>
    <w:rsid w:val="006D7A64"/>
    <w:rsid w:val="006D7AA1"/>
    <w:rsid w:val="006D7AB8"/>
    <w:rsid w:val="006D7B1F"/>
    <w:rsid w:val="006D7B99"/>
    <w:rsid w:val="006D7D7A"/>
    <w:rsid w:val="006D7E85"/>
    <w:rsid w:val="006D7FDF"/>
    <w:rsid w:val="006E00B2"/>
    <w:rsid w:val="006E0158"/>
    <w:rsid w:val="006E0162"/>
    <w:rsid w:val="006E027C"/>
    <w:rsid w:val="006E0409"/>
    <w:rsid w:val="006E05AA"/>
    <w:rsid w:val="006E0769"/>
    <w:rsid w:val="006E0A48"/>
    <w:rsid w:val="006E0AE7"/>
    <w:rsid w:val="006E0B47"/>
    <w:rsid w:val="006E0B64"/>
    <w:rsid w:val="006E0B77"/>
    <w:rsid w:val="006E0CB1"/>
    <w:rsid w:val="006E0D28"/>
    <w:rsid w:val="006E0D59"/>
    <w:rsid w:val="006E0DBB"/>
    <w:rsid w:val="006E0FE1"/>
    <w:rsid w:val="006E100E"/>
    <w:rsid w:val="006E1071"/>
    <w:rsid w:val="006E10E1"/>
    <w:rsid w:val="006E1130"/>
    <w:rsid w:val="006E12AC"/>
    <w:rsid w:val="006E1334"/>
    <w:rsid w:val="006E14DF"/>
    <w:rsid w:val="006E14F5"/>
    <w:rsid w:val="006E15A4"/>
    <w:rsid w:val="006E1698"/>
    <w:rsid w:val="006E17CE"/>
    <w:rsid w:val="006E17E7"/>
    <w:rsid w:val="006E1822"/>
    <w:rsid w:val="006E1864"/>
    <w:rsid w:val="006E19FC"/>
    <w:rsid w:val="006E1BA8"/>
    <w:rsid w:val="006E1C95"/>
    <w:rsid w:val="006E1D3B"/>
    <w:rsid w:val="006E1DB2"/>
    <w:rsid w:val="006E1E13"/>
    <w:rsid w:val="006E1E61"/>
    <w:rsid w:val="006E1E96"/>
    <w:rsid w:val="006E1EDD"/>
    <w:rsid w:val="006E214A"/>
    <w:rsid w:val="006E21E8"/>
    <w:rsid w:val="006E225B"/>
    <w:rsid w:val="006E2290"/>
    <w:rsid w:val="006E23AD"/>
    <w:rsid w:val="006E249B"/>
    <w:rsid w:val="006E2577"/>
    <w:rsid w:val="006E259E"/>
    <w:rsid w:val="006E25A9"/>
    <w:rsid w:val="006E25E8"/>
    <w:rsid w:val="006E2613"/>
    <w:rsid w:val="006E26F2"/>
    <w:rsid w:val="006E283E"/>
    <w:rsid w:val="006E28CA"/>
    <w:rsid w:val="006E2947"/>
    <w:rsid w:val="006E298F"/>
    <w:rsid w:val="006E29EA"/>
    <w:rsid w:val="006E2A46"/>
    <w:rsid w:val="006E2C6B"/>
    <w:rsid w:val="006E2D7C"/>
    <w:rsid w:val="006E2D93"/>
    <w:rsid w:val="006E2F58"/>
    <w:rsid w:val="006E30D0"/>
    <w:rsid w:val="006E3107"/>
    <w:rsid w:val="006E313E"/>
    <w:rsid w:val="006E319E"/>
    <w:rsid w:val="006E322E"/>
    <w:rsid w:val="006E3324"/>
    <w:rsid w:val="006E3349"/>
    <w:rsid w:val="006E344F"/>
    <w:rsid w:val="006E349D"/>
    <w:rsid w:val="006E34A1"/>
    <w:rsid w:val="006E34DE"/>
    <w:rsid w:val="006E36B5"/>
    <w:rsid w:val="006E36BB"/>
    <w:rsid w:val="006E37D7"/>
    <w:rsid w:val="006E37DB"/>
    <w:rsid w:val="006E38A5"/>
    <w:rsid w:val="006E3909"/>
    <w:rsid w:val="006E392B"/>
    <w:rsid w:val="006E3949"/>
    <w:rsid w:val="006E3AA7"/>
    <w:rsid w:val="006E3C19"/>
    <w:rsid w:val="006E3D92"/>
    <w:rsid w:val="006E3DBE"/>
    <w:rsid w:val="006E3E86"/>
    <w:rsid w:val="006E3F33"/>
    <w:rsid w:val="006E409D"/>
    <w:rsid w:val="006E4281"/>
    <w:rsid w:val="006E4783"/>
    <w:rsid w:val="006E4814"/>
    <w:rsid w:val="006E4B27"/>
    <w:rsid w:val="006E4C7F"/>
    <w:rsid w:val="006E4CA1"/>
    <w:rsid w:val="006E4CE8"/>
    <w:rsid w:val="006E4CF9"/>
    <w:rsid w:val="006E4DB5"/>
    <w:rsid w:val="006E4E0C"/>
    <w:rsid w:val="006E4E71"/>
    <w:rsid w:val="006E4ED6"/>
    <w:rsid w:val="006E4F01"/>
    <w:rsid w:val="006E5042"/>
    <w:rsid w:val="006E5133"/>
    <w:rsid w:val="006E51E0"/>
    <w:rsid w:val="006E539E"/>
    <w:rsid w:val="006E5407"/>
    <w:rsid w:val="006E540A"/>
    <w:rsid w:val="006E5432"/>
    <w:rsid w:val="006E5501"/>
    <w:rsid w:val="006E5502"/>
    <w:rsid w:val="006E5511"/>
    <w:rsid w:val="006E56BF"/>
    <w:rsid w:val="006E5729"/>
    <w:rsid w:val="006E5739"/>
    <w:rsid w:val="006E57DA"/>
    <w:rsid w:val="006E585A"/>
    <w:rsid w:val="006E5893"/>
    <w:rsid w:val="006E58E8"/>
    <w:rsid w:val="006E5A21"/>
    <w:rsid w:val="006E5A52"/>
    <w:rsid w:val="006E5B25"/>
    <w:rsid w:val="006E5B61"/>
    <w:rsid w:val="006E5D8F"/>
    <w:rsid w:val="006E5F07"/>
    <w:rsid w:val="006E5F49"/>
    <w:rsid w:val="006E5FD3"/>
    <w:rsid w:val="006E60C2"/>
    <w:rsid w:val="006E6136"/>
    <w:rsid w:val="006E61D8"/>
    <w:rsid w:val="006E61F9"/>
    <w:rsid w:val="006E62BC"/>
    <w:rsid w:val="006E65E6"/>
    <w:rsid w:val="006E6670"/>
    <w:rsid w:val="006E66FE"/>
    <w:rsid w:val="006E67D4"/>
    <w:rsid w:val="006E690F"/>
    <w:rsid w:val="006E698A"/>
    <w:rsid w:val="006E6C03"/>
    <w:rsid w:val="006E6CC5"/>
    <w:rsid w:val="006E6D41"/>
    <w:rsid w:val="006E6F65"/>
    <w:rsid w:val="006E6FAE"/>
    <w:rsid w:val="006E7024"/>
    <w:rsid w:val="006E7109"/>
    <w:rsid w:val="006E7243"/>
    <w:rsid w:val="006E72EE"/>
    <w:rsid w:val="006E72F9"/>
    <w:rsid w:val="006E734C"/>
    <w:rsid w:val="006E75CE"/>
    <w:rsid w:val="006E76EB"/>
    <w:rsid w:val="006E7752"/>
    <w:rsid w:val="006E7787"/>
    <w:rsid w:val="006E7AC6"/>
    <w:rsid w:val="006E7B0A"/>
    <w:rsid w:val="006E7C99"/>
    <w:rsid w:val="006E7EB4"/>
    <w:rsid w:val="006F036A"/>
    <w:rsid w:val="006F037B"/>
    <w:rsid w:val="006F038A"/>
    <w:rsid w:val="006F0522"/>
    <w:rsid w:val="006F0596"/>
    <w:rsid w:val="006F05B4"/>
    <w:rsid w:val="006F06E7"/>
    <w:rsid w:val="006F072C"/>
    <w:rsid w:val="006F073D"/>
    <w:rsid w:val="006F0810"/>
    <w:rsid w:val="006F0862"/>
    <w:rsid w:val="006F08FE"/>
    <w:rsid w:val="006F0902"/>
    <w:rsid w:val="006F0919"/>
    <w:rsid w:val="006F0969"/>
    <w:rsid w:val="006F09D2"/>
    <w:rsid w:val="006F0A07"/>
    <w:rsid w:val="006F0A64"/>
    <w:rsid w:val="006F0AEF"/>
    <w:rsid w:val="006F0B79"/>
    <w:rsid w:val="006F0B86"/>
    <w:rsid w:val="006F0C17"/>
    <w:rsid w:val="006F0C8B"/>
    <w:rsid w:val="006F0D42"/>
    <w:rsid w:val="006F0DAF"/>
    <w:rsid w:val="006F0DDF"/>
    <w:rsid w:val="006F0E4B"/>
    <w:rsid w:val="006F0EC7"/>
    <w:rsid w:val="006F0F15"/>
    <w:rsid w:val="006F0F92"/>
    <w:rsid w:val="006F11BC"/>
    <w:rsid w:val="006F1273"/>
    <w:rsid w:val="006F1290"/>
    <w:rsid w:val="006F12B2"/>
    <w:rsid w:val="006F12C0"/>
    <w:rsid w:val="006F1319"/>
    <w:rsid w:val="006F132B"/>
    <w:rsid w:val="006F14EA"/>
    <w:rsid w:val="006F1510"/>
    <w:rsid w:val="006F15FA"/>
    <w:rsid w:val="006F1659"/>
    <w:rsid w:val="006F175D"/>
    <w:rsid w:val="006F1810"/>
    <w:rsid w:val="006F1843"/>
    <w:rsid w:val="006F1B66"/>
    <w:rsid w:val="006F1B70"/>
    <w:rsid w:val="006F1B82"/>
    <w:rsid w:val="006F1D4F"/>
    <w:rsid w:val="006F1D7D"/>
    <w:rsid w:val="006F20AF"/>
    <w:rsid w:val="006F20B2"/>
    <w:rsid w:val="006F2153"/>
    <w:rsid w:val="006F2190"/>
    <w:rsid w:val="006F21A0"/>
    <w:rsid w:val="006F21B5"/>
    <w:rsid w:val="006F2247"/>
    <w:rsid w:val="006F2261"/>
    <w:rsid w:val="006F251B"/>
    <w:rsid w:val="006F254A"/>
    <w:rsid w:val="006F2555"/>
    <w:rsid w:val="006F2638"/>
    <w:rsid w:val="006F26A2"/>
    <w:rsid w:val="006F26F8"/>
    <w:rsid w:val="006F27C6"/>
    <w:rsid w:val="006F28CC"/>
    <w:rsid w:val="006F2A5E"/>
    <w:rsid w:val="006F2C6B"/>
    <w:rsid w:val="006F2CD3"/>
    <w:rsid w:val="006F2CFD"/>
    <w:rsid w:val="006F2D68"/>
    <w:rsid w:val="006F2DA6"/>
    <w:rsid w:val="006F2E77"/>
    <w:rsid w:val="006F319F"/>
    <w:rsid w:val="006F3352"/>
    <w:rsid w:val="006F337B"/>
    <w:rsid w:val="006F364C"/>
    <w:rsid w:val="006F3673"/>
    <w:rsid w:val="006F37E4"/>
    <w:rsid w:val="006F38AB"/>
    <w:rsid w:val="006F38DA"/>
    <w:rsid w:val="006F3962"/>
    <w:rsid w:val="006F3B9B"/>
    <w:rsid w:val="006F3D38"/>
    <w:rsid w:val="006F3E06"/>
    <w:rsid w:val="006F3FEC"/>
    <w:rsid w:val="006F40E1"/>
    <w:rsid w:val="006F4159"/>
    <w:rsid w:val="006F42AB"/>
    <w:rsid w:val="006F4383"/>
    <w:rsid w:val="006F4416"/>
    <w:rsid w:val="006F447A"/>
    <w:rsid w:val="006F4491"/>
    <w:rsid w:val="006F45A7"/>
    <w:rsid w:val="006F45F3"/>
    <w:rsid w:val="006F46E9"/>
    <w:rsid w:val="006F46EC"/>
    <w:rsid w:val="006F4889"/>
    <w:rsid w:val="006F4919"/>
    <w:rsid w:val="006F4963"/>
    <w:rsid w:val="006F49A0"/>
    <w:rsid w:val="006F4A0B"/>
    <w:rsid w:val="006F4A5D"/>
    <w:rsid w:val="006F4A89"/>
    <w:rsid w:val="006F4B60"/>
    <w:rsid w:val="006F4C68"/>
    <w:rsid w:val="006F4DBB"/>
    <w:rsid w:val="006F4E21"/>
    <w:rsid w:val="006F504B"/>
    <w:rsid w:val="006F5173"/>
    <w:rsid w:val="006F5210"/>
    <w:rsid w:val="006F55C1"/>
    <w:rsid w:val="006F562E"/>
    <w:rsid w:val="006F5632"/>
    <w:rsid w:val="006F5665"/>
    <w:rsid w:val="006F5701"/>
    <w:rsid w:val="006F5713"/>
    <w:rsid w:val="006F5752"/>
    <w:rsid w:val="006F58AF"/>
    <w:rsid w:val="006F5A02"/>
    <w:rsid w:val="006F5BCD"/>
    <w:rsid w:val="006F5BD8"/>
    <w:rsid w:val="006F5CE8"/>
    <w:rsid w:val="006F5DA4"/>
    <w:rsid w:val="006F5E2E"/>
    <w:rsid w:val="006F5E51"/>
    <w:rsid w:val="006F5E61"/>
    <w:rsid w:val="006F5E69"/>
    <w:rsid w:val="006F5ECE"/>
    <w:rsid w:val="006F6110"/>
    <w:rsid w:val="006F61D2"/>
    <w:rsid w:val="006F62EC"/>
    <w:rsid w:val="006F6331"/>
    <w:rsid w:val="006F63C2"/>
    <w:rsid w:val="006F6459"/>
    <w:rsid w:val="006F653B"/>
    <w:rsid w:val="006F65D2"/>
    <w:rsid w:val="006F65ED"/>
    <w:rsid w:val="006F675A"/>
    <w:rsid w:val="006F67D5"/>
    <w:rsid w:val="006F67D6"/>
    <w:rsid w:val="006F67F9"/>
    <w:rsid w:val="006F67FB"/>
    <w:rsid w:val="006F6A0D"/>
    <w:rsid w:val="006F6ABD"/>
    <w:rsid w:val="006F6B1C"/>
    <w:rsid w:val="006F6BDC"/>
    <w:rsid w:val="006F6CF2"/>
    <w:rsid w:val="006F6D36"/>
    <w:rsid w:val="006F6DBA"/>
    <w:rsid w:val="006F720B"/>
    <w:rsid w:val="006F729E"/>
    <w:rsid w:val="006F72FA"/>
    <w:rsid w:val="006F7348"/>
    <w:rsid w:val="006F7381"/>
    <w:rsid w:val="006F745F"/>
    <w:rsid w:val="006F7471"/>
    <w:rsid w:val="006F7487"/>
    <w:rsid w:val="006F760F"/>
    <w:rsid w:val="006F77DF"/>
    <w:rsid w:val="006F785C"/>
    <w:rsid w:val="006F7B1C"/>
    <w:rsid w:val="006F7B2A"/>
    <w:rsid w:val="006F7CF8"/>
    <w:rsid w:val="006F7D2D"/>
    <w:rsid w:val="006F7DFE"/>
    <w:rsid w:val="006F7F1B"/>
    <w:rsid w:val="006F7F44"/>
    <w:rsid w:val="006F7FAD"/>
    <w:rsid w:val="006FF1A0"/>
    <w:rsid w:val="00700093"/>
    <w:rsid w:val="007000E5"/>
    <w:rsid w:val="0070019E"/>
    <w:rsid w:val="007001F9"/>
    <w:rsid w:val="007002E4"/>
    <w:rsid w:val="0070035F"/>
    <w:rsid w:val="00700435"/>
    <w:rsid w:val="00700547"/>
    <w:rsid w:val="007005A5"/>
    <w:rsid w:val="007006B8"/>
    <w:rsid w:val="007006C3"/>
    <w:rsid w:val="00700700"/>
    <w:rsid w:val="00700997"/>
    <w:rsid w:val="00700A2E"/>
    <w:rsid w:val="00700A8B"/>
    <w:rsid w:val="00700AB3"/>
    <w:rsid w:val="00700B02"/>
    <w:rsid w:val="00700C27"/>
    <w:rsid w:val="00700F23"/>
    <w:rsid w:val="0070115B"/>
    <w:rsid w:val="007011F1"/>
    <w:rsid w:val="00701296"/>
    <w:rsid w:val="007012B0"/>
    <w:rsid w:val="007012C3"/>
    <w:rsid w:val="00701555"/>
    <w:rsid w:val="007018E6"/>
    <w:rsid w:val="0070191F"/>
    <w:rsid w:val="00701934"/>
    <w:rsid w:val="00701AAD"/>
    <w:rsid w:val="00701C25"/>
    <w:rsid w:val="00701C9F"/>
    <w:rsid w:val="00701D38"/>
    <w:rsid w:val="00701DAB"/>
    <w:rsid w:val="00701E49"/>
    <w:rsid w:val="00701EDC"/>
    <w:rsid w:val="00701EDF"/>
    <w:rsid w:val="00701F55"/>
    <w:rsid w:val="00702203"/>
    <w:rsid w:val="0070220D"/>
    <w:rsid w:val="0070232F"/>
    <w:rsid w:val="007023F8"/>
    <w:rsid w:val="0070243E"/>
    <w:rsid w:val="00702462"/>
    <w:rsid w:val="00702531"/>
    <w:rsid w:val="007025D0"/>
    <w:rsid w:val="0070283A"/>
    <w:rsid w:val="0070297B"/>
    <w:rsid w:val="00702A9A"/>
    <w:rsid w:val="00702D69"/>
    <w:rsid w:val="00702ED2"/>
    <w:rsid w:val="00702FA3"/>
    <w:rsid w:val="00703079"/>
    <w:rsid w:val="007030FD"/>
    <w:rsid w:val="007032C8"/>
    <w:rsid w:val="007032E1"/>
    <w:rsid w:val="0070337C"/>
    <w:rsid w:val="007033B3"/>
    <w:rsid w:val="007034A7"/>
    <w:rsid w:val="00703507"/>
    <w:rsid w:val="0070364F"/>
    <w:rsid w:val="0070369E"/>
    <w:rsid w:val="00703890"/>
    <w:rsid w:val="007038A3"/>
    <w:rsid w:val="0070392E"/>
    <w:rsid w:val="00703976"/>
    <w:rsid w:val="007039AC"/>
    <w:rsid w:val="00703A02"/>
    <w:rsid w:val="00703A1E"/>
    <w:rsid w:val="00703AA5"/>
    <w:rsid w:val="00703B9B"/>
    <w:rsid w:val="00703D50"/>
    <w:rsid w:val="00703DBC"/>
    <w:rsid w:val="00703F1D"/>
    <w:rsid w:val="00703F3A"/>
    <w:rsid w:val="00703FC6"/>
    <w:rsid w:val="00704052"/>
    <w:rsid w:val="007040C0"/>
    <w:rsid w:val="007041AC"/>
    <w:rsid w:val="0070429D"/>
    <w:rsid w:val="007042A3"/>
    <w:rsid w:val="0070436C"/>
    <w:rsid w:val="007043F4"/>
    <w:rsid w:val="00704434"/>
    <w:rsid w:val="00704478"/>
    <w:rsid w:val="007045FD"/>
    <w:rsid w:val="00704669"/>
    <w:rsid w:val="007046B6"/>
    <w:rsid w:val="007047DB"/>
    <w:rsid w:val="00704B93"/>
    <w:rsid w:val="00704BC7"/>
    <w:rsid w:val="00704BD2"/>
    <w:rsid w:val="00704DE1"/>
    <w:rsid w:val="00704FB2"/>
    <w:rsid w:val="00705132"/>
    <w:rsid w:val="00705273"/>
    <w:rsid w:val="00705275"/>
    <w:rsid w:val="00705504"/>
    <w:rsid w:val="007056F6"/>
    <w:rsid w:val="00705745"/>
    <w:rsid w:val="00705930"/>
    <w:rsid w:val="007059D7"/>
    <w:rsid w:val="00705A81"/>
    <w:rsid w:val="00705B27"/>
    <w:rsid w:val="00705B79"/>
    <w:rsid w:val="00705BDC"/>
    <w:rsid w:val="00705C07"/>
    <w:rsid w:val="00705C93"/>
    <w:rsid w:val="00705D65"/>
    <w:rsid w:val="00705FF5"/>
    <w:rsid w:val="00706045"/>
    <w:rsid w:val="00706113"/>
    <w:rsid w:val="00706120"/>
    <w:rsid w:val="007061EF"/>
    <w:rsid w:val="0070620A"/>
    <w:rsid w:val="00706231"/>
    <w:rsid w:val="0070624D"/>
    <w:rsid w:val="00706257"/>
    <w:rsid w:val="00706344"/>
    <w:rsid w:val="00706490"/>
    <w:rsid w:val="007064E1"/>
    <w:rsid w:val="0070659F"/>
    <w:rsid w:val="0070666D"/>
    <w:rsid w:val="007066D7"/>
    <w:rsid w:val="007066DC"/>
    <w:rsid w:val="00706789"/>
    <w:rsid w:val="00706866"/>
    <w:rsid w:val="00706959"/>
    <w:rsid w:val="00706961"/>
    <w:rsid w:val="00706B05"/>
    <w:rsid w:val="00706B40"/>
    <w:rsid w:val="00706B4D"/>
    <w:rsid w:val="00706DD1"/>
    <w:rsid w:val="007072FC"/>
    <w:rsid w:val="0070735D"/>
    <w:rsid w:val="0070739C"/>
    <w:rsid w:val="00707433"/>
    <w:rsid w:val="0070743F"/>
    <w:rsid w:val="007074B9"/>
    <w:rsid w:val="007074E8"/>
    <w:rsid w:val="00707573"/>
    <w:rsid w:val="007076B4"/>
    <w:rsid w:val="007076E3"/>
    <w:rsid w:val="007077F3"/>
    <w:rsid w:val="00707862"/>
    <w:rsid w:val="007078A8"/>
    <w:rsid w:val="00707923"/>
    <w:rsid w:val="00707AF4"/>
    <w:rsid w:val="00707B38"/>
    <w:rsid w:val="00707BCA"/>
    <w:rsid w:val="00707BD7"/>
    <w:rsid w:val="00707C1F"/>
    <w:rsid w:val="00707C81"/>
    <w:rsid w:val="00707F02"/>
    <w:rsid w:val="0071000F"/>
    <w:rsid w:val="007100CC"/>
    <w:rsid w:val="007101FE"/>
    <w:rsid w:val="0071021D"/>
    <w:rsid w:val="00710270"/>
    <w:rsid w:val="00710411"/>
    <w:rsid w:val="00710424"/>
    <w:rsid w:val="007104DC"/>
    <w:rsid w:val="00710539"/>
    <w:rsid w:val="0071077D"/>
    <w:rsid w:val="00710799"/>
    <w:rsid w:val="007107C0"/>
    <w:rsid w:val="007107DE"/>
    <w:rsid w:val="00710805"/>
    <w:rsid w:val="00710874"/>
    <w:rsid w:val="00710915"/>
    <w:rsid w:val="00710945"/>
    <w:rsid w:val="00710C3C"/>
    <w:rsid w:val="00710CDB"/>
    <w:rsid w:val="00710D91"/>
    <w:rsid w:val="00710DAC"/>
    <w:rsid w:val="00710EBB"/>
    <w:rsid w:val="00710FD2"/>
    <w:rsid w:val="00710FF8"/>
    <w:rsid w:val="0071100C"/>
    <w:rsid w:val="0071103E"/>
    <w:rsid w:val="0071113A"/>
    <w:rsid w:val="00711205"/>
    <w:rsid w:val="007113BB"/>
    <w:rsid w:val="007113BF"/>
    <w:rsid w:val="00711422"/>
    <w:rsid w:val="0071144B"/>
    <w:rsid w:val="0071145F"/>
    <w:rsid w:val="007114CB"/>
    <w:rsid w:val="007114FA"/>
    <w:rsid w:val="00711853"/>
    <w:rsid w:val="00711917"/>
    <w:rsid w:val="00711AE4"/>
    <w:rsid w:val="00711B2B"/>
    <w:rsid w:val="00711B35"/>
    <w:rsid w:val="00711BD5"/>
    <w:rsid w:val="00711BF6"/>
    <w:rsid w:val="00711D27"/>
    <w:rsid w:val="00711D8F"/>
    <w:rsid w:val="00711E3D"/>
    <w:rsid w:val="0071205D"/>
    <w:rsid w:val="007120B5"/>
    <w:rsid w:val="0071218E"/>
    <w:rsid w:val="0071219C"/>
    <w:rsid w:val="0071220E"/>
    <w:rsid w:val="00712313"/>
    <w:rsid w:val="007124C1"/>
    <w:rsid w:val="007124D1"/>
    <w:rsid w:val="00712518"/>
    <w:rsid w:val="0071255F"/>
    <w:rsid w:val="0071263B"/>
    <w:rsid w:val="00712736"/>
    <w:rsid w:val="00712855"/>
    <w:rsid w:val="00712868"/>
    <w:rsid w:val="007128D2"/>
    <w:rsid w:val="00712A15"/>
    <w:rsid w:val="00712AC4"/>
    <w:rsid w:val="00712B55"/>
    <w:rsid w:val="00712E04"/>
    <w:rsid w:val="00712F20"/>
    <w:rsid w:val="00713114"/>
    <w:rsid w:val="00713326"/>
    <w:rsid w:val="00713340"/>
    <w:rsid w:val="007133DB"/>
    <w:rsid w:val="00713610"/>
    <w:rsid w:val="007136D9"/>
    <w:rsid w:val="0071380F"/>
    <w:rsid w:val="00713818"/>
    <w:rsid w:val="007138D0"/>
    <w:rsid w:val="0071392A"/>
    <w:rsid w:val="007139FD"/>
    <w:rsid w:val="00713B43"/>
    <w:rsid w:val="00713BC2"/>
    <w:rsid w:val="00713BE3"/>
    <w:rsid w:val="00713C81"/>
    <w:rsid w:val="00713EA4"/>
    <w:rsid w:val="00713EBE"/>
    <w:rsid w:val="00713FA9"/>
    <w:rsid w:val="00713FEF"/>
    <w:rsid w:val="007140B8"/>
    <w:rsid w:val="007140E4"/>
    <w:rsid w:val="007140ED"/>
    <w:rsid w:val="0071424C"/>
    <w:rsid w:val="00714273"/>
    <w:rsid w:val="00714300"/>
    <w:rsid w:val="0071468F"/>
    <w:rsid w:val="007146D3"/>
    <w:rsid w:val="00714834"/>
    <w:rsid w:val="00714865"/>
    <w:rsid w:val="00714883"/>
    <w:rsid w:val="0071498D"/>
    <w:rsid w:val="00714A4B"/>
    <w:rsid w:val="00714D29"/>
    <w:rsid w:val="00714FC9"/>
    <w:rsid w:val="00714FDA"/>
    <w:rsid w:val="00715250"/>
    <w:rsid w:val="007153E7"/>
    <w:rsid w:val="007153FE"/>
    <w:rsid w:val="007154AE"/>
    <w:rsid w:val="00715550"/>
    <w:rsid w:val="0071565F"/>
    <w:rsid w:val="007156E4"/>
    <w:rsid w:val="00715709"/>
    <w:rsid w:val="00715906"/>
    <w:rsid w:val="0071597B"/>
    <w:rsid w:val="00715993"/>
    <w:rsid w:val="00715A43"/>
    <w:rsid w:val="00715A82"/>
    <w:rsid w:val="00715B36"/>
    <w:rsid w:val="00715BA1"/>
    <w:rsid w:val="00715BD8"/>
    <w:rsid w:val="00715BE7"/>
    <w:rsid w:val="00715C4A"/>
    <w:rsid w:val="00715D44"/>
    <w:rsid w:val="00715D59"/>
    <w:rsid w:val="00715DDC"/>
    <w:rsid w:val="00715FD6"/>
    <w:rsid w:val="0071604D"/>
    <w:rsid w:val="00716216"/>
    <w:rsid w:val="0071625B"/>
    <w:rsid w:val="0071632F"/>
    <w:rsid w:val="00716446"/>
    <w:rsid w:val="007165AE"/>
    <w:rsid w:val="0071661F"/>
    <w:rsid w:val="0071673D"/>
    <w:rsid w:val="0071677B"/>
    <w:rsid w:val="0071677E"/>
    <w:rsid w:val="0071683B"/>
    <w:rsid w:val="00716909"/>
    <w:rsid w:val="00716A15"/>
    <w:rsid w:val="00716A78"/>
    <w:rsid w:val="00716BCB"/>
    <w:rsid w:val="00716C0F"/>
    <w:rsid w:val="00716C93"/>
    <w:rsid w:val="00716CBE"/>
    <w:rsid w:val="00716D3C"/>
    <w:rsid w:val="00717129"/>
    <w:rsid w:val="00717146"/>
    <w:rsid w:val="0071725D"/>
    <w:rsid w:val="0071728F"/>
    <w:rsid w:val="007172AF"/>
    <w:rsid w:val="0071739C"/>
    <w:rsid w:val="007173B9"/>
    <w:rsid w:val="00717707"/>
    <w:rsid w:val="007177C0"/>
    <w:rsid w:val="007177E9"/>
    <w:rsid w:val="007178C1"/>
    <w:rsid w:val="007179E3"/>
    <w:rsid w:val="00717A5F"/>
    <w:rsid w:val="00717AA2"/>
    <w:rsid w:val="00717B0F"/>
    <w:rsid w:val="00717B40"/>
    <w:rsid w:val="00717B50"/>
    <w:rsid w:val="00717CA9"/>
    <w:rsid w:val="00717CAE"/>
    <w:rsid w:val="00717D48"/>
    <w:rsid w:val="00717FCC"/>
    <w:rsid w:val="0072008A"/>
    <w:rsid w:val="0072009B"/>
    <w:rsid w:val="007201E4"/>
    <w:rsid w:val="00720431"/>
    <w:rsid w:val="007205E7"/>
    <w:rsid w:val="007206B5"/>
    <w:rsid w:val="007206CC"/>
    <w:rsid w:val="007207C4"/>
    <w:rsid w:val="0072086F"/>
    <w:rsid w:val="00720954"/>
    <w:rsid w:val="00720AAD"/>
    <w:rsid w:val="00720BD5"/>
    <w:rsid w:val="00720D70"/>
    <w:rsid w:val="00720FBB"/>
    <w:rsid w:val="00721157"/>
    <w:rsid w:val="007211FB"/>
    <w:rsid w:val="0072124C"/>
    <w:rsid w:val="0072132A"/>
    <w:rsid w:val="00721353"/>
    <w:rsid w:val="007214A8"/>
    <w:rsid w:val="00721518"/>
    <w:rsid w:val="007215A2"/>
    <w:rsid w:val="00721801"/>
    <w:rsid w:val="00721A20"/>
    <w:rsid w:val="00721AFE"/>
    <w:rsid w:val="00721BE2"/>
    <w:rsid w:val="00721C4B"/>
    <w:rsid w:val="00721C5F"/>
    <w:rsid w:val="00721DB3"/>
    <w:rsid w:val="00721DD1"/>
    <w:rsid w:val="00721DFE"/>
    <w:rsid w:val="00721EBD"/>
    <w:rsid w:val="00721F09"/>
    <w:rsid w:val="00721F3C"/>
    <w:rsid w:val="00721FC0"/>
    <w:rsid w:val="00722040"/>
    <w:rsid w:val="007220BE"/>
    <w:rsid w:val="0072224B"/>
    <w:rsid w:val="007222BD"/>
    <w:rsid w:val="0072231C"/>
    <w:rsid w:val="00722324"/>
    <w:rsid w:val="007223AA"/>
    <w:rsid w:val="00722455"/>
    <w:rsid w:val="007224EA"/>
    <w:rsid w:val="00722596"/>
    <w:rsid w:val="0072259B"/>
    <w:rsid w:val="007225C8"/>
    <w:rsid w:val="007226AB"/>
    <w:rsid w:val="007228CA"/>
    <w:rsid w:val="007228FF"/>
    <w:rsid w:val="00722921"/>
    <w:rsid w:val="00722963"/>
    <w:rsid w:val="00722A53"/>
    <w:rsid w:val="00722ACA"/>
    <w:rsid w:val="00722B51"/>
    <w:rsid w:val="00722B90"/>
    <w:rsid w:val="00722C0B"/>
    <w:rsid w:val="00722D78"/>
    <w:rsid w:val="00722DF4"/>
    <w:rsid w:val="00722E2F"/>
    <w:rsid w:val="00722F49"/>
    <w:rsid w:val="007230FE"/>
    <w:rsid w:val="007231B2"/>
    <w:rsid w:val="007231CC"/>
    <w:rsid w:val="00723277"/>
    <w:rsid w:val="0072327E"/>
    <w:rsid w:val="007232FA"/>
    <w:rsid w:val="00723394"/>
    <w:rsid w:val="0072340F"/>
    <w:rsid w:val="00723562"/>
    <w:rsid w:val="0072356D"/>
    <w:rsid w:val="00723812"/>
    <w:rsid w:val="0072390D"/>
    <w:rsid w:val="00723945"/>
    <w:rsid w:val="00723AB0"/>
    <w:rsid w:val="00723BBF"/>
    <w:rsid w:val="00723C0E"/>
    <w:rsid w:val="00723DDB"/>
    <w:rsid w:val="00723FD0"/>
    <w:rsid w:val="00724003"/>
    <w:rsid w:val="00724082"/>
    <w:rsid w:val="0072408E"/>
    <w:rsid w:val="007240C5"/>
    <w:rsid w:val="00724121"/>
    <w:rsid w:val="0072437F"/>
    <w:rsid w:val="0072438A"/>
    <w:rsid w:val="00724622"/>
    <w:rsid w:val="00724697"/>
    <w:rsid w:val="0072497C"/>
    <w:rsid w:val="00724A5E"/>
    <w:rsid w:val="00724AD7"/>
    <w:rsid w:val="00724BC8"/>
    <w:rsid w:val="00724C44"/>
    <w:rsid w:val="00724C65"/>
    <w:rsid w:val="00724CDA"/>
    <w:rsid w:val="00724D1F"/>
    <w:rsid w:val="00724D2A"/>
    <w:rsid w:val="00724EC6"/>
    <w:rsid w:val="00724ED0"/>
    <w:rsid w:val="00724FCC"/>
    <w:rsid w:val="007251F4"/>
    <w:rsid w:val="007252B3"/>
    <w:rsid w:val="0072530B"/>
    <w:rsid w:val="0072599C"/>
    <w:rsid w:val="00725A62"/>
    <w:rsid w:val="00725AC4"/>
    <w:rsid w:val="00725BFE"/>
    <w:rsid w:val="00725C1F"/>
    <w:rsid w:val="00725C3F"/>
    <w:rsid w:val="00725D28"/>
    <w:rsid w:val="00725D59"/>
    <w:rsid w:val="00725E1B"/>
    <w:rsid w:val="00725ED3"/>
    <w:rsid w:val="00725F1E"/>
    <w:rsid w:val="0072607D"/>
    <w:rsid w:val="007260B4"/>
    <w:rsid w:val="007260E3"/>
    <w:rsid w:val="00726128"/>
    <w:rsid w:val="0072619D"/>
    <w:rsid w:val="007263A2"/>
    <w:rsid w:val="0072642C"/>
    <w:rsid w:val="0072645D"/>
    <w:rsid w:val="007264BA"/>
    <w:rsid w:val="00726558"/>
    <w:rsid w:val="0072658A"/>
    <w:rsid w:val="007265C5"/>
    <w:rsid w:val="007266FE"/>
    <w:rsid w:val="00726870"/>
    <w:rsid w:val="007268C4"/>
    <w:rsid w:val="007269A4"/>
    <w:rsid w:val="00726A0C"/>
    <w:rsid w:val="00726A8D"/>
    <w:rsid w:val="00726AB9"/>
    <w:rsid w:val="00726B3C"/>
    <w:rsid w:val="00726B7B"/>
    <w:rsid w:val="00726C31"/>
    <w:rsid w:val="00726CA5"/>
    <w:rsid w:val="00726D96"/>
    <w:rsid w:val="00726E7D"/>
    <w:rsid w:val="00726F9F"/>
    <w:rsid w:val="00727064"/>
    <w:rsid w:val="00727140"/>
    <w:rsid w:val="007271BB"/>
    <w:rsid w:val="00727251"/>
    <w:rsid w:val="00727278"/>
    <w:rsid w:val="007272EC"/>
    <w:rsid w:val="0072730F"/>
    <w:rsid w:val="0072731C"/>
    <w:rsid w:val="0072741E"/>
    <w:rsid w:val="00727576"/>
    <w:rsid w:val="00727623"/>
    <w:rsid w:val="007277C7"/>
    <w:rsid w:val="00727855"/>
    <w:rsid w:val="007278FD"/>
    <w:rsid w:val="00727918"/>
    <w:rsid w:val="00727930"/>
    <w:rsid w:val="00727A0E"/>
    <w:rsid w:val="00727A55"/>
    <w:rsid w:val="00727BC0"/>
    <w:rsid w:val="00727F19"/>
    <w:rsid w:val="00730057"/>
    <w:rsid w:val="007300B0"/>
    <w:rsid w:val="007300E2"/>
    <w:rsid w:val="007300E4"/>
    <w:rsid w:val="00730169"/>
    <w:rsid w:val="00730331"/>
    <w:rsid w:val="00730364"/>
    <w:rsid w:val="00730431"/>
    <w:rsid w:val="00730459"/>
    <w:rsid w:val="007304C5"/>
    <w:rsid w:val="007304D3"/>
    <w:rsid w:val="0073067A"/>
    <w:rsid w:val="0073069E"/>
    <w:rsid w:val="00730842"/>
    <w:rsid w:val="0073099A"/>
    <w:rsid w:val="00730A1A"/>
    <w:rsid w:val="00730A86"/>
    <w:rsid w:val="00730B0C"/>
    <w:rsid w:val="00730B9C"/>
    <w:rsid w:val="00730BB5"/>
    <w:rsid w:val="00730C42"/>
    <w:rsid w:val="00730CE5"/>
    <w:rsid w:val="00730CF1"/>
    <w:rsid w:val="00730DAD"/>
    <w:rsid w:val="00731000"/>
    <w:rsid w:val="0073107C"/>
    <w:rsid w:val="00731160"/>
    <w:rsid w:val="0073123E"/>
    <w:rsid w:val="00731254"/>
    <w:rsid w:val="007312D0"/>
    <w:rsid w:val="0073139B"/>
    <w:rsid w:val="0073140F"/>
    <w:rsid w:val="00731758"/>
    <w:rsid w:val="007318AA"/>
    <w:rsid w:val="007318F0"/>
    <w:rsid w:val="00731918"/>
    <w:rsid w:val="00731A92"/>
    <w:rsid w:val="00731BD8"/>
    <w:rsid w:val="00731E06"/>
    <w:rsid w:val="00731E4F"/>
    <w:rsid w:val="00731EFE"/>
    <w:rsid w:val="00731F5E"/>
    <w:rsid w:val="0073212B"/>
    <w:rsid w:val="00732131"/>
    <w:rsid w:val="0073214F"/>
    <w:rsid w:val="0073228F"/>
    <w:rsid w:val="00732319"/>
    <w:rsid w:val="00732322"/>
    <w:rsid w:val="0073232F"/>
    <w:rsid w:val="00732412"/>
    <w:rsid w:val="007324B3"/>
    <w:rsid w:val="0073266A"/>
    <w:rsid w:val="007326C8"/>
    <w:rsid w:val="0073283D"/>
    <w:rsid w:val="00732843"/>
    <w:rsid w:val="00732AF2"/>
    <w:rsid w:val="00732BDD"/>
    <w:rsid w:val="00732C07"/>
    <w:rsid w:val="00732C78"/>
    <w:rsid w:val="00732CBC"/>
    <w:rsid w:val="00732CC8"/>
    <w:rsid w:val="00732D01"/>
    <w:rsid w:val="00732D42"/>
    <w:rsid w:val="00732D82"/>
    <w:rsid w:val="00732DD0"/>
    <w:rsid w:val="00732FEA"/>
    <w:rsid w:val="0073310E"/>
    <w:rsid w:val="0073322E"/>
    <w:rsid w:val="00733289"/>
    <w:rsid w:val="00733307"/>
    <w:rsid w:val="00733315"/>
    <w:rsid w:val="00733359"/>
    <w:rsid w:val="007333B7"/>
    <w:rsid w:val="007333C9"/>
    <w:rsid w:val="007333CD"/>
    <w:rsid w:val="0073357B"/>
    <w:rsid w:val="00733637"/>
    <w:rsid w:val="007336B9"/>
    <w:rsid w:val="007337AA"/>
    <w:rsid w:val="007337CD"/>
    <w:rsid w:val="00733864"/>
    <w:rsid w:val="007339DF"/>
    <w:rsid w:val="00733AF0"/>
    <w:rsid w:val="00733AF2"/>
    <w:rsid w:val="00733B39"/>
    <w:rsid w:val="00733B4E"/>
    <w:rsid w:val="00733C00"/>
    <w:rsid w:val="00733C0A"/>
    <w:rsid w:val="00733CC9"/>
    <w:rsid w:val="00733CE1"/>
    <w:rsid w:val="00733D87"/>
    <w:rsid w:val="00733EAD"/>
    <w:rsid w:val="00734056"/>
    <w:rsid w:val="0073411D"/>
    <w:rsid w:val="007342F7"/>
    <w:rsid w:val="00734396"/>
    <w:rsid w:val="007343F0"/>
    <w:rsid w:val="00734484"/>
    <w:rsid w:val="00734604"/>
    <w:rsid w:val="0073463E"/>
    <w:rsid w:val="00734646"/>
    <w:rsid w:val="00734654"/>
    <w:rsid w:val="007346F9"/>
    <w:rsid w:val="007348D2"/>
    <w:rsid w:val="007351E2"/>
    <w:rsid w:val="0073531E"/>
    <w:rsid w:val="0073543C"/>
    <w:rsid w:val="00735527"/>
    <w:rsid w:val="007355BC"/>
    <w:rsid w:val="007355C0"/>
    <w:rsid w:val="0073563F"/>
    <w:rsid w:val="00735689"/>
    <w:rsid w:val="007356DF"/>
    <w:rsid w:val="0073570B"/>
    <w:rsid w:val="00735771"/>
    <w:rsid w:val="0073578E"/>
    <w:rsid w:val="00735825"/>
    <w:rsid w:val="007358C4"/>
    <w:rsid w:val="007358CE"/>
    <w:rsid w:val="007358D0"/>
    <w:rsid w:val="007358E3"/>
    <w:rsid w:val="0073592F"/>
    <w:rsid w:val="007359BA"/>
    <w:rsid w:val="00735A3E"/>
    <w:rsid w:val="00735A71"/>
    <w:rsid w:val="00735E5A"/>
    <w:rsid w:val="00735F21"/>
    <w:rsid w:val="0073604C"/>
    <w:rsid w:val="0073611C"/>
    <w:rsid w:val="00736262"/>
    <w:rsid w:val="007362B9"/>
    <w:rsid w:val="007362FA"/>
    <w:rsid w:val="0073631C"/>
    <w:rsid w:val="007363F9"/>
    <w:rsid w:val="0073641D"/>
    <w:rsid w:val="00736478"/>
    <w:rsid w:val="007364C9"/>
    <w:rsid w:val="007365D6"/>
    <w:rsid w:val="007365DC"/>
    <w:rsid w:val="00736824"/>
    <w:rsid w:val="0073682D"/>
    <w:rsid w:val="0073688B"/>
    <w:rsid w:val="007368D8"/>
    <w:rsid w:val="00736978"/>
    <w:rsid w:val="007369A6"/>
    <w:rsid w:val="00736A17"/>
    <w:rsid w:val="00736A37"/>
    <w:rsid w:val="00736B70"/>
    <w:rsid w:val="00736B89"/>
    <w:rsid w:val="00736C04"/>
    <w:rsid w:val="00736C18"/>
    <w:rsid w:val="00736CA2"/>
    <w:rsid w:val="00736E6F"/>
    <w:rsid w:val="00736ED8"/>
    <w:rsid w:val="0073705B"/>
    <w:rsid w:val="007370BB"/>
    <w:rsid w:val="0073716B"/>
    <w:rsid w:val="0073717E"/>
    <w:rsid w:val="00737312"/>
    <w:rsid w:val="0073731D"/>
    <w:rsid w:val="007373C7"/>
    <w:rsid w:val="00737439"/>
    <w:rsid w:val="0073743B"/>
    <w:rsid w:val="0073744A"/>
    <w:rsid w:val="0073756A"/>
    <w:rsid w:val="007379C0"/>
    <w:rsid w:val="00737A12"/>
    <w:rsid w:val="00737CD6"/>
    <w:rsid w:val="00737D01"/>
    <w:rsid w:val="00737E55"/>
    <w:rsid w:val="00737FA7"/>
    <w:rsid w:val="0074017B"/>
    <w:rsid w:val="0074039F"/>
    <w:rsid w:val="00740446"/>
    <w:rsid w:val="0074057A"/>
    <w:rsid w:val="00740594"/>
    <w:rsid w:val="007405DC"/>
    <w:rsid w:val="0074089F"/>
    <w:rsid w:val="007409C5"/>
    <w:rsid w:val="00740AC0"/>
    <w:rsid w:val="00740BD8"/>
    <w:rsid w:val="00740CA6"/>
    <w:rsid w:val="00740CF1"/>
    <w:rsid w:val="00740D29"/>
    <w:rsid w:val="00740ECB"/>
    <w:rsid w:val="00740F64"/>
    <w:rsid w:val="00740F76"/>
    <w:rsid w:val="00740FB4"/>
    <w:rsid w:val="00740FDD"/>
    <w:rsid w:val="00741032"/>
    <w:rsid w:val="0074104B"/>
    <w:rsid w:val="00741198"/>
    <w:rsid w:val="007411DD"/>
    <w:rsid w:val="0074120B"/>
    <w:rsid w:val="00741471"/>
    <w:rsid w:val="00741519"/>
    <w:rsid w:val="007415BC"/>
    <w:rsid w:val="007415E3"/>
    <w:rsid w:val="0074162F"/>
    <w:rsid w:val="00741655"/>
    <w:rsid w:val="0074179A"/>
    <w:rsid w:val="00741819"/>
    <w:rsid w:val="007418A5"/>
    <w:rsid w:val="00741934"/>
    <w:rsid w:val="00741976"/>
    <w:rsid w:val="00741A91"/>
    <w:rsid w:val="00741B7D"/>
    <w:rsid w:val="00741C60"/>
    <w:rsid w:val="00741C99"/>
    <w:rsid w:val="00741CD9"/>
    <w:rsid w:val="00741E77"/>
    <w:rsid w:val="00741EFF"/>
    <w:rsid w:val="00741F04"/>
    <w:rsid w:val="00741FAA"/>
    <w:rsid w:val="00741FEC"/>
    <w:rsid w:val="007420D8"/>
    <w:rsid w:val="0074216F"/>
    <w:rsid w:val="00742194"/>
    <w:rsid w:val="007421E9"/>
    <w:rsid w:val="007422CD"/>
    <w:rsid w:val="00742403"/>
    <w:rsid w:val="00742425"/>
    <w:rsid w:val="007424BD"/>
    <w:rsid w:val="007425C1"/>
    <w:rsid w:val="0074276B"/>
    <w:rsid w:val="007427D0"/>
    <w:rsid w:val="007428C0"/>
    <w:rsid w:val="00742917"/>
    <w:rsid w:val="007429D4"/>
    <w:rsid w:val="00742B97"/>
    <w:rsid w:val="00742BA3"/>
    <w:rsid w:val="00742BC5"/>
    <w:rsid w:val="00742BCC"/>
    <w:rsid w:val="00742C55"/>
    <w:rsid w:val="00742CEC"/>
    <w:rsid w:val="00742CF1"/>
    <w:rsid w:val="00742D61"/>
    <w:rsid w:val="00742DA8"/>
    <w:rsid w:val="00742F2C"/>
    <w:rsid w:val="00743048"/>
    <w:rsid w:val="0074330A"/>
    <w:rsid w:val="00743326"/>
    <w:rsid w:val="00743443"/>
    <w:rsid w:val="007434A4"/>
    <w:rsid w:val="007434A7"/>
    <w:rsid w:val="007434CB"/>
    <w:rsid w:val="007437E8"/>
    <w:rsid w:val="007437F1"/>
    <w:rsid w:val="00743895"/>
    <w:rsid w:val="007438F6"/>
    <w:rsid w:val="00743961"/>
    <w:rsid w:val="007439C0"/>
    <w:rsid w:val="00743F21"/>
    <w:rsid w:val="00743FF2"/>
    <w:rsid w:val="00744160"/>
    <w:rsid w:val="007441D3"/>
    <w:rsid w:val="00744221"/>
    <w:rsid w:val="0074422A"/>
    <w:rsid w:val="00744287"/>
    <w:rsid w:val="007443A7"/>
    <w:rsid w:val="00744583"/>
    <w:rsid w:val="00744672"/>
    <w:rsid w:val="0074471E"/>
    <w:rsid w:val="007447CD"/>
    <w:rsid w:val="0074491A"/>
    <w:rsid w:val="00744967"/>
    <w:rsid w:val="00744978"/>
    <w:rsid w:val="00744BE1"/>
    <w:rsid w:val="00744CB2"/>
    <w:rsid w:val="00744D9A"/>
    <w:rsid w:val="00744ECD"/>
    <w:rsid w:val="00744F5E"/>
    <w:rsid w:val="00744F71"/>
    <w:rsid w:val="00744F79"/>
    <w:rsid w:val="00744F98"/>
    <w:rsid w:val="0074514C"/>
    <w:rsid w:val="00745217"/>
    <w:rsid w:val="007452E3"/>
    <w:rsid w:val="0074531C"/>
    <w:rsid w:val="00745358"/>
    <w:rsid w:val="0074552E"/>
    <w:rsid w:val="007455E6"/>
    <w:rsid w:val="00745AC4"/>
    <w:rsid w:val="00745B13"/>
    <w:rsid w:val="00745B46"/>
    <w:rsid w:val="00745B49"/>
    <w:rsid w:val="00745DE2"/>
    <w:rsid w:val="00745E94"/>
    <w:rsid w:val="00745FD7"/>
    <w:rsid w:val="0074608C"/>
    <w:rsid w:val="00746192"/>
    <w:rsid w:val="007461B3"/>
    <w:rsid w:val="007461DC"/>
    <w:rsid w:val="0074625E"/>
    <w:rsid w:val="00746329"/>
    <w:rsid w:val="0074645C"/>
    <w:rsid w:val="0074654C"/>
    <w:rsid w:val="007465E8"/>
    <w:rsid w:val="00746643"/>
    <w:rsid w:val="00746672"/>
    <w:rsid w:val="007466DD"/>
    <w:rsid w:val="00746727"/>
    <w:rsid w:val="007467D0"/>
    <w:rsid w:val="007467E1"/>
    <w:rsid w:val="0074686C"/>
    <w:rsid w:val="007468A2"/>
    <w:rsid w:val="007468D7"/>
    <w:rsid w:val="00746A66"/>
    <w:rsid w:val="00746B0C"/>
    <w:rsid w:val="00746B85"/>
    <w:rsid w:val="00746BBF"/>
    <w:rsid w:val="00746CA8"/>
    <w:rsid w:val="00746CBB"/>
    <w:rsid w:val="00746F9E"/>
    <w:rsid w:val="00747047"/>
    <w:rsid w:val="00747139"/>
    <w:rsid w:val="007471DB"/>
    <w:rsid w:val="00747379"/>
    <w:rsid w:val="007473AD"/>
    <w:rsid w:val="00747440"/>
    <w:rsid w:val="0074769E"/>
    <w:rsid w:val="00747838"/>
    <w:rsid w:val="00747974"/>
    <w:rsid w:val="00747ACE"/>
    <w:rsid w:val="00747BC7"/>
    <w:rsid w:val="00747C44"/>
    <w:rsid w:val="00747C69"/>
    <w:rsid w:val="00747D1E"/>
    <w:rsid w:val="00747F1E"/>
    <w:rsid w:val="00747F24"/>
    <w:rsid w:val="00747F68"/>
    <w:rsid w:val="00750009"/>
    <w:rsid w:val="0075006B"/>
    <w:rsid w:val="007500F3"/>
    <w:rsid w:val="00750252"/>
    <w:rsid w:val="00750369"/>
    <w:rsid w:val="00750426"/>
    <w:rsid w:val="00750485"/>
    <w:rsid w:val="007504F5"/>
    <w:rsid w:val="007505F3"/>
    <w:rsid w:val="007505F5"/>
    <w:rsid w:val="0075067A"/>
    <w:rsid w:val="0075078C"/>
    <w:rsid w:val="0075095F"/>
    <w:rsid w:val="00750B50"/>
    <w:rsid w:val="00750E2D"/>
    <w:rsid w:val="00750E49"/>
    <w:rsid w:val="00750F34"/>
    <w:rsid w:val="00751175"/>
    <w:rsid w:val="00751399"/>
    <w:rsid w:val="007513C4"/>
    <w:rsid w:val="007514C9"/>
    <w:rsid w:val="007514FB"/>
    <w:rsid w:val="00751509"/>
    <w:rsid w:val="0075153C"/>
    <w:rsid w:val="00751565"/>
    <w:rsid w:val="007515FE"/>
    <w:rsid w:val="007517E8"/>
    <w:rsid w:val="007518A7"/>
    <w:rsid w:val="00751926"/>
    <w:rsid w:val="00751A14"/>
    <w:rsid w:val="00751A15"/>
    <w:rsid w:val="00751A24"/>
    <w:rsid w:val="00751AC0"/>
    <w:rsid w:val="00751B7F"/>
    <w:rsid w:val="00751B9F"/>
    <w:rsid w:val="00751C64"/>
    <w:rsid w:val="00751C6F"/>
    <w:rsid w:val="00751C9E"/>
    <w:rsid w:val="00751CC0"/>
    <w:rsid w:val="00751E3E"/>
    <w:rsid w:val="007520C1"/>
    <w:rsid w:val="007522AC"/>
    <w:rsid w:val="00752302"/>
    <w:rsid w:val="00752331"/>
    <w:rsid w:val="00752397"/>
    <w:rsid w:val="00752445"/>
    <w:rsid w:val="0075250B"/>
    <w:rsid w:val="007525FE"/>
    <w:rsid w:val="0075273B"/>
    <w:rsid w:val="0075278F"/>
    <w:rsid w:val="007528F5"/>
    <w:rsid w:val="0075292B"/>
    <w:rsid w:val="0075295B"/>
    <w:rsid w:val="00752972"/>
    <w:rsid w:val="0075299D"/>
    <w:rsid w:val="007529A3"/>
    <w:rsid w:val="00752A23"/>
    <w:rsid w:val="00752B94"/>
    <w:rsid w:val="00752BBB"/>
    <w:rsid w:val="00752C07"/>
    <w:rsid w:val="00752C16"/>
    <w:rsid w:val="00752C29"/>
    <w:rsid w:val="00752D0C"/>
    <w:rsid w:val="00752DEA"/>
    <w:rsid w:val="00752DEF"/>
    <w:rsid w:val="00752FF4"/>
    <w:rsid w:val="0075302A"/>
    <w:rsid w:val="007530D5"/>
    <w:rsid w:val="00753158"/>
    <w:rsid w:val="00753164"/>
    <w:rsid w:val="00753210"/>
    <w:rsid w:val="00753237"/>
    <w:rsid w:val="0075323B"/>
    <w:rsid w:val="00753282"/>
    <w:rsid w:val="007533A2"/>
    <w:rsid w:val="007533E3"/>
    <w:rsid w:val="007533F8"/>
    <w:rsid w:val="007534CF"/>
    <w:rsid w:val="0075357E"/>
    <w:rsid w:val="007535EB"/>
    <w:rsid w:val="007535F6"/>
    <w:rsid w:val="00753786"/>
    <w:rsid w:val="0075387C"/>
    <w:rsid w:val="00753940"/>
    <w:rsid w:val="00753969"/>
    <w:rsid w:val="00753CA6"/>
    <w:rsid w:val="00753D07"/>
    <w:rsid w:val="00753D70"/>
    <w:rsid w:val="00753D7D"/>
    <w:rsid w:val="00753DAE"/>
    <w:rsid w:val="00753DB6"/>
    <w:rsid w:val="00753E78"/>
    <w:rsid w:val="00753F84"/>
    <w:rsid w:val="007540DD"/>
    <w:rsid w:val="0075416B"/>
    <w:rsid w:val="00754327"/>
    <w:rsid w:val="00754336"/>
    <w:rsid w:val="007543A7"/>
    <w:rsid w:val="007543B8"/>
    <w:rsid w:val="00754671"/>
    <w:rsid w:val="0075468C"/>
    <w:rsid w:val="00754821"/>
    <w:rsid w:val="00754A96"/>
    <w:rsid w:val="00754B72"/>
    <w:rsid w:val="00754BC1"/>
    <w:rsid w:val="00754CB7"/>
    <w:rsid w:val="00754D16"/>
    <w:rsid w:val="00754E8F"/>
    <w:rsid w:val="00755076"/>
    <w:rsid w:val="00755174"/>
    <w:rsid w:val="007552E9"/>
    <w:rsid w:val="007553A0"/>
    <w:rsid w:val="007553E5"/>
    <w:rsid w:val="007554AB"/>
    <w:rsid w:val="0075552C"/>
    <w:rsid w:val="007555AA"/>
    <w:rsid w:val="007555C4"/>
    <w:rsid w:val="00755632"/>
    <w:rsid w:val="00755AC6"/>
    <w:rsid w:val="00755CEB"/>
    <w:rsid w:val="00755D38"/>
    <w:rsid w:val="00755E55"/>
    <w:rsid w:val="00755ED6"/>
    <w:rsid w:val="00755F33"/>
    <w:rsid w:val="00755F9B"/>
    <w:rsid w:val="00755FFF"/>
    <w:rsid w:val="00756010"/>
    <w:rsid w:val="00756019"/>
    <w:rsid w:val="007561A9"/>
    <w:rsid w:val="0075641F"/>
    <w:rsid w:val="007564C8"/>
    <w:rsid w:val="00756505"/>
    <w:rsid w:val="00756508"/>
    <w:rsid w:val="00756637"/>
    <w:rsid w:val="007566D2"/>
    <w:rsid w:val="007568EC"/>
    <w:rsid w:val="007568FE"/>
    <w:rsid w:val="007569BE"/>
    <w:rsid w:val="00756B8D"/>
    <w:rsid w:val="00756B9F"/>
    <w:rsid w:val="00756DF7"/>
    <w:rsid w:val="00756E44"/>
    <w:rsid w:val="00756F97"/>
    <w:rsid w:val="0075700E"/>
    <w:rsid w:val="00757131"/>
    <w:rsid w:val="00757189"/>
    <w:rsid w:val="0075720D"/>
    <w:rsid w:val="00757284"/>
    <w:rsid w:val="0075733A"/>
    <w:rsid w:val="00757384"/>
    <w:rsid w:val="00757387"/>
    <w:rsid w:val="0075740F"/>
    <w:rsid w:val="0075744F"/>
    <w:rsid w:val="007574F6"/>
    <w:rsid w:val="007575E0"/>
    <w:rsid w:val="00757641"/>
    <w:rsid w:val="007578FE"/>
    <w:rsid w:val="00757909"/>
    <w:rsid w:val="0075799B"/>
    <w:rsid w:val="00757A50"/>
    <w:rsid w:val="00757ADD"/>
    <w:rsid w:val="00757B9F"/>
    <w:rsid w:val="00757BCE"/>
    <w:rsid w:val="00757C2E"/>
    <w:rsid w:val="00757C4F"/>
    <w:rsid w:val="00757ECE"/>
    <w:rsid w:val="00757FCB"/>
    <w:rsid w:val="00757FF7"/>
    <w:rsid w:val="00760010"/>
    <w:rsid w:val="00760072"/>
    <w:rsid w:val="0076015B"/>
    <w:rsid w:val="0076024A"/>
    <w:rsid w:val="00760283"/>
    <w:rsid w:val="007602C9"/>
    <w:rsid w:val="0076032D"/>
    <w:rsid w:val="007603B7"/>
    <w:rsid w:val="00760406"/>
    <w:rsid w:val="0076043B"/>
    <w:rsid w:val="00760484"/>
    <w:rsid w:val="007604E4"/>
    <w:rsid w:val="0076059D"/>
    <w:rsid w:val="007605EE"/>
    <w:rsid w:val="0076065A"/>
    <w:rsid w:val="00760741"/>
    <w:rsid w:val="007607FE"/>
    <w:rsid w:val="00760907"/>
    <w:rsid w:val="00760B20"/>
    <w:rsid w:val="00760D8C"/>
    <w:rsid w:val="00760DC7"/>
    <w:rsid w:val="00760E23"/>
    <w:rsid w:val="00760E5B"/>
    <w:rsid w:val="00760EAA"/>
    <w:rsid w:val="00760F9C"/>
    <w:rsid w:val="0076114D"/>
    <w:rsid w:val="0076118E"/>
    <w:rsid w:val="007613CA"/>
    <w:rsid w:val="007613FE"/>
    <w:rsid w:val="00761406"/>
    <w:rsid w:val="007616B5"/>
    <w:rsid w:val="007617B3"/>
    <w:rsid w:val="0076185D"/>
    <w:rsid w:val="00761872"/>
    <w:rsid w:val="00761891"/>
    <w:rsid w:val="00761955"/>
    <w:rsid w:val="00761995"/>
    <w:rsid w:val="007619D9"/>
    <w:rsid w:val="00761B23"/>
    <w:rsid w:val="00761C8F"/>
    <w:rsid w:val="00761CED"/>
    <w:rsid w:val="00761DF3"/>
    <w:rsid w:val="00761F4D"/>
    <w:rsid w:val="00761F92"/>
    <w:rsid w:val="00762098"/>
    <w:rsid w:val="0076209C"/>
    <w:rsid w:val="007620E4"/>
    <w:rsid w:val="0076212E"/>
    <w:rsid w:val="00762338"/>
    <w:rsid w:val="007623E5"/>
    <w:rsid w:val="007624C6"/>
    <w:rsid w:val="0076281D"/>
    <w:rsid w:val="00762961"/>
    <w:rsid w:val="00762962"/>
    <w:rsid w:val="00762B28"/>
    <w:rsid w:val="00762B90"/>
    <w:rsid w:val="00762DE7"/>
    <w:rsid w:val="00762E97"/>
    <w:rsid w:val="00762E9E"/>
    <w:rsid w:val="00762EA5"/>
    <w:rsid w:val="00762F5C"/>
    <w:rsid w:val="00762F6D"/>
    <w:rsid w:val="007630DB"/>
    <w:rsid w:val="007631C6"/>
    <w:rsid w:val="007631E4"/>
    <w:rsid w:val="007632A0"/>
    <w:rsid w:val="007633E4"/>
    <w:rsid w:val="0076357F"/>
    <w:rsid w:val="007636B6"/>
    <w:rsid w:val="007636EE"/>
    <w:rsid w:val="0076375F"/>
    <w:rsid w:val="00763928"/>
    <w:rsid w:val="00763A25"/>
    <w:rsid w:val="00763AD7"/>
    <w:rsid w:val="00763B69"/>
    <w:rsid w:val="00763B72"/>
    <w:rsid w:val="00763D9D"/>
    <w:rsid w:val="00763DC3"/>
    <w:rsid w:val="00763E98"/>
    <w:rsid w:val="00763F09"/>
    <w:rsid w:val="00763F41"/>
    <w:rsid w:val="00763FC7"/>
    <w:rsid w:val="00764099"/>
    <w:rsid w:val="0076414B"/>
    <w:rsid w:val="0076433F"/>
    <w:rsid w:val="00764387"/>
    <w:rsid w:val="00764472"/>
    <w:rsid w:val="007644A5"/>
    <w:rsid w:val="0076479C"/>
    <w:rsid w:val="00764944"/>
    <w:rsid w:val="00764978"/>
    <w:rsid w:val="007649E9"/>
    <w:rsid w:val="00764C24"/>
    <w:rsid w:val="00764C84"/>
    <w:rsid w:val="00764CAE"/>
    <w:rsid w:val="00764D0D"/>
    <w:rsid w:val="00764D28"/>
    <w:rsid w:val="00764DB3"/>
    <w:rsid w:val="00764E4A"/>
    <w:rsid w:val="00764F14"/>
    <w:rsid w:val="00764FA5"/>
    <w:rsid w:val="00764FBA"/>
    <w:rsid w:val="0076507B"/>
    <w:rsid w:val="0076550E"/>
    <w:rsid w:val="0076558E"/>
    <w:rsid w:val="00765600"/>
    <w:rsid w:val="00765609"/>
    <w:rsid w:val="00765617"/>
    <w:rsid w:val="0076569B"/>
    <w:rsid w:val="00765707"/>
    <w:rsid w:val="00765857"/>
    <w:rsid w:val="00765872"/>
    <w:rsid w:val="00765943"/>
    <w:rsid w:val="00765964"/>
    <w:rsid w:val="007659B6"/>
    <w:rsid w:val="00765AA6"/>
    <w:rsid w:val="00765B81"/>
    <w:rsid w:val="00765BA2"/>
    <w:rsid w:val="00765BCA"/>
    <w:rsid w:val="00765BEF"/>
    <w:rsid w:val="00765C2D"/>
    <w:rsid w:val="00765CA1"/>
    <w:rsid w:val="00765CF1"/>
    <w:rsid w:val="00765CFC"/>
    <w:rsid w:val="00765F78"/>
    <w:rsid w:val="00765F8E"/>
    <w:rsid w:val="00766013"/>
    <w:rsid w:val="00766040"/>
    <w:rsid w:val="0076607E"/>
    <w:rsid w:val="007662E3"/>
    <w:rsid w:val="00766332"/>
    <w:rsid w:val="0076633C"/>
    <w:rsid w:val="007663A0"/>
    <w:rsid w:val="00766449"/>
    <w:rsid w:val="00766486"/>
    <w:rsid w:val="0076666C"/>
    <w:rsid w:val="0076675C"/>
    <w:rsid w:val="007667A9"/>
    <w:rsid w:val="0076697B"/>
    <w:rsid w:val="00766BBD"/>
    <w:rsid w:val="00766C2A"/>
    <w:rsid w:val="00766C46"/>
    <w:rsid w:val="00766C9E"/>
    <w:rsid w:val="00766DA1"/>
    <w:rsid w:val="00766EA6"/>
    <w:rsid w:val="00766F04"/>
    <w:rsid w:val="00766F80"/>
    <w:rsid w:val="007670A5"/>
    <w:rsid w:val="007672AD"/>
    <w:rsid w:val="00767388"/>
    <w:rsid w:val="007673A7"/>
    <w:rsid w:val="00767401"/>
    <w:rsid w:val="0076745D"/>
    <w:rsid w:val="00767501"/>
    <w:rsid w:val="0076770D"/>
    <w:rsid w:val="00767723"/>
    <w:rsid w:val="00767766"/>
    <w:rsid w:val="00767785"/>
    <w:rsid w:val="00767923"/>
    <w:rsid w:val="0076792F"/>
    <w:rsid w:val="00767A6F"/>
    <w:rsid w:val="00767AE1"/>
    <w:rsid w:val="00767C6A"/>
    <w:rsid w:val="00767D2A"/>
    <w:rsid w:val="00767D9D"/>
    <w:rsid w:val="0077006B"/>
    <w:rsid w:val="007700FA"/>
    <w:rsid w:val="00770172"/>
    <w:rsid w:val="00770414"/>
    <w:rsid w:val="007704B7"/>
    <w:rsid w:val="00770517"/>
    <w:rsid w:val="00770555"/>
    <w:rsid w:val="007706FC"/>
    <w:rsid w:val="0077072D"/>
    <w:rsid w:val="007708EE"/>
    <w:rsid w:val="00770AB5"/>
    <w:rsid w:val="00770AE0"/>
    <w:rsid w:val="00770B39"/>
    <w:rsid w:val="00770B9B"/>
    <w:rsid w:val="00770C5C"/>
    <w:rsid w:val="00770C63"/>
    <w:rsid w:val="00770C71"/>
    <w:rsid w:val="00770D8A"/>
    <w:rsid w:val="00770EAC"/>
    <w:rsid w:val="00771064"/>
    <w:rsid w:val="0077108B"/>
    <w:rsid w:val="0077112F"/>
    <w:rsid w:val="0077123B"/>
    <w:rsid w:val="007713B8"/>
    <w:rsid w:val="0077160D"/>
    <w:rsid w:val="0077164A"/>
    <w:rsid w:val="0077178E"/>
    <w:rsid w:val="00771844"/>
    <w:rsid w:val="007718DA"/>
    <w:rsid w:val="007718F2"/>
    <w:rsid w:val="00771913"/>
    <w:rsid w:val="00771980"/>
    <w:rsid w:val="00771A93"/>
    <w:rsid w:val="00771AA4"/>
    <w:rsid w:val="00771ACD"/>
    <w:rsid w:val="00771B28"/>
    <w:rsid w:val="00771B4E"/>
    <w:rsid w:val="00771BB1"/>
    <w:rsid w:val="00771CFE"/>
    <w:rsid w:val="00771D09"/>
    <w:rsid w:val="00771D49"/>
    <w:rsid w:val="00771DB6"/>
    <w:rsid w:val="0077207B"/>
    <w:rsid w:val="0077217C"/>
    <w:rsid w:val="007721D2"/>
    <w:rsid w:val="00772274"/>
    <w:rsid w:val="00772281"/>
    <w:rsid w:val="007722BE"/>
    <w:rsid w:val="007723C8"/>
    <w:rsid w:val="00772A5C"/>
    <w:rsid w:val="00772BAE"/>
    <w:rsid w:val="00772C4F"/>
    <w:rsid w:val="00772D71"/>
    <w:rsid w:val="00772EDF"/>
    <w:rsid w:val="00773007"/>
    <w:rsid w:val="007731FE"/>
    <w:rsid w:val="007732CC"/>
    <w:rsid w:val="00773355"/>
    <w:rsid w:val="00773515"/>
    <w:rsid w:val="00773559"/>
    <w:rsid w:val="00773656"/>
    <w:rsid w:val="007736BB"/>
    <w:rsid w:val="00773782"/>
    <w:rsid w:val="007737DC"/>
    <w:rsid w:val="007739E2"/>
    <w:rsid w:val="00773A3F"/>
    <w:rsid w:val="00773A91"/>
    <w:rsid w:val="00773B7A"/>
    <w:rsid w:val="00773C67"/>
    <w:rsid w:val="00773D2F"/>
    <w:rsid w:val="00773DB4"/>
    <w:rsid w:val="00773E78"/>
    <w:rsid w:val="00773FD8"/>
    <w:rsid w:val="007740D5"/>
    <w:rsid w:val="007741F7"/>
    <w:rsid w:val="00774258"/>
    <w:rsid w:val="0077427D"/>
    <w:rsid w:val="007742BC"/>
    <w:rsid w:val="00774573"/>
    <w:rsid w:val="007745D1"/>
    <w:rsid w:val="007745DA"/>
    <w:rsid w:val="00774674"/>
    <w:rsid w:val="00774713"/>
    <w:rsid w:val="007748F7"/>
    <w:rsid w:val="007748F8"/>
    <w:rsid w:val="00774916"/>
    <w:rsid w:val="00774929"/>
    <w:rsid w:val="00774980"/>
    <w:rsid w:val="00774A65"/>
    <w:rsid w:val="00774BC7"/>
    <w:rsid w:val="00774E79"/>
    <w:rsid w:val="00774E9C"/>
    <w:rsid w:val="00774F42"/>
    <w:rsid w:val="00774F7F"/>
    <w:rsid w:val="00774F92"/>
    <w:rsid w:val="00774FFF"/>
    <w:rsid w:val="00775112"/>
    <w:rsid w:val="00775178"/>
    <w:rsid w:val="00775215"/>
    <w:rsid w:val="00775356"/>
    <w:rsid w:val="00775573"/>
    <w:rsid w:val="0077579A"/>
    <w:rsid w:val="007757C6"/>
    <w:rsid w:val="00775941"/>
    <w:rsid w:val="007759FB"/>
    <w:rsid w:val="00775A07"/>
    <w:rsid w:val="00775B8C"/>
    <w:rsid w:val="00775C75"/>
    <w:rsid w:val="00775C88"/>
    <w:rsid w:val="00775CDB"/>
    <w:rsid w:val="00775CE3"/>
    <w:rsid w:val="00775EC3"/>
    <w:rsid w:val="00775F01"/>
    <w:rsid w:val="00775F57"/>
    <w:rsid w:val="00775F9B"/>
    <w:rsid w:val="00775FD9"/>
    <w:rsid w:val="00776222"/>
    <w:rsid w:val="00776289"/>
    <w:rsid w:val="007762EA"/>
    <w:rsid w:val="0077631C"/>
    <w:rsid w:val="007763DC"/>
    <w:rsid w:val="0077649E"/>
    <w:rsid w:val="0077655D"/>
    <w:rsid w:val="007765A1"/>
    <w:rsid w:val="00776605"/>
    <w:rsid w:val="0077671C"/>
    <w:rsid w:val="00776765"/>
    <w:rsid w:val="007767B9"/>
    <w:rsid w:val="007767DF"/>
    <w:rsid w:val="007769C7"/>
    <w:rsid w:val="00776A90"/>
    <w:rsid w:val="00776B65"/>
    <w:rsid w:val="00776C1E"/>
    <w:rsid w:val="00776E8D"/>
    <w:rsid w:val="00776F6E"/>
    <w:rsid w:val="0077701D"/>
    <w:rsid w:val="007770B5"/>
    <w:rsid w:val="007770D1"/>
    <w:rsid w:val="007770E1"/>
    <w:rsid w:val="00777127"/>
    <w:rsid w:val="00777147"/>
    <w:rsid w:val="007771F9"/>
    <w:rsid w:val="00777211"/>
    <w:rsid w:val="00777253"/>
    <w:rsid w:val="00777360"/>
    <w:rsid w:val="0077736F"/>
    <w:rsid w:val="007773B6"/>
    <w:rsid w:val="007773ED"/>
    <w:rsid w:val="0077749B"/>
    <w:rsid w:val="007774B5"/>
    <w:rsid w:val="007774FD"/>
    <w:rsid w:val="007775A2"/>
    <w:rsid w:val="00777613"/>
    <w:rsid w:val="00777777"/>
    <w:rsid w:val="007777D3"/>
    <w:rsid w:val="007778D4"/>
    <w:rsid w:val="00777A4C"/>
    <w:rsid w:val="00777B34"/>
    <w:rsid w:val="00777B72"/>
    <w:rsid w:val="00777D9A"/>
    <w:rsid w:val="00777E34"/>
    <w:rsid w:val="00777ECD"/>
    <w:rsid w:val="00777F0A"/>
    <w:rsid w:val="007800F3"/>
    <w:rsid w:val="00780143"/>
    <w:rsid w:val="00780231"/>
    <w:rsid w:val="0078023E"/>
    <w:rsid w:val="00780357"/>
    <w:rsid w:val="0078048A"/>
    <w:rsid w:val="007804C4"/>
    <w:rsid w:val="007804FD"/>
    <w:rsid w:val="00780617"/>
    <w:rsid w:val="0078061A"/>
    <w:rsid w:val="00780696"/>
    <w:rsid w:val="00780722"/>
    <w:rsid w:val="00780932"/>
    <w:rsid w:val="007809CC"/>
    <w:rsid w:val="00780A17"/>
    <w:rsid w:val="00780A52"/>
    <w:rsid w:val="00780AEE"/>
    <w:rsid w:val="00780BC6"/>
    <w:rsid w:val="00780CF1"/>
    <w:rsid w:val="00780D23"/>
    <w:rsid w:val="00780DB1"/>
    <w:rsid w:val="00780E96"/>
    <w:rsid w:val="00780F08"/>
    <w:rsid w:val="0078106C"/>
    <w:rsid w:val="007811B1"/>
    <w:rsid w:val="00781314"/>
    <w:rsid w:val="00781413"/>
    <w:rsid w:val="007815F8"/>
    <w:rsid w:val="0078178C"/>
    <w:rsid w:val="00781917"/>
    <w:rsid w:val="00781998"/>
    <w:rsid w:val="00781A21"/>
    <w:rsid w:val="00781B05"/>
    <w:rsid w:val="00781CFA"/>
    <w:rsid w:val="00782046"/>
    <w:rsid w:val="007820A4"/>
    <w:rsid w:val="0078238D"/>
    <w:rsid w:val="007823A3"/>
    <w:rsid w:val="00782452"/>
    <w:rsid w:val="00782486"/>
    <w:rsid w:val="00782506"/>
    <w:rsid w:val="0078253D"/>
    <w:rsid w:val="00782603"/>
    <w:rsid w:val="00782623"/>
    <w:rsid w:val="00782788"/>
    <w:rsid w:val="0078278A"/>
    <w:rsid w:val="0078281E"/>
    <w:rsid w:val="0078287C"/>
    <w:rsid w:val="00782939"/>
    <w:rsid w:val="00782A3C"/>
    <w:rsid w:val="00782A40"/>
    <w:rsid w:val="00782A9B"/>
    <w:rsid w:val="00782DF8"/>
    <w:rsid w:val="00782EDB"/>
    <w:rsid w:val="00782F95"/>
    <w:rsid w:val="00783016"/>
    <w:rsid w:val="00783059"/>
    <w:rsid w:val="00783087"/>
    <w:rsid w:val="00783138"/>
    <w:rsid w:val="0078318C"/>
    <w:rsid w:val="007831DB"/>
    <w:rsid w:val="0078320C"/>
    <w:rsid w:val="00783335"/>
    <w:rsid w:val="0078337F"/>
    <w:rsid w:val="007833B8"/>
    <w:rsid w:val="007833C8"/>
    <w:rsid w:val="007833D4"/>
    <w:rsid w:val="00783430"/>
    <w:rsid w:val="0078362E"/>
    <w:rsid w:val="0078380A"/>
    <w:rsid w:val="0078381E"/>
    <w:rsid w:val="00783845"/>
    <w:rsid w:val="00783854"/>
    <w:rsid w:val="007838E0"/>
    <w:rsid w:val="007838E9"/>
    <w:rsid w:val="00783982"/>
    <w:rsid w:val="007839BB"/>
    <w:rsid w:val="00783ABC"/>
    <w:rsid w:val="00783BD5"/>
    <w:rsid w:val="00783C13"/>
    <w:rsid w:val="00783D6E"/>
    <w:rsid w:val="00783DF9"/>
    <w:rsid w:val="00783E99"/>
    <w:rsid w:val="00783EE7"/>
    <w:rsid w:val="00783F88"/>
    <w:rsid w:val="00784028"/>
    <w:rsid w:val="0078402F"/>
    <w:rsid w:val="00784089"/>
    <w:rsid w:val="00784098"/>
    <w:rsid w:val="007840AE"/>
    <w:rsid w:val="00784153"/>
    <w:rsid w:val="00784172"/>
    <w:rsid w:val="007841F3"/>
    <w:rsid w:val="007842D0"/>
    <w:rsid w:val="00784455"/>
    <w:rsid w:val="007844AE"/>
    <w:rsid w:val="007844C1"/>
    <w:rsid w:val="007845D7"/>
    <w:rsid w:val="007846D2"/>
    <w:rsid w:val="007846D8"/>
    <w:rsid w:val="0078479C"/>
    <w:rsid w:val="0078483A"/>
    <w:rsid w:val="0078494A"/>
    <w:rsid w:val="00784999"/>
    <w:rsid w:val="00784AEF"/>
    <w:rsid w:val="00784B79"/>
    <w:rsid w:val="00784BC8"/>
    <w:rsid w:val="00784CDC"/>
    <w:rsid w:val="00784CE3"/>
    <w:rsid w:val="00784E70"/>
    <w:rsid w:val="0078526C"/>
    <w:rsid w:val="00785286"/>
    <w:rsid w:val="0078529D"/>
    <w:rsid w:val="007852A7"/>
    <w:rsid w:val="0078532A"/>
    <w:rsid w:val="00785553"/>
    <w:rsid w:val="007856A6"/>
    <w:rsid w:val="007856ED"/>
    <w:rsid w:val="007857A2"/>
    <w:rsid w:val="007857E5"/>
    <w:rsid w:val="0078582F"/>
    <w:rsid w:val="00785ACA"/>
    <w:rsid w:val="00785BFE"/>
    <w:rsid w:val="00785CD9"/>
    <w:rsid w:val="00785D36"/>
    <w:rsid w:val="00785D4C"/>
    <w:rsid w:val="00785D7E"/>
    <w:rsid w:val="00785DA2"/>
    <w:rsid w:val="00785DEE"/>
    <w:rsid w:val="00785DF0"/>
    <w:rsid w:val="00785E2C"/>
    <w:rsid w:val="00785E4C"/>
    <w:rsid w:val="00785E79"/>
    <w:rsid w:val="007860F7"/>
    <w:rsid w:val="0078617A"/>
    <w:rsid w:val="00786182"/>
    <w:rsid w:val="007862EA"/>
    <w:rsid w:val="0078637A"/>
    <w:rsid w:val="007863BC"/>
    <w:rsid w:val="00786407"/>
    <w:rsid w:val="00786548"/>
    <w:rsid w:val="007865FC"/>
    <w:rsid w:val="0078660B"/>
    <w:rsid w:val="00786726"/>
    <w:rsid w:val="0078674D"/>
    <w:rsid w:val="00786757"/>
    <w:rsid w:val="007867FD"/>
    <w:rsid w:val="00786856"/>
    <w:rsid w:val="0078685B"/>
    <w:rsid w:val="007868AB"/>
    <w:rsid w:val="007868D0"/>
    <w:rsid w:val="007868F6"/>
    <w:rsid w:val="0078697A"/>
    <w:rsid w:val="00786A93"/>
    <w:rsid w:val="00786CF2"/>
    <w:rsid w:val="00786E69"/>
    <w:rsid w:val="00786EC4"/>
    <w:rsid w:val="00787094"/>
    <w:rsid w:val="007870E2"/>
    <w:rsid w:val="007871B8"/>
    <w:rsid w:val="0078721E"/>
    <w:rsid w:val="00787261"/>
    <w:rsid w:val="00787279"/>
    <w:rsid w:val="0078727E"/>
    <w:rsid w:val="0078733C"/>
    <w:rsid w:val="0078736E"/>
    <w:rsid w:val="007873C7"/>
    <w:rsid w:val="007874FB"/>
    <w:rsid w:val="00787822"/>
    <w:rsid w:val="007878A7"/>
    <w:rsid w:val="00787941"/>
    <w:rsid w:val="00787990"/>
    <w:rsid w:val="00787AEA"/>
    <w:rsid w:val="00787B21"/>
    <w:rsid w:val="00787BB4"/>
    <w:rsid w:val="00787BEF"/>
    <w:rsid w:val="00787C62"/>
    <w:rsid w:val="00787CE9"/>
    <w:rsid w:val="00787EBA"/>
    <w:rsid w:val="00787F18"/>
    <w:rsid w:val="00787FAE"/>
    <w:rsid w:val="007900A0"/>
    <w:rsid w:val="007900E2"/>
    <w:rsid w:val="007900E4"/>
    <w:rsid w:val="007901C2"/>
    <w:rsid w:val="00790265"/>
    <w:rsid w:val="007902A0"/>
    <w:rsid w:val="00790574"/>
    <w:rsid w:val="007905D5"/>
    <w:rsid w:val="0079067F"/>
    <w:rsid w:val="00790828"/>
    <w:rsid w:val="007909A3"/>
    <w:rsid w:val="00790AC1"/>
    <w:rsid w:val="00790B69"/>
    <w:rsid w:val="00790D3C"/>
    <w:rsid w:val="00790EE6"/>
    <w:rsid w:val="00790F16"/>
    <w:rsid w:val="00790FA4"/>
    <w:rsid w:val="00790FC0"/>
    <w:rsid w:val="007910EF"/>
    <w:rsid w:val="007910F7"/>
    <w:rsid w:val="00791125"/>
    <w:rsid w:val="007913DD"/>
    <w:rsid w:val="007914D7"/>
    <w:rsid w:val="007914F5"/>
    <w:rsid w:val="00791523"/>
    <w:rsid w:val="00791561"/>
    <w:rsid w:val="0079163F"/>
    <w:rsid w:val="007918A4"/>
    <w:rsid w:val="00791972"/>
    <w:rsid w:val="007919D7"/>
    <w:rsid w:val="00791A37"/>
    <w:rsid w:val="00791A45"/>
    <w:rsid w:val="00791B5C"/>
    <w:rsid w:val="00791D53"/>
    <w:rsid w:val="00791F10"/>
    <w:rsid w:val="00791F28"/>
    <w:rsid w:val="00792063"/>
    <w:rsid w:val="0079221F"/>
    <w:rsid w:val="0079228B"/>
    <w:rsid w:val="007922A9"/>
    <w:rsid w:val="00792300"/>
    <w:rsid w:val="00792360"/>
    <w:rsid w:val="007923AB"/>
    <w:rsid w:val="00792483"/>
    <w:rsid w:val="00792866"/>
    <w:rsid w:val="0079287C"/>
    <w:rsid w:val="00792A08"/>
    <w:rsid w:val="00792AA8"/>
    <w:rsid w:val="00792B1E"/>
    <w:rsid w:val="00792BE3"/>
    <w:rsid w:val="00792C0B"/>
    <w:rsid w:val="00792E69"/>
    <w:rsid w:val="00792EF3"/>
    <w:rsid w:val="00793047"/>
    <w:rsid w:val="00793065"/>
    <w:rsid w:val="007930EE"/>
    <w:rsid w:val="007930FD"/>
    <w:rsid w:val="00793392"/>
    <w:rsid w:val="007933CF"/>
    <w:rsid w:val="00793436"/>
    <w:rsid w:val="007935E9"/>
    <w:rsid w:val="007937BD"/>
    <w:rsid w:val="00793877"/>
    <w:rsid w:val="007938AD"/>
    <w:rsid w:val="007938F7"/>
    <w:rsid w:val="00793911"/>
    <w:rsid w:val="0079394A"/>
    <w:rsid w:val="00793A98"/>
    <w:rsid w:val="00793C56"/>
    <w:rsid w:val="00793CD9"/>
    <w:rsid w:val="00793D04"/>
    <w:rsid w:val="00793D39"/>
    <w:rsid w:val="00793E23"/>
    <w:rsid w:val="00793F07"/>
    <w:rsid w:val="00794160"/>
    <w:rsid w:val="00794173"/>
    <w:rsid w:val="007941AB"/>
    <w:rsid w:val="007941B3"/>
    <w:rsid w:val="007941C1"/>
    <w:rsid w:val="007941DD"/>
    <w:rsid w:val="0079425B"/>
    <w:rsid w:val="00794393"/>
    <w:rsid w:val="007943EF"/>
    <w:rsid w:val="00794466"/>
    <w:rsid w:val="00794492"/>
    <w:rsid w:val="007945AA"/>
    <w:rsid w:val="00794700"/>
    <w:rsid w:val="00794756"/>
    <w:rsid w:val="007947BB"/>
    <w:rsid w:val="007947BF"/>
    <w:rsid w:val="007947C6"/>
    <w:rsid w:val="007947F1"/>
    <w:rsid w:val="007947F5"/>
    <w:rsid w:val="007948C4"/>
    <w:rsid w:val="007948D2"/>
    <w:rsid w:val="00794C00"/>
    <w:rsid w:val="00794D09"/>
    <w:rsid w:val="00794D79"/>
    <w:rsid w:val="00794D86"/>
    <w:rsid w:val="00794DF8"/>
    <w:rsid w:val="00794E0A"/>
    <w:rsid w:val="00794E83"/>
    <w:rsid w:val="00794EDA"/>
    <w:rsid w:val="00794F02"/>
    <w:rsid w:val="00795038"/>
    <w:rsid w:val="007950C7"/>
    <w:rsid w:val="007952CE"/>
    <w:rsid w:val="00795379"/>
    <w:rsid w:val="007953F0"/>
    <w:rsid w:val="007954D5"/>
    <w:rsid w:val="007954F8"/>
    <w:rsid w:val="007955B3"/>
    <w:rsid w:val="0079563C"/>
    <w:rsid w:val="00795660"/>
    <w:rsid w:val="007957CC"/>
    <w:rsid w:val="0079581D"/>
    <w:rsid w:val="0079581F"/>
    <w:rsid w:val="00795939"/>
    <w:rsid w:val="0079593C"/>
    <w:rsid w:val="00795A27"/>
    <w:rsid w:val="00795A99"/>
    <w:rsid w:val="00795BE9"/>
    <w:rsid w:val="00795C07"/>
    <w:rsid w:val="00795DCB"/>
    <w:rsid w:val="00795E2A"/>
    <w:rsid w:val="00795E47"/>
    <w:rsid w:val="00795E88"/>
    <w:rsid w:val="00795EEC"/>
    <w:rsid w:val="00796104"/>
    <w:rsid w:val="00796262"/>
    <w:rsid w:val="00796394"/>
    <w:rsid w:val="00796407"/>
    <w:rsid w:val="00796411"/>
    <w:rsid w:val="00796495"/>
    <w:rsid w:val="0079658E"/>
    <w:rsid w:val="00796670"/>
    <w:rsid w:val="007967EA"/>
    <w:rsid w:val="00796835"/>
    <w:rsid w:val="0079697A"/>
    <w:rsid w:val="00796BB5"/>
    <w:rsid w:val="00796C68"/>
    <w:rsid w:val="00796E3E"/>
    <w:rsid w:val="00796FC9"/>
    <w:rsid w:val="007970A7"/>
    <w:rsid w:val="00797257"/>
    <w:rsid w:val="007974C9"/>
    <w:rsid w:val="007976C3"/>
    <w:rsid w:val="007976C6"/>
    <w:rsid w:val="007978B4"/>
    <w:rsid w:val="007978DE"/>
    <w:rsid w:val="00797AAB"/>
    <w:rsid w:val="00797B48"/>
    <w:rsid w:val="00797CA8"/>
    <w:rsid w:val="00797E42"/>
    <w:rsid w:val="00797ECB"/>
    <w:rsid w:val="00797F64"/>
    <w:rsid w:val="00797FB6"/>
    <w:rsid w:val="007A0084"/>
    <w:rsid w:val="007A026A"/>
    <w:rsid w:val="007A02D1"/>
    <w:rsid w:val="007A0330"/>
    <w:rsid w:val="007A0332"/>
    <w:rsid w:val="007A0469"/>
    <w:rsid w:val="007A0511"/>
    <w:rsid w:val="007A0521"/>
    <w:rsid w:val="007A05B5"/>
    <w:rsid w:val="007A0621"/>
    <w:rsid w:val="007A066E"/>
    <w:rsid w:val="007A0998"/>
    <w:rsid w:val="007A0A80"/>
    <w:rsid w:val="007A0ADE"/>
    <w:rsid w:val="007A0B9D"/>
    <w:rsid w:val="007A0BCD"/>
    <w:rsid w:val="007A0CE5"/>
    <w:rsid w:val="007A0D1A"/>
    <w:rsid w:val="007A0DE5"/>
    <w:rsid w:val="007A0E09"/>
    <w:rsid w:val="007A0F7C"/>
    <w:rsid w:val="007A0FE4"/>
    <w:rsid w:val="007A1025"/>
    <w:rsid w:val="007A11CC"/>
    <w:rsid w:val="007A11DC"/>
    <w:rsid w:val="007A14B1"/>
    <w:rsid w:val="007A14D4"/>
    <w:rsid w:val="007A1530"/>
    <w:rsid w:val="007A1638"/>
    <w:rsid w:val="007A169A"/>
    <w:rsid w:val="007A169D"/>
    <w:rsid w:val="007A1711"/>
    <w:rsid w:val="007A17DD"/>
    <w:rsid w:val="007A17EF"/>
    <w:rsid w:val="007A1815"/>
    <w:rsid w:val="007A18ED"/>
    <w:rsid w:val="007A19B3"/>
    <w:rsid w:val="007A1B20"/>
    <w:rsid w:val="007A1C6B"/>
    <w:rsid w:val="007A1D8A"/>
    <w:rsid w:val="007A1E81"/>
    <w:rsid w:val="007A1E9A"/>
    <w:rsid w:val="007A1F67"/>
    <w:rsid w:val="007A203D"/>
    <w:rsid w:val="007A2052"/>
    <w:rsid w:val="007A22C9"/>
    <w:rsid w:val="007A23C1"/>
    <w:rsid w:val="007A247A"/>
    <w:rsid w:val="007A2493"/>
    <w:rsid w:val="007A2537"/>
    <w:rsid w:val="007A2586"/>
    <w:rsid w:val="007A269C"/>
    <w:rsid w:val="007A28AE"/>
    <w:rsid w:val="007A28EB"/>
    <w:rsid w:val="007A293B"/>
    <w:rsid w:val="007A293E"/>
    <w:rsid w:val="007A2968"/>
    <w:rsid w:val="007A2B62"/>
    <w:rsid w:val="007A2BBE"/>
    <w:rsid w:val="007A2BFB"/>
    <w:rsid w:val="007A2D7D"/>
    <w:rsid w:val="007A2DEA"/>
    <w:rsid w:val="007A2E0A"/>
    <w:rsid w:val="007A2EC1"/>
    <w:rsid w:val="007A2FE1"/>
    <w:rsid w:val="007A3005"/>
    <w:rsid w:val="007A300D"/>
    <w:rsid w:val="007A308D"/>
    <w:rsid w:val="007A3122"/>
    <w:rsid w:val="007A3189"/>
    <w:rsid w:val="007A3268"/>
    <w:rsid w:val="007A3323"/>
    <w:rsid w:val="007A34C8"/>
    <w:rsid w:val="007A3621"/>
    <w:rsid w:val="007A3649"/>
    <w:rsid w:val="007A3714"/>
    <w:rsid w:val="007A37B4"/>
    <w:rsid w:val="007A37C8"/>
    <w:rsid w:val="007A387C"/>
    <w:rsid w:val="007A38C0"/>
    <w:rsid w:val="007A38DF"/>
    <w:rsid w:val="007A3986"/>
    <w:rsid w:val="007A3ADF"/>
    <w:rsid w:val="007A3BA8"/>
    <w:rsid w:val="007A3C7E"/>
    <w:rsid w:val="007A3CB2"/>
    <w:rsid w:val="007A3EC4"/>
    <w:rsid w:val="007A3FF4"/>
    <w:rsid w:val="007A4025"/>
    <w:rsid w:val="007A4087"/>
    <w:rsid w:val="007A418F"/>
    <w:rsid w:val="007A41B0"/>
    <w:rsid w:val="007A4346"/>
    <w:rsid w:val="007A437A"/>
    <w:rsid w:val="007A4419"/>
    <w:rsid w:val="007A4479"/>
    <w:rsid w:val="007A44BA"/>
    <w:rsid w:val="007A4567"/>
    <w:rsid w:val="007A4627"/>
    <w:rsid w:val="007A46AB"/>
    <w:rsid w:val="007A46BC"/>
    <w:rsid w:val="007A46DA"/>
    <w:rsid w:val="007A4806"/>
    <w:rsid w:val="007A4855"/>
    <w:rsid w:val="007A49B6"/>
    <w:rsid w:val="007A4C07"/>
    <w:rsid w:val="007A4DA5"/>
    <w:rsid w:val="007A4DC6"/>
    <w:rsid w:val="007A4E77"/>
    <w:rsid w:val="007A4ECE"/>
    <w:rsid w:val="007A4EFF"/>
    <w:rsid w:val="007A4F7A"/>
    <w:rsid w:val="007A4FC3"/>
    <w:rsid w:val="007A50C4"/>
    <w:rsid w:val="007A5167"/>
    <w:rsid w:val="007A518E"/>
    <w:rsid w:val="007A520B"/>
    <w:rsid w:val="007A53A5"/>
    <w:rsid w:val="007A5406"/>
    <w:rsid w:val="007A54AD"/>
    <w:rsid w:val="007A5564"/>
    <w:rsid w:val="007A5579"/>
    <w:rsid w:val="007A558E"/>
    <w:rsid w:val="007A5595"/>
    <w:rsid w:val="007A55CD"/>
    <w:rsid w:val="007A5624"/>
    <w:rsid w:val="007A5678"/>
    <w:rsid w:val="007A56FD"/>
    <w:rsid w:val="007A58CD"/>
    <w:rsid w:val="007A5A1B"/>
    <w:rsid w:val="007A5A5C"/>
    <w:rsid w:val="007A5AA7"/>
    <w:rsid w:val="007A5B39"/>
    <w:rsid w:val="007A5E1D"/>
    <w:rsid w:val="007A5F90"/>
    <w:rsid w:val="007A60B5"/>
    <w:rsid w:val="007A6189"/>
    <w:rsid w:val="007A6243"/>
    <w:rsid w:val="007A6281"/>
    <w:rsid w:val="007A6355"/>
    <w:rsid w:val="007A645A"/>
    <w:rsid w:val="007A6479"/>
    <w:rsid w:val="007A653A"/>
    <w:rsid w:val="007A6542"/>
    <w:rsid w:val="007A663A"/>
    <w:rsid w:val="007A6759"/>
    <w:rsid w:val="007A68A6"/>
    <w:rsid w:val="007A6A5B"/>
    <w:rsid w:val="007A6A8D"/>
    <w:rsid w:val="007A6B3A"/>
    <w:rsid w:val="007A6BA4"/>
    <w:rsid w:val="007A6D2C"/>
    <w:rsid w:val="007A6F6C"/>
    <w:rsid w:val="007A728A"/>
    <w:rsid w:val="007A72EE"/>
    <w:rsid w:val="007A72F3"/>
    <w:rsid w:val="007A73A7"/>
    <w:rsid w:val="007A73F9"/>
    <w:rsid w:val="007A75F6"/>
    <w:rsid w:val="007A764D"/>
    <w:rsid w:val="007A7C73"/>
    <w:rsid w:val="007A7CA0"/>
    <w:rsid w:val="007A7DDD"/>
    <w:rsid w:val="007A7DFC"/>
    <w:rsid w:val="007A7FC5"/>
    <w:rsid w:val="007AAE4E"/>
    <w:rsid w:val="007B003C"/>
    <w:rsid w:val="007B011F"/>
    <w:rsid w:val="007B0133"/>
    <w:rsid w:val="007B014C"/>
    <w:rsid w:val="007B0293"/>
    <w:rsid w:val="007B02B7"/>
    <w:rsid w:val="007B030E"/>
    <w:rsid w:val="007B03B6"/>
    <w:rsid w:val="007B047B"/>
    <w:rsid w:val="007B05D3"/>
    <w:rsid w:val="007B0638"/>
    <w:rsid w:val="007B08B7"/>
    <w:rsid w:val="007B0901"/>
    <w:rsid w:val="007B0989"/>
    <w:rsid w:val="007B0A14"/>
    <w:rsid w:val="007B0A38"/>
    <w:rsid w:val="007B0B84"/>
    <w:rsid w:val="007B0BE2"/>
    <w:rsid w:val="007B0CCA"/>
    <w:rsid w:val="007B0DF5"/>
    <w:rsid w:val="007B0E42"/>
    <w:rsid w:val="007B0EC1"/>
    <w:rsid w:val="007B0FF3"/>
    <w:rsid w:val="007B1063"/>
    <w:rsid w:val="007B119B"/>
    <w:rsid w:val="007B1245"/>
    <w:rsid w:val="007B126A"/>
    <w:rsid w:val="007B1327"/>
    <w:rsid w:val="007B1346"/>
    <w:rsid w:val="007B134B"/>
    <w:rsid w:val="007B13DA"/>
    <w:rsid w:val="007B15A9"/>
    <w:rsid w:val="007B15D9"/>
    <w:rsid w:val="007B1605"/>
    <w:rsid w:val="007B166C"/>
    <w:rsid w:val="007B166E"/>
    <w:rsid w:val="007B19A7"/>
    <w:rsid w:val="007B1ADB"/>
    <w:rsid w:val="007B1AFA"/>
    <w:rsid w:val="007B1BB1"/>
    <w:rsid w:val="007B1C82"/>
    <w:rsid w:val="007B1E2A"/>
    <w:rsid w:val="007B1E70"/>
    <w:rsid w:val="007B1EA6"/>
    <w:rsid w:val="007B1F4F"/>
    <w:rsid w:val="007B1F67"/>
    <w:rsid w:val="007B1FA4"/>
    <w:rsid w:val="007B1FB2"/>
    <w:rsid w:val="007B1FC9"/>
    <w:rsid w:val="007B2005"/>
    <w:rsid w:val="007B2022"/>
    <w:rsid w:val="007B20EE"/>
    <w:rsid w:val="007B223C"/>
    <w:rsid w:val="007B23D9"/>
    <w:rsid w:val="007B2449"/>
    <w:rsid w:val="007B2918"/>
    <w:rsid w:val="007B295A"/>
    <w:rsid w:val="007B29D9"/>
    <w:rsid w:val="007B2A92"/>
    <w:rsid w:val="007B2AA5"/>
    <w:rsid w:val="007B2B57"/>
    <w:rsid w:val="007B2B83"/>
    <w:rsid w:val="007B2C67"/>
    <w:rsid w:val="007B2C74"/>
    <w:rsid w:val="007B2DD4"/>
    <w:rsid w:val="007B2E30"/>
    <w:rsid w:val="007B2E6B"/>
    <w:rsid w:val="007B2EC1"/>
    <w:rsid w:val="007B2F41"/>
    <w:rsid w:val="007B2F43"/>
    <w:rsid w:val="007B307E"/>
    <w:rsid w:val="007B3141"/>
    <w:rsid w:val="007B32FB"/>
    <w:rsid w:val="007B338D"/>
    <w:rsid w:val="007B3422"/>
    <w:rsid w:val="007B3481"/>
    <w:rsid w:val="007B34C4"/>
    <w:rsid w:val="007B35EA"/>
    <w:rsid w:val="007B3602"/>
    <w:rsid w:val="007B36CE"/>
    <w:rsid w:val="007B374D"/>
    <w:rsid w:val="007B3857"/>
    <w:rsid w:val="007B38E0"/>
    <w:rsid w:val="007B3A4E"/>
    <w:rsid w:val="007B3B1C"/>
    <w:rsid w:val="007B3C72"/>
    <w:rsid w:val="007B3C80"/>
    <w:rsid w:val="007B3CA4"/>
    <w:rsid w:val="007B3D2B"/>
    <w:rsid w:val="007B3D3C"/>
    <w:rsid w:val="007B3D43"/>
    <w:rsid w:val="007B3DA4"/>
    <w:rsid w:val="007B3E70"/>
    <w:rsid w:val="007B4101"/>
    <w:rsid w:val="007B4182"/>
    <w:rsid w:val="007B418B"/>
    <w:rsid w:val="007B445A"/>
    <w:rsid w:val="007B44FB"/>
    <w:rsid w:val="007B4541"/>
    <w:rsid w:val="007B469C"/>
    <w:rsid w:val="007B4962"/>
    <w:rsid w:val="007B4BE6"/>
    <w:rsid w:val="007B4D27"/>
    <w:rsid w:val="007B4DBD"/>
    <w:rsid w:val="007B4DD3"/>
    <w:rsid w:val="007B4E2A"/>
    <w:rsid w:val="007B4E97"/>
    <w:rsid w:val="007B4EE7"/>
    <w:rsid w:val="007B4F72"/>
    <w:rsid w:val="007B5039"/>
    <w:rsid w:val="007B5181"/>
    <w:rsid w:val="007B528E"/>
    <w:rsid w:val="007B53A0"/>
    <w:rsid w:val="007B53C7"/>
    <w:rsid w:val="007B545E"/>
    <w:rsid w:val="007B55D0"/>
    <w:rsid w:val="007B5650"/>
    <w:rsid w:val="007B5654"/>
    <w:rsid w:val="007B5726"/>
    <w:rsid w:val="007B57B3"/>
    <w:rsid w:val="007B57EF"/>
    <w:rsid w:val="007B57FE"/>
    <w:rsid w:val="007B58E9"/>
    <w:rsid w:val="007B5B32"/>
    <w:rsid w:val="007B5C57"/>
    <w:rsid w:val="007B5D61"/>
    <w:rsid w:val="007B5E70"/>
    <w:rsid w:val="007B5E8B"/>
    <w:rsid w:val="007B6003"/>
    <w:rsid w:val="007B6040"/>
    <w:rsid w:val="007B6045"/>
    <w:rsid w:val="007B60B6"/>
    <w:rsid w:val="007B625B"/>
    <w:rsid w:val="007B62E9"/>
    <w:rsid w:val="007B6392"/>
    <w:rsid w:val="007B6419"/>
    <w:rsid w:val="007B642D"/>
    <w:rsid w:val="007B6474"/>
    <w:rsid w:val="007B648E"/>
    <w:rsid w:val="007B6557"/>
    <w:rsid w:val="007B6578"/>
    <w:rsid w:val="007B65CB"/>
    <w:rsid w:val="007B68EA"/>
    <w:rsid w:val="007B68F4"/>
    <w:rsid w:val="007B6A12"/>
    <w:rsid w:val="007B6AEB"/>
    <w:rsid w:val="007B6B6C"/>
    <w:rsid w:val="007B6BBA"/>
    <w:rsid w:val="007B6C0B"/>
    <w:rsid w:val="007B6D4E"/>
    <w:rsid w:val="007B700F"/>
    <w:rsid w:val="007B7084"/>
    <w:rsid w:val="007B7105"/>
    <w:rsid w:val="007B712A"/>
    <w:rsid w:val="007B7139"/>
    <w:rsid w:val="007B72CD"/>
    <w:rsid w:val="007B72EB"/>
    <w:rsid w:val="007B740C"/>
    <w:rsid w:val="007B7747"/>
    <w:rsid w:val="007B7957"/>
    <w:rsid w:val="007B7AF1"/>
    <w:rsid w:val="007B7BDF"/>
    <w:rsid w:val="007B7C4B"/>
    <w:rsid w:val="007B7CE3"/>
    <w:rsid w:val="007B7E03"/>
    <w:rsid w:val="007B7E22"/>
    <w:rsid w:val="007C0054"/>
    <w:rsid w:val="007C010D"/>
    <w:rsid w:val="007C014D"/>
    <w:rsid w:val="007C017F"/>
    <w:rsid w:val="007C0243"/>
    <w:rsid w:val="007C04EF"/>
    <w:rsid w:val="007C0573"/>
    <w:rsid w:val="007C0624"/>
    <w:rsid w:val="007C0658"/>
    <w:rsid w:val="007C068D"/>
    <w:rsid w:val="007C06CF"/>
    <w:rsid w:val="007C0718"/>
    <w:rsid w:val="007C09A1"/>
    <w:rsid w:val="007C0AAE"/>
    <w:rsid w:val="007C0AFB"/>
    <w:rsid w:val="007C0B7B"/>
    <w:rsid w:val="007C0CB0"/>
    <w:rsid w:val="007C0DE2"/>
    <w:rsid w:val="007C0E85"/>
    <w:rsid w:val="007C0EA7"/>
    <w:rsid w:val="007C0F48"/>
    <w:rsid w:val="007C107B"/>
    <w:rsid w:val="007C1243"/>
    <w:rsid w:val="007C13DF"/>
    <w:rsid w:val="007C1435"/>
    <w:rsid w:val="007C1460"/>
    <w:rsid w:val="007C1536"/>
    <w:rsid w:val="007C15F3"/>
    <w:rsid w:val="007C17CA"/>
    <w:rsid w:val="007C17F3"/>
    <w:rsid w:val="007C18CF"/>
    <w:rsid w:val="007C18F1"/>
    <w:rsid w:val="007C1B16"/>
    <w:rsid w:val="007C1C19"/>
    <w:rsid w:val="007C1C53"/>
    <w:rsid w:val="007C1CBC"/>
    <w:rsid w:val="007C1CCA"/>
    <w:rsid w:val="007C1D04"/>
    <w:rsid w:val="007C1D66"/>
    <w:rsid w:val="007C205B"/>
    <w:rsid w:val="007C211A"/>
    <w:rsid w:val="007C2360"/>
    <w:rsid w:val="007C2417"/>
    <w:rsid w:val="007C2519"/>
    <w:rsid w:val="007C2544"/>
    <w:rsid w:val="007C25BB"/>
    <w:rsid w:val="007C25C8"/>
    <w:rsid w:val="007C2679"/>
    <w:rsid w:val="007C269C"/>
    <w:rsid w:val="007C2786"/>
    <w:rsid w:val="007C27A6"/>
    <w:rsid w:val="007C27FF"/>
    <w:rsid w:val="007C2A0E"/>
    <w:rsid w:val="007C2B60"/>
    <w:rsid w:val="007C2BCC"/>
    <w:rsid w:val="007C2C08"/>
    <w:rsid w:val="007C2E0A"/>
    <w:rsid w:val="007C2FFB"/>
    <w:rsid w:val="007C3086"/>
    <w:rsid w:val="007C3096"/>
    <w:rsid w:val="007C30AC"/>
    <w:rsid w:val="007C3100"/>
    <w:rsid w:val="007C319F"/>
    <w:rsid w:val="007C31F4"/>
    <w:rsid w:val="007C327C"/>
    <w:rsid w:val="007C3491"/>
    <w:rsid w:val="007C3549"/>
    <w:rsid w:val="007C3680"/>
    <w:rsid w:val="007C39A7"/>
    <w:rsid w:val="007C3B9A"/>
    <w:rsid w:val="007C3C23"/>
    <w:rsid w:val="007C3E38"/>
    <w:rsid w:val="007C3E72"/>
    <w:rsid w:val="007C3F85"/>
    <w:rsid w:val="007C4051"/>
    <w:rsid w:val="007C441D"/>
    <w:rsid w:val="007C456E"/>
    <w:rsid w:val="007C457C"/>
    <w:rsid w:val="007C4617"/>
    <w:rsid w:val="007C463C"/>
    <w:rsid w:val="007C46E8"/>
    <w:rsid w:val="007C499F"/>
    <w:rsid w:val="007C4A71"/>
    <w:rsid w:val="007C4C12"/>
    <w:rsid w:val="007C4CAA"/>
    <w:rsid w:val="007C4CBB"/>
    <w:rsid w:val="007C4ECB"/>
    <w:rsid w:val="007C4EE4"/>
    <w:rsid w:val="007C4F1D"/>
    <w:rsid w:val="007C50CE"/>
    <w:rsid w:val="007C51D2"/>
    <w:rsid w:val="007C52B0"/>
    <w:rsid w:val="007C557F"/>
    <w:rsid w:val="007C55C7"/>
    <w:rsid w:val="007C56B4"/>
    <w:rsid w:val="007C56F8"/>
    <w:rsid w:val="007C5851"/>
    <w:rsid w:val="007C5865"/>
    <w:rsid w:val="007C5889"/>
    <w:rsid w:val="007C5898"/>
    <w:rsid w:val="007C58F4"/>
    <w:rsid w:val="007C59B4"/>
    <w:rsid w:val="007C5C2F"/>
    <w:rsid w:val="007C5C48"/>
    <w:rsid w:val="007C5F06"/>
    <w:rsid w:val="007C5FF2"/>
    <w:rsid w:val="007C6047"/>
    <w:rsid w:val="007C60DA"/>
    <w:rsid w:val="007C615F"/>
    <w:rsid w:val="007C6341"/>
    <w:rsid w:val="007C653A"/>
    <w:rsid w:val="007C6546"/>
    <w:rsid w:val="007C65C9"/>
    <w:rsid w:val="007C6613"/>
    <w:rsid w:val="007C6616"/>
    <w:rsid w:val="007C6623"/>
    <w:rsid w:val="007C6736"/>
    <w:rsid w:val="007C686E"/>
    <w:rsid w:val="007C695A"/>
    <w:rsid w:val="007C6AAB"/>
    <w:rsid w:val="007C6ACA"/>
    <w:rsid w:val="007C6ACC"/>
    <w:rsid w:val="007C6AED"/>
    <w:rsid w:val="007C6B13"/>
    <w:rsid w:val="007C6B4A"/>
    <w:rsid w:val="007C6BFE"/>
    <w:rsid w:val="007C6DF8"/>
    <w:rsid w:val="007C6E0F"/>
    <w:rsid w:val="007C6E74"/>
    <w:rsid w:val="007C6EB5"/>
    <w:rsid w:val="007C6EDE"/>
    <w:rsid w:val="007C6FCE"/>
    <w:rsid w:val="007C708B"/>
    <w:rsid w:val="007C71BF"/>
    <w:rsid w:val="007C725D"/>
    <w:rsid w:val="007C7378"/>
    <w:rsid w:val="007C7421"/>
    <w:rsid w:val="007C74A3"/>
    <w:rsid w:val="007C74B3"/>
    <w:rsid w:val="007C7525"/>
    <w:rsid w:val="007C752B"/>
    <w:rsid w:val="007C75E8"/>
    <w:rsid w:val="007C7630"/>
    <w:rsid w:val="007C7644"/>
    <w:rsid w:val="007C7665"/>
    <w:rsid w:val="007C7668"/>
    <w:rsid w:val="007C789E"/>
    <w:rsid w:val="007C79FE"/>
    <w:rsid w:val="007C7AD2"/>
    <w:rsid w:val="007C7B6B"/>
    <w:rsid w:val="007C7BDB"/>
    <w:rsid w:val="007C7CAE"/>
    <w:rsid w:val="007C7DBC"/>
    <w:rsid w:val="007D00DB"/>
    <w:rsid w:val="007D01F6"/>
    <w:rsid w:val="007D02BB"/>
    <w:rsid w:val="007D0594"/>
    <w:rsid w:val="007D0801"/>
    <w:rsid w:val="007D0817"/>
    <w:rsid w:val="007D0849"/>
    <w:rsid w:val="007D085D"/>
    <w:rsid w:val="007D097D"/>
    <w:rsid w:val="007D0B93"/>
    <w:rsid w:val="007D0BDE"/>
    <w:rsid w:val="007D0D32"/>
    <w:rsid w:val="007D0E61"/>
    <w:rsid w:val="007D0EEC"/>
    <w:rsid w:val="007D0F73"/>
    <w:rsid w:val="007D1085"/>
    <w:rsid w:val="007D1141"/>
    <w:rsid w:val="007D1203"/>
    <w:rsid w:val="007D146E"/>
    <w:rsid w:val="007D14BF"/>
    <w:rsid w:val="007D15C3"/>
    <w:rsid w:val="007D16BD"/>
    <w:rsid w:val="007D1916"/>
    <w:rsid w:val="007D1ADE"/>
    <w:rsid w:val="007D1BB3"/>
    <w:rsid w:val="007D1D07"/>
    <w:rsid w:val="007D1D8F"/>
    <w:rsid w:val="007D1DF9"/>
    <w:rsid w:val="007D1E72"/>
    <w:rsid w:val="007D1EC5"/>
    <w:rsid w:val="007D1F0E"/>
    <w:rsid w:val="007D20B6"/>
    <w:rsid w:val="007D215B"/>
    <w:rsid w:val="007D217A"/>
    <w:rsid w:val="007D2199"/>
    <w:rsid w:val="007D21FD"/>
    <w:rsid w:val="007D2272"/>
    <w:rsid w:val="007D245D"/>
    <w:rsid w:val="007D2538"/>
    <w:rsid w:val="007D25C4"/>
    <w:rsid w:val="007D26DC"/>
    <w:rsid w:val="007D27DD"/>
    <w:rsid w:val="007D2886"/>
    <w:rsid w:val="007D2947"/>
    <w:rsid w:val="007D29A8"/>
    <w:rsid w:val="007D29FB"/>
    <w:rsid w:val="007D2A06"/>
    <w:rsid w:val="007D2AA3"/>
    <w:rsid w:val="007D2AAB"/>
    <w:rsid w:val="007D2B0A"/>
    <w:rsid w:val="007D2B14"/>
    <w:rsid w:val="007D2B83"/>
    <w:rsid w:val="007D2BEC"/>
    <w:rsid w:val="007D2C07"/>
    <w:rsid w:val="007D2E03"/>
    <w:rsid w:val="007D2E39"/>
    <w:rsid w:val="007D3139"/>
    <w:rsid w:val="007D330E"/>
    <w:rsid w:val="007D3323"/>
    <w:rsid w:val="007D33B4"/>
    <w:rsid w:val="007D34A4"/>
    <w:rsid w:val="007D34EB"/>
    <w:rsid w:val="007D35FF"/>
    <w:rsid w:val="007D36F4"/>
    <w:rsid w:val="007D3786"/>
    <w:rsid w:val="007D39C6"/>
    <w:rsid w:val="007D39CB"/>
    <w:rsid w:val="007D3B5C"/>
    <w:rsid w:val="007D3BA5"/>
    <w:rsid w:val="007D3C84"/>
    <w:rsid w:val="007D3E3B"/>
    <w:rsid w:val="007D3E57"/>
    <w:rsid w:val="007D3FBB"/>
    <w:rsid w:val="007D4028"/>
    <w:rsid w:val="007D4053"/>
    <w:rsid w:val="007D4063"/>
    <w:rsid w:val="007D408C"/>
    <w:rsid w:val="007D41CC"/>
    <w:rsid w:val="007D4229"/>
    <w:rsid w:val="007D425F"/>
    <w:rsid w:val="007D462F"/>
    <w:rsid w:val="007D4648"/>
    <w:rsid w:val="007D4715"/>
    <w:rsid w:val="007D475C"/>
    <w:rsid w:val="007D47A0"/>
    <w:rsid w:val="007D48ED"/>
    <w:rsid w:val="007D49F8"/>
    <w:rsid w:val="007D4A25"/>
    <w:rsid w:val="007D4D96"/>
    <w:rsid w:val="007D4DCC"/>
    <w:rsid w:val="007D4F82"/>
    <w:rsid w:val="007D509A"/>
    <w:rsid w:val="007D5109"/>
    <w:rsid w:val="007D510E"/>
    <w:rsid w:val="007D513E"/>
    <w:rsid w:val="007D51FC"/>
    <w:rsid w:val="007D5267"/>
    <w:rsid w:val="007D52ED"/>
    <w:rsid w:val="007D534E"/>
    <w:rsid w:val="007D54BD"/>
    <w:rsid w:val="007D5537"/>
    <w:rsid w:val="007D5607"/>
    <w:rsid w:val="007D56D0"/>
    <w:rsid w:val="007D58AF"/>
    <w:rsid w:val="007D5934"/>
    <w:rsid w:val="007D59B3"/>
    <w:rsid w:val="007D5A09"/>
    <w:rsid w:val="007D5B81"/>
    <w:rsid w:val="007D5C10"/>
    <w:rsid w:val="007D5CD9"/>
    <w:rsid w:val="007D5D3B"/>
    <w:rsid w:val="007D5EB6"/>
    <w:rsid w:val="007D5F34"/>
    <w:rsid w:val="007D61BD"/>
    <w:rsid w:val="007D626C"/>
    <w:rsid w:val="007D6377"/>
    <w:rsid w:val="007D6397"/>
    <w:rsid w:val="007D63F0"/>
    <w:rsid w:val="007D64C5"/>
    <w:rsid w:val="007D6647"/>
    <w:rsid w:val="007D668D"/>
    <w:rsid w:val="007D670F"/>
    <w:rsid w:val="007D67B0"/>
    <w:rsid w:val="007D683E"/>
    <w:rsid w:val="007D68B1"/>
    <w:rsid w:val="007D6902"/>
    <w:rsid w:val="007D6905"/>
    <w:rsid w:val="007D695A"/>
    <w:rsid w:val="007D6A0A"/>
    <w:rsid w:val="007D6B2E"/>
    <w:rsid w:val="007D6B41"/>
    <w:rsid w:val="007D6C5F"/>
    <w:rsid w:val="007D6D4E"/>
    <w:rsid w:val="007D6F24"/>
    <w:rsid w:val="007D7021"/>
    <w:rsid w:val="007D7127"/>
    <w:rsid w:val="007D72A1"/>
    <w:rsid w:val="007D72FA"/>
    <w:rsid w:val="007D72FF"/>
    <w:rsid w:val="007D73E4"/>
    <w:rsid w:val="007D75FA"/>
    <w:rsid w:val="007D7624"/>
    <w:rsid w:val="007D76F8"/>
    <w:rsid w:val="007D781C"/>
    <w:rsid w:val="007D782D"/>
    <w:rsid w:val="007D7920"/>
    <w:rsid w:val="007D7951"/>
    <w:rsid w:val="007D797B"/>
    <w:rsid w:val="007D7A68"/>
    <w:rsid w:val="007D7B50"/>
    <w:rsid w:val="007D7D4C"/>
    <w:rsid w:val="007D7E00"/>
    <w:rsid w:val="007D7EC1"/>
    <w:rsid w:val="007D7F3E"/>
    <w:rsid w:val="007E007D"/>
    <w:rsid w:val="007E00BA"/>
    <w:rsid w:val="007E01B7"/>
    <w:rsid w:val="007E0208"/>
    <w:rsid w:val="007E0271"/>
    <w:rsid w:val="007E02A1"/>
    <w:rsid w:val="007E03A3"/>
    <w:rsid w:val="007E03B0"/>
    <w:rsid w:val="007E0773"/>
    <w:rsid w:val="007E07D8"/>
    <w:rsid w:val="007E07DD"/>
    <w:rsid w:val="007E0938"/>
    <w:rsid w:val="007E0A92"/>
    <w:rsid w:val="007E0A95"/>
    <w:rsid w:val="007E0B02"/>
    <w:rsid w:val="007E0B21"/>
    <w:rsid w:val="007E0D6B"/>
    <w:rsid w:val="007E0DF8"/>
    <w:rsid w:val="007E0F19"/>
    <w:rsid w:val="007E0F85"/>
    <w:rsid w:val="007E10D5"/>
    <w:rsid w:val="007E1170"/>
    <w:rsid w:val="007E1181"/>
    <w:rsid w:val="007E1307"/>
    <w:rsid w:val="007E131F"/>
    <w:rsid w:val="007E13A3"/>
    <w:rsid w:val="007E1480"/>
    <w:rsid w:val="007E14A6"/>
    <w:rsid w:val="007E14BA"/>
    <w:rsid w:val="007E14EF"/>
    <w:rsid w:val="007E156E"/>
    <w:rsid w:val="007E1588"/>
    <w:rsid w:val="007E15B1"/>
    <w:rsid w:val="007E17E5"/>
    <w:rsid w:val="007E186D"/>
    <w:rsid w:val="007E19DE"/>
    <w:rsid w:val="007E1A4C"/>
    <w:rsid w:val="007E1BC1"/>
    <w:rsid w:val="007E1BDE"/>
    <w:rsid w:val="007E1BE8"/>
    <w:rsid w:val="007E1CD5"/>
    <w:rsid w:val="007E1CEB"/>
    <w:rsid w:val="007E1E42"/>
    <w:rsid w:val="007E1F09"/>
    <w:rsid w:val="007E1F58"/>
    <w:rsid w:val="007E1F97"/>
    <w:rsid w:val="007E21EA"/>
    <w:rsid w:val="007E2216"/>
    <w:rsid w:val="007E2295"/>
    <w:rsid w:val="007E2307"/>
    <w:rsid w:val="007E23D5"/>
    <w:rsid w:val="007E24B3"/>
    <w:rsid w:val="007E24DF"/>
    <w:rsid w:val="007E265A"/>
    <w:rsid w:val="007E271A"/>
    <w:rsid w:val="007E2BFB"/>
    <w:rsid w:val="007E2D39"/>
    <w:rsid w:val="007E2DB8"/>
    <w:rsid w:val="007E2DBB"/>
    <w:rsid w:val="007E2DE2"/>
    <w:rsid w:val="007E2E3D"/>
    <w:rsid w:val="007E2E72"/>
    <w:rsid w:val="007E2EB4"/>
    <w:rsid w:val="007E2EF7"/>
    <w:rsid w:val="007E2F0B"/>
    <w:rsid w:val="007E2FCD"/>
    <w:rsid w:val="007E2FF2"/>
    <w:rsid w:val="007E32A8"/>
    <w:rsid w:val="007E330A"/>
    <w:rsid w:val="007E3504"/>
    <w:rsid w:val="007E3678"/>
    <w:rsid w:val="007E36FA"/>
    <w:rsid w:val="007E37C0"/>
    <w:rsid w:val="007E39FD"/>
    <w:rsid w:val="007E3BA6"/>
    <w:rsid w:val="007E3C38"/>
    <w:rsid w:val="007E3C67"/>
    <w:rsid w:val="007E3CAB"/>
    <w:rsid w:val="007E3ECC"/>
    <w:rsid w:val="007E3ED5"/>
    <w:rsid w:val="007E3FED"/>
    <w:rsid w:val="007E40FA"/>
    <w:rsid w:val="007E4120"/>
    <w:rsid w:val="007E41C4"/>
    <w:rsid w:val="007E4218"/>
    <w:rsid w:val="007E425E"/>
    <w:rsid w:val="007E4272"/>
    <w:rsid w:val="007E4320"/>
    <w:rsid w:val="007E4349"/>
    <w:rsid w:val="007E43D4"/>
    <w:rsid w:val="007E43E9"/>
    <w:rsid w:val="007E445A"/>
    <w:rsid w:val="007E44D6"/>
    <w:rsid w:val="007E44F3"/>
    <w:rsid w:val="007E4598"/>
    <w:rsid w:val="007E45C5"/>
    <w:rsid w:val="007E47AE"/>
    <w:rsid w:val="007E4841"/>
    <w:rsid w:val="007E48A4"/>
    <w:rsid w:val="007E48DD"/>
    <w:rsid w:val="007E491E"/>
    <w:rsid w:val="007E4B1B"/>
    <w:rsid w:val="007E4BAF"/>
    <w:rsid w:val="007E4BF5"/>
    <w:rsid w:val="007E4EE4"/>
    <w:rsid w:val="007E50DA"/>
    <w:rsid w:val="007E5140"/>
    <w:rsid w:val="007E5219"/>
    <w:rsid w:val="007E526F"/>
    <w:rsid w:val="007E52FD"/>
    <w:rsid w:val="007E5308"/>
    <w:rsid w:val="007E53EB"/>
    <w:rsid w:val="007E5457"/>
    <w:rsid w:val="007E546C"/>
    <w:rsid w:val="007E55F0"/>
    <w:rsid w:val="007E5684"/>
    <w:rsid w:val="007E56D4"/>
    <w:rsid w:val="007E56F1"/>
    <w:rsid w:val="007E57D1"/>
    <w:rsid w:val="007E57F9"/>
    <w:rsid w:val="007E58B5"/>
    <w:rsid w:val="007E591D"/>
    <w:rsid w:val="007E5968"/>
    <w:rsid w:val="007E5A60"/>
    <w:rsid w:val="007E5C06"/>
    <w:rsid w:val="007E5C78"/>
    <w:rsid w:val="007E5E23"/>
    <w:rsid w:val="007E5F51"/>
    <w:rsid w:val="007E5F91"/>
    <w:rsid w:val="007E5FF4"/>
    <w:rsid w:val="007E61BA"/>
    <w:rsid w:val="007E623B"/>
    <w:rsid w:val="007E625E"/>
    <w:rsid w:val="007E628B"/>
    <w:rsid w:val="007E649E"/>
    <w:rsid w:val="007E64AB"/>
    <w:rsid w:val="007E6534"/>
    <w:rsid w:val="007E6582"/>
    <w:rsid w:val="007E666F"/>
    <w:rsid w:val="007E6732"/>
    <w:rsid w:val="007E677B"/>
    <w:rsid w:val="007E67CD"/>
    <w:rsid w:val="007E68D7"/>
    <w:rsid w:val="007E68DB"/>
    <w:rsid w:val="007E6A50"/>
    <w:rsid w:val="007E6C5E"/>
    <w:rsid w:val="007E6CCB"/>
    <w:rsid w:val="007E6D75"/>
    <w:rsid w:val="007E6D9B"/>
    <w:rsid w:val="007E6DA2"/>
    <w:rsid w:val="007E6F10"/>
    <w:rsid w:val="007E7069"/>
    <w:rsid w:val="007E70C0"/>
    <w:rsid w:val="007E7107"/>
    <w:rsid w:val="007E71C6"/>
    <w:rsid w:val="007E72CC"/>
    <w:rsid w:val="007E74AB"/>
    <w:rsid w:val="007E74C8"/>
    <w:rsid w:val="007E75D8"/>
    <w:rsid w:val="007E768D"/>
    <w:rsid w:val="007E76CE"/>
    <w:rsid w:val="007E7735"/>
    <w:rsid w:val="007E787D"/>
    <w:rsid w:val="007E78BD"/>
    <w:rsid w:val="007E79FD"/>
    <w:rsid w:val="007E7A30"/>
    <w:rsid w:val="007E7B18"/>
    <w:rsid w:val="007E7BE4"/>
    <w:rsid w:val="007E7BEE"/>
    <w:rsid w:val="007E7C9C"/>
    <w:rsid w:val="007E7CBB"/>
    <w:rsid w:val="007E7E0C"/>
    <w:rsid w:val="007E7E8F"/>
    <w:rsid w:val="007E7EBF"/>
    <w:rsid w:val="007E7F5B"/>
    <w:rsid w:val="007E7FA2"/>
    <w:rsid w:val="007E7FC0"/>
    <w:rsid w:val="007F02E3"/>
    <w:rsid w:val="007F0378"/>
    <w:rsid w:val="007F0551"/>
    <w:rsid w:val="007F055C"/>
    <w:rsid w:val="007F0616"/>
    <w:rsid w:val="007F0630"/>
    <w:rsid w:val="007F0673"/>
    <w:rsid w:val="007F06B2"/>
    <w:rsid w:val="007F082E"/>
    <w:rsid w:val="007F0987"/>
    <w:rsid w:val="007F0A7E"/>
    <w:rsid w:val="007F0AD1"/>
    <w:rsid w:val="007F0B92"/>
    <w:rsid w:val="007F0C03"/>
    <w:rsid w:val="007F0C4D"/>
    <w:rsid w:val="007F0CE0"/>
    <w:rsid w:val="007F0D47"/>
    <w:rsid w:val="007F0E23"/>
    <w:rsid w:val="007F0E39"/>
    <w:rsid w:val="007F0FE6"/>
    <w:rsid w:val="007F1007"/>
    <w:rsid w:val="007F117B"/>
    <w:rsid w:val="007F11CC"/>
    <w:rsid w:val="007F123B"/>
    <w:rsid w:val="007F13A6"/>
    <w:rsid w:val="007F13AE"/>
    <w:rsid w:val="007F1578"/>
    <w:rsid w:val="007F164C"/>
    <w:rsid w:val="007F167C"/>
    <w:rsid w:val="007F1707"/>
    <w:rsid w:val="007F1878"/>
    <w:rsid w:val="007F18B5"/>
    <w:rsid w:val="007F18BE"/>
    <w:rsid w:val="007F18C0"/>
    <w:rsid w:val="007F198A"/>
    <w:rsid w:val="007F1A4E"/>
    <w:rsid w:val="007F1AC2"/>
    <w:rsid w:val="007F1D0E"/>
    <w:rsid w:val="007F1D1E"/>
    <w:rsid w:val="007F1D26"/>
    <w:rsid w:val="007F1DC1"/>
    <w:rsid w:val="007F1E0B"/>
    <w:rsid w:val="007F1E3C"/>
    <w:rsid w:val="007F1E9B"/>
    <w:rsid w:val="007F1ED5"/>
    <w:rsid w:val="007F1F38"/>
    <w:rsid w:val="007F1FAF"/>
    <w:rsid w:val="007F207D"/>
    <w:rsid w:val="007F20DD"/>
    <w:rsid w:val="007F2169"/>
    <w:rsid w:val="007F2285"/>
    <w:rsid w:val="007F22BC"/>
    <w:rsid w:val="007F2319"/>
    <w:rsid w:val="007F24D0"/>
    <w:rsid w:val="007F257A"/>
    <w:rsid w:val="007F2587"/>
    <w:rsid w:val="007F2596"/>
    <w:rsid w:val="007F25A7"/>
    <w:rsid w:val="007F25FB"/>
    <w:rsid w:val="007F26DF"/>
    <w:rsid w:val="007F26ED"/>
    <w:rsid w:val="007F27AE"/>
    <w:rsid w:val="007F2824"/>
    <w:rsid w:val="007F29C7"/>
    <w:rsid w:val="007F2A9A"/>
    <w:rsid w:val="007F2B36"/>
    <w:rsid w:val="007F2B62"/>
    <w:rsid w:val="007F2B8E"/>
    <w:rsid w:val="007F2BD2"/>
    <w:rsid w:val="007F2C0B"/>
    <w:rsid w:val="007F2C13"/>
    <w:rsid w:val="007F2E6A"/>
    <w:rsid w:val="007F2EBB"/>
    <w:rsid w:val="007F2EC9"/>
    <w:rsid w:val="007F2FBE"/>
    <w:rsid w:val="007F3091"/>
    <w:rsid w:val="007F3149"/>
    <w:rsid w:val="007F319F"/>
    <w:rsid w:val="007F31EE"/>
    <w:rsid w:val="007F323A"/>
    <w:rsid w:val="007F3263"/>
    <w:rsid w:val="007F32CE"/>
    <w:rsid w:val="007F3315"/>
    <w:rsid w:val="007F348B"/>
    <w:rsid w:val="007F34CA"/>
    <w:rsid w:val="007F35B3"/>
    <w:rsid w:val="007F36A8"/>
    <w:rsid w:val="007F36C8"/>
    <w:rsid w:val="007F36E2"/>
    <w:rsid w:val="007F3871"/>
    <w:rsid w:val="007F38F9"/>
    <w:rsid w:val="007F39EC"/>
    <w:rsid w:val="007F3B45"/>
    <w:rsid w:val="007F3C15"/>
    <w:rsid w:val="007F3CC8"/>
    <w:rsid w:val="007F3D32"/>
    <w:rsid w:val="007F3DCD"/>
    <w:rsid w:val="007F404E"/>
    <w:rsid w:val="007F40BC"/>
    <w:rsid w:val="007F411C"/>
    <w:rsid w:val="007F412E"/>
    <w:rsid w:val="007F41C8"/>
    <w:rsid w:val="007F4208"/>
    <w:rsid w:val="007F4292"/>
    <w:rsid w:val="007F42B3"/>
    <w:rsid w:val="007F4368"/>
    <w:rsid w:val="007F461C"/>
    <w:rsid w:val="007F4720"/>
    <w:rsid w:val="007F480E"/>
    <w:rsid w:val="007F4851"/>
    <w:rsid w:val="007F4876"/>
    <w:rsid w:val="007F48B8"/>
    <w:rsid w:val="007F4922"/>
    <w:rsid w:val="007F4BC9"/>
    <w:rsid w:val="007F4C77"/>
    <w:rsid w:val="007F4CDE"/>
    <w:rsid w:val="007F4FC5"/>
    <w:rsid w:val="007F50AE"/>
    <w:rsid w:val="007F50B4"/>
    <w:rsid w:val="007F5124"/>
    <w:rsid w:val="007F51E7"/>
    <w:rsid w:val="007F5209"/>
    <w:rsid w:val="007F521D"/>
    <w:rsid w:val="007F52D5"/>
    <w:rsid w:val="007F5329"/>
    <w:rsid w:val="007F5356"/>
    <w:rsid w:val="007F57F2"/>
    <w:rsid w:val="007F5833"/>
    <w:rsid w:val="007F58DC"/>
    <w:rsid w:val="007F59D4"/>
    <w:rsid w:val="007F5A00"/>
    <w:rsid w:val="007F5AF2"/>
    <w:rsid w:val="007F5B3E"/>
    <w:rsid w:val="007F5D15"/>
    <w:rsid w:val="007F5D73"/>
    <w:rsid w:val="007F5DE9"/>
    <w:rsid w:val="007F5F13"/>
    <w:rsid w:val="007F5F54"/>
    <w:rsid w:val="007F6073"/>
    <w:rsid w:val="007F6130"/>
    <w:rsid w:val="007F6166"/>
    <w:rsid w:val="007F6175"/>
    <w:rsid w:val="007F61BB"/>
    <w:rsid w:val="007F6285"/>
    <w:rsid w:val="007F62F9"/>
    <w:rsid w:val="007F6581"/>
    <w:rsid w:val="007F65B2"/>
    <w:rsid w:val="007F65BA"/>
    <w:rsid w:val="007F65D5"/>
    <w:rsid w:val="007F6768"/>
    <w:rsid w:val="007F677A"/>
    <w:rsid w:val="007F67E4"/>
    <w:rsid w:val="007F6897"/>
    <w:rsid w:val="007F6899"/>
    <w:rsid w:val="007F6966"/>
    <w:rsid w:val="007F6C7C"/>
    <w:rsid w:val="007F6CD2"/>
    <w:rsid w:val="007F6D8B"/>
    <w:rsid w:val="007F6ED3"/>
    <w:rsid w:val="007F6F40"/>
    <w:rsid w:val="007F6F45"/>
    <w:rsid w:val="007F703D"/>
    <w:rsid w:val="007F7059"/>
    <w:rsid w:val="007F7189"/>
    <w:rsid w:val="007F722A"/>
    <w:rsid w:val="007F7513"/>
    <w:rsid w:val="007F75FF"/>
    <w:rsid w:val="007F7771"/>
    <w:rsid w:val="007F7836"/>
    <w:rsid w:val="007F7897"/>
    <w:rsid w:val="007F7A57"/>
    <w:rsid w:val="007F7A74"/>
    <w:rsid w:val="007F7AF3"/>
    <w:rsid w:val="007F7B3A"/>
    <w:rsid w:val="007F7B71"/>
    <w:rsid w:val="007F7BE9"/>
    <w:rsid w:val="007F7DFD"/>
    <w:rsid w:val="007F7EEE"/>
    <w:rsid w:val="007F7F32"/>
    <w:rsid w:val="007F7F93"/>
    <w:rsid w:val="007F7FE7"/>
    <w:rsid w:val="0080013A"/>
    <w:rsid w:val="00800182"/>
    <w:rsid w:val="00800290"/>
    <w:rsid w:val="00800464"/>
    <w:rsid w:val="008004D7"/>
    <w:rsid w:val="00800586"/>
    <w:rsid w:val="0080065A"/>
    <w:rsid w:val="00800704"/>
    <w:rsid w:val="00800825"/>
    <w:rsid w:val="008008E5"/>
    <w:rsid w:val="008009CF"/>
    <w:rsid w:val="00800A55"/>
    <w:rsid w:val="00800C3D"/>
    <w:rsid w:val="00800C47"/>
    <w:rsid w:val="00800D9E"/>
    <w:rsid w:val="00800DC7"/>
    <w:rsid w:val="00800E05"/>
    <w:rsid w:val="00800FB5"/>
    <w:rsid w:val="00801100"/>
    <w:rsid w:val="008012B9"/>
    <w:rsid w:val="008013F0"/>
    <w:rsid w:val="0080140D"/>
    <w:rsid w:val="008015A5"/>
    <w:rsid w:val="0080164B"/>
    <w:rsid w:val="0080172B"/>
    <w:rsid w:val="00801750"/>
    <w:rsid w:val="00801763"/>
    <w:rsid w:val="0080190B"/>
    <w:rsid w:val="00801963"/>
    <w:rsid w:val="008019FC"/>
    <w:rsid w:val="00801BF5"/>
    <w:rsid w:val="00801E56"/>
    <w:rsid w:val="00801ED7"/>
    <w:rsid w:val="00801F2E"/>
    <w:rsid w:val="00802065"/>
    <w:rsid w:val="008021ED"/>
    <w:rsid w:val="0080224E"/>
    <w:rsid w:val="00802295"/>
    <w:rsid w:val="008022A6"/>
    <w:rsid w:val="0080233D"/>
    <w:rsid w:val="00802416"/>
    <w:rsid w:val="008024C0"/>
    <w:rsid w:val="00802555"/>
    <w:rsid w:val="00802591"/>
    <w:rsid w:val="008025A0"/>
    <w:rsid w:val="008025E8"/>
    <w:rsid w:val="0080260D"/>
    <w:rsid w:val="00802769"/>
    <w:rsid w:val="0080276D"/>
    <w:rsid w:val="00802899"/>
    <w:rsid w:val="008028DA"/>
    <w:rsid w:val="0080292C"/>
    <w:rsid w:val="00802B3E"/>
    <w:rsid w:val="00802D8C"/>
    <w:rsid w:val="00802EE6"/>
    <w:rsid w:val="00802F41"/>
    <w:rsid w:val="00802FB1"/>
    <w:rsid w:val="00802FBF"/>
    <w:rsid w:val="00803021"/>
    <w:rsid w:val="00803047"/>
    <w:rsid w:val="008031A4"/>
    <w:rsid w:val="0080328B"/>
    <w:rsid w:val="008032E0"/>
    <w:rsid w:val="008033A7"/>
    <w:rsid w:val="008033E1"/>
    <w:rsid w:val="0080345E"/>
    <w:rsid w:val="00803473"/>
    <w:rsid w:val="0080348E"/>
    <w:rsid w:val="008034B5"/>
    <w:rsid w:val="00803759"/>
    <w:rsid w:val="00803775"/>
    <w:rsid w:val="00803895"/>
    <w:rsid w:val="008038DD"/>
    <w:rsid w:val="0080399E"/>
    <w:rsid w:val="00803A08"/>
    <w:rsid w:val="00803AA8"/>
    <w:rsid w:val="00803B78"/>
    <w:rsid w:val="00803B8B"/>
    <w:rsid w:val="00803CAF"/>
    <w:rsid w:val="00803E10"/>
    <w:rsid w:val="00803EAA"/>
    <w:rsid w:val="00803ECA"/>
    <w:rsid w:val="00803F52"/>
    <w:rsid w:val="00804007"/>
    <w:rsid w:val="00804176"/>
    <w:rsid w:val="008042CB"/>
    <w:rsid w:val="0080431E"/>
    <w:rsid w:val="00804451"/>
    <w:rsid w:val="008045B0"/>
    <w:rsid w:val="0080460B"/>
    <w:rsid w:val="00804695"/>
    <w:rsid w:val="0080481A"/>
    <w:rsid w:val="00804878"/>
    <w:rsid w:val="008048D0"/>
    <w:rsid w:val="00804986"/>
    <w:rsid w:val="00804994"/>
    <w:rsid w:val="008049CF"/>
    <w:rsid w:val="00804A90"/>
    <w:rsid w:val="00804B0C"/>
    <w:rsid w:val="00804C39"/>
    <w:rsid w:val="00804D11"/>
    <w:rsid w:val="00804D1A"/>
    <w:rsid w:val="00804E77"/>
    <w:rsid w:val="00804E7A"/>
    <w:rsid w:val="00804F7C"/>
    <w:rsid w:val="00805077"/>
    <w:rsid w:val="00805153"/>
    <w:rsid w:val="008052FD"/>
    <w:rsid w:val="0080530E"/>
    <w:rsid w:val="00805650"/>
    <w:rsid w:val="008057BE"/>
    <w:rsid w:val="0080580D"/>
    <w:rsid w:val="008058EC"/>
    <w:rsid w:val="008059BB"/>
    <w:rsid w:val="00805AE3"/>
    <w:rsid w:val="00805AF9"/>
    <w:rsid w:val="00805D04"/>
    <w:rsid w:val="00805D5C"/>
    <w:rsid w:val="00805E4A"/>
    <w:rsid w:val="00805E99"/>
    <w:rsid w:val="00806009"/>
    <w:rsid w:val="008061F6"/>
    <w:rsid w:val="0080627A"/>
    <w:rsid w:val="00806462"/>
    <w:rsid w:val="008065BC"/>
    <w:rsid w:val="00806664"/>
    <w:rsid w:val="008066D5"/>
    <w:rsid w:val="008068B3"/>
    <w:rsid w:val="00806A58"/>
    <w:rsid w:val="00806D08"/>
    <w:rsid w:val="00806D3F"/>
    <w:rsid w:val="00806E51"/>
    <w:rsid w:val="00807053"/>
    <w:rsid w:val="008070A2"/>
    <w:rsid w:val="008071E0"/>
    <w:rsid w:val="0080725C"/>
    <w:rsid w:val="008073A2"/>
    <w:rsid w:val="0080743E"/>
    <w:rsid w:val="008075FB"/>
    <w:rsid w:val="0080762D"/>
    <w:rsid w:val="00807754"/>
    <w:rsid w:val="008077A4"/>
    <w:rsid w:val="0080789F"/>
    <w:rsid w:val="008079C2"/>
    <w:rsid w:val="00807AD1"/>
    <w:rsid w:val="00807BB6"/>
    <w:rsid w:val="00807C07"/>
    <w:rsid w:val="00807C0E"/>
    <w:rsid w:val="00807C30"/>
    <w:rsid w:val="00807C8F"/>
    <w:rsid w:val="00807F51"/>
    <w:rsid w:val="0081043D"/>
    <w:rsid w:val="00810473"/>
    <w:rsid w:val="0081048E"/>
    <w:rsid w:val="008104CE"/>
    <w:rsid w:val="008104DC"/>
    <w:rsid w:val="00810649"/>
    <w:rsid w:val="0081068B"/>
    <w:rsid w:val="0081069C"/>
    <w:rsid w:val="00810740"/>
    <w:rsid w:val="0081087A"/>
    <w:rsid w:val="008108A3"/>
    <w:rsid w:val="00810991"/>
    <w:rsid w:val="0081099E"/>
    <w:rsid w:val="008109F9"/>
    <w:rsid w:val="00810A54"/>
    <w:rsid w:val="00810A89"/>
    <w:rsid w:val="00810AA5"/>
    <w:rsid w:val="00810B28"/>
    <w:rsid w:val="00810B96"/>
    <w:rsid w:val="00810BAD"/>
    <w:rsid w:val="00810CDF"/>
    <w:rsid w:val="00810F05"/>
    <w:rsid w:val="00810F1D"/>
    <w:rsid w:val="00810FA0"/>
    <w:rsid w:val="00810FA1"/>
    <w:rsid w:val="00810FF2"/>
    <w:rsid w:val="0081121E"/>
    <w:rsid w:val="00811410"/>
    <w:rsid w:val="0081143B"/>
    <w:rsid w:val="0081143C"/>
    <w:rsid w:val="0081145A"/>
    <w:rsid w:val="008115BE"/>
    <w:rsid w:val="00811600"/>
    <w:rsid w:val="00811611"/>
    <w:rsid w:val="00811616"/>
    <w:rsid w:val="0081176D"/>
    <w:rsid w:val="008117AC"/>
    <w:rsid w:val="00811824"/>
    <w:rsid w:val="00811A8F"/>
    <w:rsid w:val="00811B33"/>
    <w:rsid w:val="00811E10"/>
    <w:rsid w:val="00811E5E"/>
    <w:rsid w:val="00811FCC"/>
    <w:rsid w:val="00812146"/>
    <w:rsid w:val="008122B3"/>
    <w:rsid w:val="008124C4"/>
    <w:rsid w:val="00812588"/>
    <w:rsid w:val="00812649"/>
    <w:rsid w:val="008126B9"/>
    <w:rsid w:val="008126E8"/>
    <w:rsid w:val="00812799"/>
    <w:rsid w:val="008127C3"/>
    <w:rsid w:val="008128F2"/>
    <w:rsid w:val="00812949"/>
    <w:rsid w:val="0081299B"/>
    <w:rsid w:val="00812CE8"/>
    <w:rsid w:val="00812E70"/>
    <w:rsid w:val="00812ED4"/>
    <w:rsid w:val="00812EF9"/>
    <w:rsid w:val="00812F32"/>
    <w:rsid w:val="00812FA1"/>
    <w:rsid w:val="00812FBB"/>
    <w:rsid w:val="00813016"/>
    <w:rsid w:val="008130CA"/>
    <w:rsid w:val="0081316A"/>
    <w:rsid w:val="008132CB"/>
    <w:rsid w:val="0081347B"/>
    <w:rsid w:val="008134B0"/>
    <w:rsid w:val="0081351D"/>
    <w:rsid w:val="00813622"/>
    <w:rsid w:val="008136AC"/>
    <w:rsid w:val="00813899"/>
    <w:rsid w:val="0081389A"/>
    <w:rsid w:val="008138B4"/>
    <w:rsid w:val="008139D0"/>
    <w:rsid w:val="00813A8E"/>
    <w:rsid w:val="00813ADB"/>
    <w:rsid w:val="00813B77"/>
    <w:rsid w:val="00813B82"/>
    <w:rsid w:val="00813C04"/>
    <w:rsid w:val="00813C7C"/>
    <w:rsid w:val="00813D8F"/>
    <w:rsid w:val="00813DF1"/>
    <w:rsid w:val="00813E9D"/>
    <w:rsid w:val="00813F30"/>
    <w:rsid w:val="00813F3D"/>
    <w:rsid w:val="00814156"/>
    <w:rsid w:val="0081418F"/>
    <w:rsid w:val="0081420D"/>
    <w:rsid w:val="00814322"/>
    <w:rsid w:val="00814345"/>
    <w:rsid w:val="008143A1"/>
    <w:rsid w:val="00814678"/>
    <w:rsid w:val="008146C5"/>
    <w:rsid w:val="0081472B"/>
    <w:rsid w:val="0081472C"/>
    <w:rsid w:val="008147E6"/>
    <w:rsid w:val="0081486A"/>
    <w:rsid w:val="008148B7"/>
    <w:rsid w:val="00814A06"/>
    <w:rsid w:val="00814CDE"/>
    <w:rsid w:val="00814ED0"/>
    <w:rsid w:val="00814F2C"/>
    <w:rsid w:val="00815017"/>
    <w:rsid w:val="008150E9"/>
    <w:rsid w:val="00815170"/>
    <w:rsid w:val="00815175"/>
    <w:rsid w:val="008151D2"/>
    <w:rsid w:val="008151F8"/>
    <w:rsid w:val="00815242"/>
    <w:rsid w:val="008152CD"/>
    <w:rsid w:val="0081547C"/>
    <w:rsid w:val="0081549C"/>
    <w:rsid w:val="008154F0"/>
    <w:rsid w:val="008154F2"/>
    <w:rsid w:val="00815551"/>
    <w:rsid w:val="00815657"/>
    <w:rsid w:val="008156D0"/>
    <w:rsid w:val="0081572F"/>
    <w:rsid w:val="00815745"/>
    <w:rsid w:val="00815746"/>
    <w:rsid w:val="00815779"/>
    <w:rsid w:val="008159A0"/>
    <w:rsid w:val="008159AF"/>
    <w:rsid w:val="00815A21"/>
    <w:rsid w:val="00815C52"/>
    <w:rsid w:val="00815CE6"/>
    <w:rsid w:val="00815D3E"/>
    <w:rsid w:val="00815D8B"/>
    <w:rsid w:val="00815DD8"/>
    <w:rsid w:val="00815E0F"/>
    <w:rsid w:val="00815E18"/>
    <w:rsid w:val="00815E51"/>
    <w:rsid w:val="00815EBA"/>
    <w:rsid w:val="00815F86"/>
    <w:rsid w:val="00816026"/>
    <w:rsid w:val="008160B9"/>
    <w:rsid w:val="00816105"/>
    <w:rsid w:val="008161BC"/>
    <w:rsid w:val="00816260"/>
    <w:rsid w:val="008162E4"/>
    <w:rsid w:val="0081634E"/>
    <w:rsid w:val="008163E0"/>
    <w:rsid w:val="0081655E"/>
    <w:rsid w:val="0081670A"/>
    <w:rsid w:val="008168CD"/>
    <w:rsid w:val="008169CC"/>
    <w:rsid w:val="00816A91"/>
    <w:rsid w:val="00816AB5"/>
    <w:rsid w:val="00816ABB"/>
    <w:rsid w:val="00816B24"/>
    <w:rsid w:val="00816C22"/>
    <w:rsid w:val="00816D83"/>
    <w:rsid w:val="00816D8B"/>
    <w:rsid w:val="00816D9D"/>
    <w:rsid w:val="00816DBF"/>
    <w:rsid w:val="00816DD9"/>
    <w:rsid w:val="00816EB4"/>
    <w:rsid w:val="00816F67"/>
    <w:rsid w:val="00817024"/>
    <w:rsid w:val="008170AD"/>
    <w:rsid w:val="00817248"/>
    <w:rsid w:val="008172ED"/>
    <w:rsid w:val="00817461"/>
    <w:rsid w:val="00817594"/>
    <w:rsid w:val="00817658"/>
    <w:rsid w:val="008176EC"/>
    <w:rsid w:val="00817748"/>
    <w:rsid w:val="0081778E"/>
    <w:rsid w:val="00817826"/>
    <w:rsid w:val="00817855"/>
    <w:rsid w:val="00817938"/>
    <w:rsid w:val="0081794B"/>
    <w:rsid w:val="00817B13"/>
    <w:rsid w:val="00817C52"/>
    <w:rsid w:val="00817C8E"/>
    <w:rsid w:val="00817C97"/>
    <w:rsid w:val="00817D40"/>
    <w:rsid w:val="00817D9D"/>
    <w:rsid w:val="00817DD0"/>
    <w:rsid w:val="00817E55"/>
    <w:rsid w:val="00817E6A"/>
    <w:rsid w:val="00817E9A"/>
    <w:rsid w:val="00817EB2"/>
    <w:rsid w:val="00817F59"/>
    <w:rsid w:val="00820032"/>
    <w:rsid w:val="00820177"/>
    <w:rsid w:val="008201EE"/>
    <w:rsid w:val="00820329"/>
    <w:rsid w:val="0082034B"/>
    <w:rsid w:val="0082036C"/>
    <w:rsid w:val="0082073C"/>
    <w:rsid w:val="008207F2"/>
    <w:rsid w:val="0082082E"/>
    <w:rsid w:val="00820883"/>
    <w:rsid w:val="008208C9"/>
    <w:rsid w:val="00820B97"/>
    <w:rsid w:val="00820D8C"/>
    <w:rsid w:val="00820EAB"/>
    <w:rsid w:val="00821016"/>
    <w:rsid w:val="008210A3"/>
    <w:rsid w:val="00821194"/>
    <w:rsid w:val="008213F0"/>
    <w:rsid w:val="0082144C"/>
    <w:rsid w:val="0082162B"/>
    <w:rsid w:val="00821742"/>
    <w:rsid w:val="0082179D"/>
    <w:rsid w:val="008218C0"/>
    <w:rsid w:val="008218C1"/>
    <w:rsid w:val="00821952"/>
    <w:rsid w:val="008219F5"/>
    <w:rsid w:val="00821B1F"/>
    <w:rsid w:val="00821BAF"/>
    <w:rsid w:val="00821C55"/>
    <w:rsid w:val="00821CF4"/>
    <w:rsid w:val="008220F2"/>
    <w:rsid w:val="00822108"/>
    <w:rsid w:val="008223B2"/>
    <w:rsid w:val="00822465"/>
    <w:rsid w:val="0082246D"/>
    <w:rsid w:val="0082264A"/>
    <w:rsid w:val="00822781"/>
    <w:rsid w:val="0082298C"/>
    <w:rsid w:val="008229B1"/>
    <w:rsid w:val="008229F7"/>
    <w:rsid w:val="00822C9A"/>
    <w:rsid w:val="00822D07"/>
    <w:rsid w:val="00822F10"/>
    <w:rsid w:val="00822FD6"/>
    <w:rsid w:val="0082304C"/>
    <w:rsid w:val="008231CC"/>
    <w:rsid w:val="008235AB"/>
    <w:rsid w:val="008236AA"/>
    <w:rsid w:val="008236FD"/>
    <w:rsid w:val="00823715"/>
    <w:rsid w:val="00823769"/>
    <w:rsid w:val="00823953"/>
    <w:rsid w:val="008239D2"/>
    <w:rsid w:val="00823A7E"/>
    <w:rsid w:val="00823A87"/>
    <w:rsid w:val="00823C98"/>
    <w:rsid w:val="00823CD8"/>
    <w:rsid w:val="00823D33"/>
    <w:rsid w:val="00823D9C"/>
    <w:rsid w:val="0082404C"/>
    <w:rsid w:val="008240FF"/>
    <w:rsid w:val="00824198"/>
    <w:rsid w:val="0082434F"/>
    <w:rsid w:val="008243C2"/>
    <w:rsid w:val="0082468C"/>
    <w:rsid w:val="008246A2"/>
    <w:rsid w:val="008247DA"/>
    <w:rsid w:val="00824887"/>
    <w:rsid w:val="008249BC"/>
    <w:rsid w:val="00824AB5"/>
    <w:rsid w:val="00824AE5"/>
    <w:rsid w:val="00824C82"/>
    <w:rsid w:val="00824DA2"/>
    <w:rsid w:val="00824EE3"/>
    <w:rsid w:val="00824F11"/>
    <w:rsid w:val="0082507F"/>
    <w:rsid w:val="008252FA"/>
    <w:rsid w:val="0082538B"/>
    <w:rsid w:val="008255F2"/>
    <w:rsid w:val="00825631"/>
    <w:rsid w:val="00825699"/>
    <w:rsid w:val="008256A0"/>
    <w:rsid w:val="008256DF"/>
    <w:rsid w:val="00825858"/>
    <w:rsid w:val="00825859"/>
    <w:rsid w:val="00825975"/>
    <w:rsid w:val="00825A0E"/>
    <w:rsid w:val="00825BCB"/>
    <w:rsid w:val="00825D00"/>
    <w:rsid w:val="00825DF1"/>
    <w:rsid w:val="00825E8C"/>
    <w:rsid w:val="00825F03"/>
    <w:rsid w:val="00825F64"/>
    <w:rsid w:val="00825FBB"/>
    <w:rsid w:val="008261C2"/>
    <w:rsid w:val="0082624F"/>
    <w:rsid w:val="0082634C"/>
    <w:rsid w:val="0082639C"/>
    <w:rsid w:val="00826622"/>
    <w:rsid w:val="00826714"/>
    <w:rsid w:val="0082675D"/>
    <w:rsid w:val="00826914"/>
    <w:rsid w:val="00826923"/>
    <w:rsid w:val="00826988"/>
    <w:rsid w:val="00826BA1"/>
    <w:rsid w:val="00826BE9"/>
    <w:rsid w:val="00826C01"/>
    <w:rsid w:val="00826CE2"/>
    <w:rsid w:val="00826D65"/>
    <w:rsid w:val="00826EC2"/>
    <w:rsid w:val="00826ED8"/>
    <w:rsid w:val="00826F6A"/>
    <w:rsid w:val="00827142"/>
    <w:rsid w:val="00827246"/>
    <w:rsid w:val="0082730A"/>
    <w:rsid w:val="0082736C"/>
    <w:rsid w:val="008273C7"/>
    <w:rsid w:val="008274D3"/>
    <w:rsid w:val="00827669"/>
    <w:rsid w:val="00827706"/>
    <w:rsid w:val="0082771C"/>
    <w:rsid w:val="008278CC"/>
    <w:rsid w:val="00827918"/>
    <w:rsid w:val="00827956"/>
    <w:rsid w:val="00827C16"/>
    <w:rsid w:val="00827C50"/>
    <w:rsid w:val="00827CAD"/>
    <w:rsid w:val="00827D20"/>
    <w:rsid w:val="00827D59"/>
    <w:rsid w:val="00827E2C"/>
    <w:rsid w:val="00827E66"/>
    <w:rsid w:val="00827F09"/>
    <w:rsid w:val="00827F30"/>
    <w:rsid w:val="00827FA0"/>
    <w:rsid w:val="00827FE9"/>
    <w:rsid w:val="00830012"/>
    <w:rsid w:val="00830115"/>
    <w:rsid w:val="00830121"/>
    <w:rsid w:val="0083017C"/>
    <w:rsid w:val="00830292"/>
    <w:rsid w:val="00830295"/>
    <w:rsid w:val="00830409"/>
    <w:rsid w:val="008304C7"/>
    <w:rsid w:val="00830543"/>
    <w:rsid w:val="0083065F"/>
    <w:rsid w:val="00830733"/>
    <w:rsid w:val="00830760"/>
    <w:rsid w:val="0083078A"/>
    <w:rsid w:val="0083079D"/>
    <w:rsid w:val="008307BB"/>
    <w:rsid w:val="0083087C"/>
    <w:rsid w:val="008309CF"/>
    <w:rsid w:val="00830DC5"/>
    <w:rsid w:val="00830E6E"/>
    <w:rsid w:val="00830FFF"/>
    <w:rsid w:val="008310A5"/>
    <w:rsid w:val="008310D0"/>
    <w:rsid w:val="00831133"/>
    <w:rsid w:val="0083115E"/>
    <w:rsid w:val="00831170"/>
    <w:rsid w:val="008311A2"/>
    <w:rsid w:val="0083126A"/>
    <w:rsid w:val="008312A0"/>
    <w:rsid w:val="008312D1"/>
    <w:rsid w:val="0083135E"/>
    <w:rsid w:val="0083141F"/>
    <w:rsid w:val="00831465"/>
    <w:rsid w:val="00831523"/>
    <w:rsid w:val="0083160E"/>
    <w:rsid w:val="0083172B"/>
    <w:rsid w:val="00831764"/>
    <w:rsid w:val="0083178B"/>
    <w:rsid w:val="00831797"/>
    <w:rsid w:val="00831846"/>
    <w:rsid w:val="00831902"/>
    <w:rsid w:val="00831989"/>
    <w:rsid w:val="00831A6F"/>
    <w:rsid w:val="00831B52"/>
    <w:rsid w:val="00831B94"/>
    <w:rsid w:val="00831C43"/>
    <w:rsid w:val="00831D6E"/>
    <w:rsid w:val="00831D72"/>
    <w:rsid w:val="00831ED1"/>
    <w:rsid w:val="0083212A"/>
    <w:rsid w:val="00832170"/>
    <w:rsid w:val="008321D6"/>
    <w:rsid w:val="008321DE"/>
    <w:rsid w:val="008321E2"/>
    <w:rsid w:val="008321E6"/>
    <w:rsid w:val="00832287"/>
    <w:rsid w:val="008322C1"/>
    <w:rsid w:val="00832302"/>
    <w:rsid w:val="0083233D"/>
    <w:rsid w:val="00832382"/>
    <w:rsid w:val="008324B4"/>
    <w:rsid w:val="0083259D"/>
    <w:rsid w:val="008325E1"/>
    <w:rsid w:val="00832739"/>
    <w:rsid w:val="008327AE"/>
    <w:rsid w:val="008328D7"/>
    <w:rsid w:val="008329C4"/>
    <w:rsid w:val="00832B5D"/>
    <w:rsid w:val="00832B7E"/>
    <w:rsid w:val="00832BC8"/>
    <w:rsid w:val="00832BD4"/>
    <w:rsid w:val="00832C33"/>
    <w:rsid w:val="00832C73"/>
    <w:rsid w:val="00832D16"/>
    <w:rsid w:val="00832D91"/>
    <w:rsid w:val="00832DE6"/>
    <w:rsid w:val="00832E10"/>
    <w:rsid w:val="00832F78"/>
    <w:rsid w:val="00832FE1"/>
    <w:rsid w:val="00833013"/>
    <w:rsid w:val="0083302B"/>
    <w:rsid w:val="00833313"/>
    <w:rsid w:val="0083335C"/>
    <w:rsid w:val="00833413"/>
    <w:rsid w:val="008336A4"/>
    <w:rsid w:val="008336F4"/>
    <w:rsid w:val="00833773"/>
    <w:rsid w:val="00833857"/>
    <w:rsid w:val="0083387B"/>
    <w:rsid w:val="00833918"/>
    <w:rsid w:val="0083394C"/>
    <w:rsid w:val="00833A75"/>
    <w:rsid w:val="00833B4A"/>
    <w:rsid w:val="00833BE6"/>
    <w:rsid w:val="00833D42"/>
    <w:rsid w:val="00833E31"/>
    <w:rsid w:val="00833E65"/>
    <w:rsid w:val="00833ED4"/>
    <w:rsid w:val="00833F61"/>
    <w:rsid w:val="00833F66"/>
    <w:rsid w:val="00834167"/>
    <w:rsid w:val="0083417A"/>
    <w:rsid w:val="008341CF"/>
    <w:rsid w:val="00834219"/>
    <w:rsid w:val="00834279"/>
    <w:rsid w:val="008342B2"/>
    <w:rsid w:val="008343B9"/>
    <w:rsid w:val="008344A0"/>
    <w:rsid w:val="008345AD"/>
    <w:rsid w:val="00834663"/>
    <w:rsid w:val="00834670"/>
    <w:rsid w:val="008346D5"/>
    <w:rsid w:val="00834744"/>
    <w:rsid w:val="00834760"/>
    <w:rsid w:val="00834776"/>
    <w:rsid w:val="008347E9"/>
    <w:rsid w:val="00834811"/>
    <w:rsid w:val="0083482E"/>
    <w:rsid w:val="00834845"/>
    <w:rsid w:val="0083486D"/>
    <w:rsid w:val="008348C4"/>
    <w:rsid w:val="008348D4"/>
    <w:rsid w:val="00834905"/>
    <w:rsid w:val="0083494C"/>
    <w:rsid w:val="00834959"/>
    <w:rsid w:val="00834A1C"/>
    <w:rsid w:val="00834B06"/>
    <w:rsid w:val="00834C69"/>
    <w:rsid w:val="00834C89"/>
    <w:rsid w:val="00834D34"/>
    <w:rsid w:val="00834D5A"/>
    <w:rsid w:val="00834EB6"/>
    <w:rsid w:val="00834F5E"/>
    <w:rsid w:val="00834FA3"/>
    <w:rsid w:val="00834FDC"/>
    <w:rsid w:val="008351BE"/>
    <w:rsid w:val="0083521A"/>
    <w:rsid w:val="00835242"/>
    <w:rsid w:val="0083526E"/>
    <w:rsid w:val="00835453"/>
    <w:rsid w:val="0083549D"/>
    <w:rsid w:val="008354E4"/>
    <w:rsid w:val="00835635"/>
    <w:rsid w:val="00835680"/>
    <w:rsid w:val="0083571E"/>
    <w:rsid w:val="00835812"/>
    <w:rsid w:val="00835829"/>
    <w:rsid w:val="008359A8"/>
    <w:rsid w:val="00835CB0"/>
    <w:rsid w:val="00835CC7"/>
    <w:rsid w:val="00835D12"/>
    <w:rsid w:val="00835E57"/>
    <w:rsid w:val="00835E72"/>
    <w:rsid w:val="00835F03"/>
    <w:rsid w:val="00836031"/>
    <w:rsid w:val="0083604D"/>
    <w:rsid w:val="008361D0"/>
    <w:rsid w:val="0083620F"/>
    <w:rsid w:val="00836385"/>
    <w:rsid w:val="0083656C"/>
    <w:rsid w:val="008365BE"/>
    <w:rsid w:val="00836720"/>
    <w:rsid w:val="008367A3"/>
    <w:rsid w:val="008367EA"/>
    <w:rsid w:val="0083689A"/>
    <w:rsid w:val="0083690B"/>
    <w:rsid w:val="0083692F"/>
    <w:rsid w:val="00836974"/>
    <w:rsid w:val="008369D6"/>
    <w:rsid w:val="00836AF6"/>
    <w:rsid w:val="00836D1A"/>
    <w:rsid w:val="00836D4E"/>
    <w:rsid w:val="00836D92"/>
    <w:rsid w:val="00836E3C"/>
    <w:rsid w:val="00836ED1"/>
    <w:rsid w:val="0083705D"/>
    <w:rsid w:val="008371D1"/>
    <w:rsid w:val="0083736B"/>
    <w:rsid w:val="008374D2"/>
    <w:rsid w:val="008374F4"/>
    <w:rsid w:val="0083750A"/>
    <w:rsid w:val="00837587"/>
    <w:rsid w:val="00837733"/>
    <w:rsid w:val="008378CB"/>
    <w:rsid w:val="0083796C"/>
    <w:rsid w:val="00837A3F"/>
    <w:rsid w:val="00837AE5"/>
    <w:rsid w:val="00837B60"/>
    <w:rsid w:val="00837E11"/>
    <w:rsid w:val="00837F65"/>
    <w:rsid w:val="00837FAB"/>
    <w:rsid w:val="0084000A"/>
    <w:rsid w:val="008400A1"/>
    <w:rsid w:val="008400AF"/>
    <w:rsid w:val="008400BB"/>
    <w:rsid w:val="008400EC"/>
    <w:rsid w:val="00840122"/>
    <w:rsid w:val="0084013B"/>
    <w:rsid w:val="00840158"/>
    <w:rsid w:val="0084016B"/>
    <w:rsid w:val="008401BC"/>
    <w:rsid w:val="008402DA"/>
    <w:rsid w:val="00840420"/>
    <w:rsid w:val="00840571"/>
    <w:rsid w:val="00840699"/>
    <w:rsid w:val="00840757"/>
    <w:rsid w:val="00840A73"/>
    <w:rsid w:val="00840A81"/>
    <w:rsid w:val="00840AEE"/>
    <w:rsid w:val="00840B9C"/>
    <w:rsid w:val="00840C47"/>
    <w:rsid w:val="00840D66"/>
    <w:rsid w:val="00840E1B"/>
    <w:rsid w:val="00840E55"/>
    <w:rsid w:val="00840F50"/>
    <w:rsid w:val="00840FB1"/>
    <w:rsid w:val="00841008"/>
    <w:rsid w:val="008410C7"/>
    <w:rsid w:val="008410F6"/>
    <w:rsid w:val="00841197"/>
    <w:rsid w:val="008413C4"/>
    <w:rsid w:val="0084142E"/>
    <w:rsid w:val="0084153F"/>
    <w:rsid w:val="00841689"/>
    <w:rsid w:val="00841747"/>
    <w:rsid w:val="00841991"/>
    <w:rsid w:val="00841ABB"/>
    <w:rsid w:val="00841AE2"/>
    <w:rsid w:val="00841B61"/>
    <w:rsid w:val="00841B98"/>
    <w:rsid w:val="00841C15"/>
    <w:rsid w:val="00841C95"/>
    <w:rsid w:val="00841D5D"/>
    <w:rsid w:val="00841D6E"/>
    <w:rsid w:val="00841F64"/>
    <w:rsid w:val="00842055"/>
    <w:rsid w:val="008420E7"/>
    <w:rsid w:val="0084217A"/>
    <w:rsid w:val="00842268"/>
    <w:rsid w:val="00842309"/>
    <w:rsid w:val="00842551"/>
    <w:rsid w:val="0084257C"/>
    <w:rsid w:val="00842782"/>
    <w:rsid w:val="008428E6"/>
    <w:rsid w:val="00842947"/>
    <w:rsid w:val="00842992"/>
    <w:rsid w:val="00842AE1"/>
    <w:rsid w:val="00842DA9"/>
    <w:rsid w:val="00842F6E"/>
    <w:rsid w:val="00842FCC"/>
    <w:rsid w:val="00843011"/>
    <w:rsid w:val="00843058"/>
    <w:rsid w:val="0084305A"/>
    <w:rsid w:val="00843115"/>
    <w:rsid w:val="008431BD"/>
    <w:rsid w:val="0084330F"/>
    <w:rsid w:val="0084342A"/>
    <w:rsid w:val="0084345F"/>
    <w:rsid w:val="008434B0"/>
    <w:rsid w:val="00843609"/>
    <w:rsid w:val="00843635"/>
    <w:rsid w:val="0084367B"/>
    <w:rsid w:val="0084380C"/>
    <w:rsid w:val="00843844"/>
    <w:rsid w:val="00843879"/>
    <w:rsid w:val="008438AC"/>
    <w:rsid w:val="00843966"/>
    <w:rsid w:val="008439C5"/>
    <w:rsid w:val="00843AB0"/>
    <w:rsid w:val="00843C43"/>
    <w:rsid w:val="00844005"/>
    <w:rsid w:val="0084414A"/>
    <w:rsid w:val="0084418F"/>
    <w:rsid w:val="0084429C"/>
    <w:rsid w:val="008442B4"/>
    <w:rsid w:val="008442BE"/>
    <w:rsid w:val="008443D2"/>
    <w:rsid w:val="0084458F"/>
    <w:rsid w:val="008446A3"/>
    <w:rsid w:val="00844841"/>
    <w:rsid w:val="008448F1"/>
    <w:rsid w:val="00844971"/>
    <w:rsid w:val="00844AA6"/>
    <w:rsid w:val="00844AD4"/>
    <w:rsid w:val="00844B35"/>
    <w:rsid w:val="00844BB2"/>
    <w:rsid w:val="00844BCB"/>
    <w:rsid w:val="00844BDF"/>
    <w:rsid w:val="00844C2E"/>
    <w:rsid w:val="00844C6E"/>
    <w:rsid w:val="00844E1E"/>
    <w:rsid w:val="00844E6D"/>
    <w:rsid w:val="00844EDE"/>
    <w:rsid w:val="00844EE4"/>
    <w:rsid w:val="00845092"/>
    <w:rsid w:val="008450C3"/>
    <w:rsid w:val="008450D0"/>
    <w:rsid w:val="00845111"/>
    <w:rsid w:val="00845303"/>
    <w:rsid w:val="00845329"/>
    <w:rsid w:val="0084536C"/>
    <w:rsid w:val="00845446"/>
    <w:rsid w:val="008454BD"/>
    <w:rsid w:val="00845565"/>
    <w:rsid w:val="0084559B"/>
    <w:rsid w:val="0084566F"/>
    <w:rsid w:val="008456C1"/>
    <w:rsid w:val="00845944"/>
    <w:rsid w:val="0084596F"/>
    <w:rsid w:val="00845A4F"/>
    <w:rsid w:val="00845B4F"/>
    <w:rsid w:val="00845C0E"/>
    <w:rsid w:val="00845C6A"/>
    <w:rsid w:val="00845C9E"/>
    <w:rsid w:val="00845D08"/>
    <w:rsid w:val="00846073"/>
    <w:rsid w:val="008460A6"/>
    <w:rsid w:val="008460CA"/>
    <w:rsid w:val="008460FE"/>
    <w:rsid w:val="00846133"/>
    <w:rsid w:val="008461AC"/>
    <w:rsid w:val="00846385"/>
    <w:rsid w:val="00846491"/>
    <w:rsid w:val="008464E0"/>
    <w:rsid w:val="00846534"/>
    <w:rsid w:val="00846619"/>
    <w:rsid w:val="0084665C"/>
    <w:rsid w:val="0084666E"/>
    <w:rsid w:val="00846799"/>
    <w:rsid w:val="008467A7"/>
    <w:rsid w:val="008468D5"/>
    <w:rsid w:val="008469ED"/>
    <w:rsid w:val="00846A6C"/>
    <w:rsid w:val="00846B60"/>
    <w:rsid w:val="00846CFE"/>
    <w:rsid w:val="00846E0C"/>
    <w:rsid w:val="00846E88"/>
    <w:rsid w:val="00847007"/>
    <w:rsid w:val="0084716D"/>
    <w:rsid w:val="00847192"/>
    <w:rsid w:val="00847253"/>
    <w:rsid w:val="008472C9"/>
    <w:rsid w:val="0084734F"/>
    <w:rsid w:val="008473F7"/>
    <w:rsid w:val="0084757D"/>
    <w:rsid w:val="00847584"/>
    <w:rsid w:val="0084758B"/>
    <w:rsid w:val="0084771E"/>
    <w:rsid w:val="008477A3"/>
    <w:rsid w:val="00847887"/>
    <w:rsid w:val="0084790A"/>
    <w:rsid w:val="00847950"/>
    <w:rsid w:val="008479EE"/>
    <w:rsid w:val="00847A7F"/>
    <w:rsid w:val="00847C3E"/>
    <w:rsid w:val="00847CEB"/>
    <w:rsid w:val="00847D83"/>
    <w:rsid w:val="00847DD0"/>
    <w:rsid w:val="00847DF7"/>
    <w:rsid w:val="00847EBD"/>
    <w:rsid w:val="00847EF2"/>
    <w:rsid w:val="00847FEB"/>
    <w:rsid w:val="00850009"/>
    <w:rsid w:val="00850071"/>
    <w:rsid w:val="0085018A"/>
    <w:rsid w:val="008501F6"/>
    <w:rsid w:val="00850301"/>
    <w:rsid w:val="0085036D"/>
    <w:rsid w:val="00850397"/>
    <w:rsid w:val="00850425"/>
    <w:rsid w:val="00850451"/>
    <w:rsid w:val="00850590"/>
    <w:rsid w:val="008506C8"/>
    <w:rsid w:val="008506E5"/>
    <w:rsid w:val="0085071E"/>
    <w:rsid w:val="0085073D"/>
    <w:rsid w:val="008507C7"/>
    <w:rsid w:val="008508B7"/>
    <w:rsid w:val="0085096B"/>
    <w:rsid w:val="00850AFE"/>
    <w:rsid w:val="00850BDD"/>
    <w:rsid w:val="00850C3A"/>
    <w:rsid w:val="00850C5F"/>
    <w:rsid w:val="00850CEE"/>
    <w:rsid w:val="00850F9B"/>
    <w:rsid w:val="008510BB"/>
    <w:rsid w:val="008510D7"/>
    <w:rsid w:val="008511A7"/>
    <w:rsid w:val="008511C6"/>
    <w:rsid w:val="0085133C"/>
    <w:rsid w:val="008513D2"/>
    <w:rsid w:val="008514FA"/>
    <w:rsid w:val="0085150A"/>
    <w:rsid w:val="00851624"/>
    <w:rsid w:val="0085166D"/>
    <w:rsid w:val="008516DE"/>
    <w:rsid w:val="0085173B"/>
    <w:rsid w:val="00851783"/>
    <w:rsid w:val="008517EA"/>
    <w:rsid w:val="0085186C"/>
    <w:rsid w:val="00851886"/>
    <w:rsid w:val="008518B2"/>
    <w:rsid w:val="00851A0B"/>
    <w:rsid w:val="00851C23"/>
    <w:rsid w:val="00851D2D"/>
    <w:rsid w:val="00851D31"/>
    <w:rsid w:val="00851E7E"/>
    <w:rsid w:val="00851E93"/>
    <w:rsid w:val="00851F2C"/>
    <w:rsid w:val="00851FC7"/>
    <w:rsid w:val="00852109"/>
    <w:rsid w:val="0085213F"/>
    <w:rsid w:val="00852255"/>
    <w:rsid w:val="00852268"/>
    <w:rsid w:val="008522F3"/>
    <w:rsid w:val="00852322"/>
    <w:rsid w:val="00852349"/>
    <w:rsid w:val="0085237F"/>
    <w:rsid w:val="008525DA"/>
    <w:rsid w:val="00852732"/>
    <w:rsid w:val="008527AC"/>
    <w:rsid w:val="00852857"/>
    <w:rsid w:val="00852863"/>
    <w:rsid w:val="00852CBE"/>
    <w:rsid w:val="00852DBC"/>
    <w:rsid w:val="00852DC7"/>
    <w:rsid w:val="00852DCF"/>
    <w:rsid w:val="00852E20"/>
    <w:rsid w:val="00852EBB"/>
    <w:rsid w:val="00852F33"/>
    <w:rsid w:val="0085332F"/>
    <w:rsid w:val="0085333F"/>
    <w:rsid w:val="008533E2"/>
    <w:rsid w:val="00853499"/>
    <w:rsid w:val="008536A2"/>
    <w:rsid w:val="0085372F"/>
    <w:rsid w:val="008537BC"/>
    <w:rsid w:val="008537D9"/>
    <w:rsid w:val="00853813"/>
    <w:rsid w:val="00853847"/>
    <w:rsid w:val="008538C9"/>
    <w:rsid w:val="008539C4"/>
    <w:rsid w:val="00853ADA"/>
    <w:rsid w:val="00853C05"/>
    <w:rsid w:val="00853CED"/>
    <w:rsid w:val="00853D42"/>
    <w:rsid w:val="00853D5D"/>
    <w:rsid w:val="00853D96"/>
    <w:rsid w:val="00853F5D"/>
    <w:rsid w:val="00854089"/>
    <w:rsid w:val="00854090"/>
    <w:rsid w:val="008540F1"/>
    <w:rsid w:val="00854241"/>
    <w:rsid w:val="00854316"/>
    <w:rsid w:val="008543CA"/>
    <w:rsid w:val="0085441F"/>
    <w:rsid w:val="00854521"/>
    <w:rsid w:val="00854652"/>
    <w:rsid w:val="008546CA"/>
    <w:rsid w:val="00854720"/>
    <w:rsid w:val="00854787"/>
    <w:rsid w:val="008548AF"/>
    <w:rsid w:val="008549B2"/>
    <w:rsid w:val="00854A0C"/>
    <w:rsid w:val="00854AA0"/>
    <w:rsid w:val="00854BD0"/>
    <w:rsid w:val="00854D91"/>
    <w:rsid w:val="00854E47"/>
    <w:rsid w:val="00854FD9"/>
    <w:rsid w:val="008550D6"/>
    <w:rsid w:val="00855132"/>
    <w:rsid w:val="00855261"/>
    <w:rsid w:val="008553C7"/>
    <w:rsid w:val="0085543B"/>
    <w:rsid w:val="00855467"/>
    <w:rsid w:val="00855500"/>
    <w:rsid w:val="008555B0"/>
    <w:rsid w:val="008555FE"/>
    <w:rsid w:val="0085576D"/>
    <w:rsid w:val="008557BB"/>
    <w:rsid w:val="008558F4"/>
    <w:rsid w:val="00855A1F"/>
    <w:rsid w:val="00855B0C"/>
    <w:rsid w:val="00855CBE"/>
    <w:rsid w:val="00855D5B"/>
    <w:rsid w:val="00855DDF"/>
    <w:rsid w:val="00855F05"/>
    <w:rsid w:val="00855F23"/>
    <w:rsid w:val="00855F6E"/>
    <w:rsid w:val="00855F7C"/>
    <w:rsid w:val="00855F90"/>
    <w:rsid w:val="00855FA1"/>
    <w:rsid w:val="00856242"/>
    <w:rsid w:val="00856289"/>
    <w:rsid w:val="008562A0"/>
    <w:rsid w:val="008563FE"/>
    <w:rsid w:val="00856616"/>
    <w:rsid w:val="00856675"/>
    <w:rsid w:val="00856A05"/>
    <w:rsid w:val="00856B6C"/>
    <w:rsid w:val="00856B88"/>
    <w:rsid w:val="00856C6F"/>
    <w:rsid w:val="00856CA4"/>
    <w:rsid w:val="00856CE1"/>
    <w:rsid w:val="00856D9A"/>
    <w:rsid w:val="00856DC8"/>
    <w:rsid w:val="00856F18"/>
    <w:rsid w:val="00856F5D"/>
    <w:rsid w:val="008571B1"/>
    <w:rsid w:val="0085731C"/>
    <w:rsid w:val="00857603"/>
    <w:rsid w:val="00857795"/>
    <w:rsid w:val="0085786D"/>
    <w:rsid w:val="008578E0"/>
    <w:rsid w:val="00857B28"/>
    <w:rsid w:val="00857BAB"/>
    <w:rsid w:val="00857EBD"/>
    <w:rsid w:val="00860146"/>
    <w:rsid w:val="008601D5"/>
    <w:rsid w:val="00860327"/>
    <w:rsid w:val="0086036D"/>
    <w:rsid w:val="00860430"/>
    <w:rsid w:val="008605B5"/>
    <w:rsid w:val="008605B9"/>
    <w:rsid w:val="00860610"/>
    <w:rsid w:val="00860747"/>
    <w:rsid w:val="008608CF"/>
    <w:rsid w:val="008608FE"/>
    <w:rsid w:val="0086093E"/>
    <w:rsid w:val="00860982"/>
    <w:rsid w:val="008609CD"/>
    <w:rsid w:val="00860A4E"/>
    <w:rsid w:val="00860C7C"/>
    <w:rsid w:val="00860CA3"/>
    <w:rsid w:val="00860E09"/>
    <w:rsid w:val="00860ED9"/>
    <w:rsid w:val="00861020"/>
    <w:rsid w:val="00861135"/>
    <w:rsid w:val="00861194"/>
    <w:rsid w:val="008612A2"/>
    <w:rsid w:val="008612F5"/>
    <w:rsid w:val="00861320"/>
    <w:rsid w:val="00861331"/>
    <w:rsid w:val="008613E3"/>
    <w:rsid w:val="00861447"/>
    <w:rsid w:val="00861474"/>
    <w:rsid w:val="008616A3"/>
    <w:rsid w:val="008616CA"/>
    <w:rsid w:val="008617CA"/>
    <w:rsid w:val="008617D8"/>
    <w:rsid w:val="00861844"/>
    <w:rsid w:val="00861866"/>
    <w:rsid w:val="008618FC"/>
    <w:rsid w:val="0086192A"/>
    <w:rsid w:val="00861935"/>
    <w:rsid w:val="00861985"/>
    <w:rsid w:val="00861A75"/>
    <w:rsid w:val="00861B4B"/>
    <w:rsid w:val="00861B63"/>
    <w:rsid w:val="00861BED"/>
    <w:rsid w:val="00861E8C"/>
    <w:rsid w:val="00861EC1"/>
    <w:rsid w:val="00861F12"/>
    <w:rsid w:val="00861FCD"/>
    <w:rsid w:val="00861FFD"/>
    <w:rsid w:val="0086202B"/>
    <w:rsid w:val="008620A6"/>
    <w:rsid w:val="008621A2"/>
    <w:rsid w:val="008626AB"/>
    <w:rsid w:val="0086277B"/>
    <w:rsid w:val="0086278A"/>
    <w:rsid w:val="00862BC0"/>
    <w:rsid w:val="00862C5D"/>
    <w:rsid w:val="00862CBB"/>
    <w:rsid w:val="00862D95"/>
    <w:rsid w:val="00862DC3"/>
    <w:rsid w:val="00862E07"/>
    <w:rsid w:val="00862E80"/>
    <w:rsid w:val="00862ED3"/>
    <w:rsid w:val="00862F2C"/>
    <w:rsid w:val="00862FF7"/>
    <w:rsid w:val="00863013"/>
    <w:rsid w:val="0086311A"/>
    <w:rsid w:val="0086325C"/>
    <w:rsid w:val="008632E3"/>
    <w:rsid w:val="00863350"/>
    <w:rsid w:val="008633E0"/>
    <w:rsid w:val="00863409"/>
    <w:rsid w:val="008634B9"/>
    <w:rsid w:val="0086367C"/>
    <w:rsid w:val="008637B5"/>
    <w:rsid w:val="008637D6"/>
    <w:rsid w:val="0086385B"/>
    <w:rsid w:val="00863871"/>
    <w:rsid w:val="008638D8"/>
    <w:rsid w:val="00863916"/>
    <w:rsid w:val="00863939"/>
    <w:rsid w:val="00863A8D"/>
    <w:rsid w:val="00863B65"/>
    <w:rsid w:val="00863B6A"/>
    <w:rsid w:val="00863B71"/>
    <w:rsid w:val="00863B7F"/>
    <w:rsid w:val="00863C8C"/>
    <w:rsid w:val="00863F95"/>
    <w:rsid w:val="00863FBA"/>
    <w:rsid w:val="00864058"/>
    <w:rsid w:val="008640BD"/>
    <w:rsid w:val="008642C5"/>
    <w:rsid w:val="00864440"/>
    <w:rsid w:val="00864543"/>
    <w:rsid w:val="0086462B"/>
    <w:rsid w:val="00864669"/>
    <w:rsid w:val="008648B1"/>
    <w:rsid w:val="00864A1E"/>
    <w:rsid w:val="00864A89"/>
    <w:rsid w:val="00864AE7"/>
    <w:rsid w:val="00864AF5"/>
    <w:rsid w:val="00864B13"/>
    <w:rsid w:val="00864B9C"/>
    <w:rsid w:val="00864D5D"/>
    <w:rsid w:val="00864DF3"/>
    <w:rsid w:val="00864E08"/>
    <w:rsid w:val="00864EE5"/>
    <w:rsid w:val="00864F0B"/>
    <w:rsid w:val="00864F3C"/>
    <w:rsid w:val="00865037"/>
    <w:rsid w:val="0086506C"/>
    <w:rsid w:val="008650E5"/>
    <w:rsid w:val="008650FB"/>
    <w:rsid w:val="00865493"/>
    <w:rsid w:val="0086558B"/>
    <w:rsid w:val="008655C1"/>
    <w:rsid w:val="00865613"/>
    <w:rsid w:val="008657C5"/>
    <w:rsid w:val="0086585F"/>
    <w:rsid w:val="008659C1"/>
    <w:rsid w:val="00865A80"/>
    <w:rsid w:val="00865B51"/>
    <w:rsid w:val="00865B85"/>
    <w:rsid w:val="00865DC7"/>
    <w:rsid w:val="00865E41"/>
    <w:rsid w:val="00865F66"/>
    <w:rsid w:val="00865FDE"/>
    <w:rsid w:val="008663A9"/>
    <w:rsid w:val="00866601"/>
    <w:rsid w:val="00866607"/>
    <w:rsid w:val="008667B0"/>
    <w:rsid w:val="00866837"/>
    <w:rsid w:val="008669A7"/>
    <w:rsid w:val="008669EE"/>
    <w:rsid w:val="00866A35"/>
    <w:rsid w:val="00866AA6"/>
    <w:rsid w:val="00866B37"/>
    <w:rsid w:val="00866C03"/>
    <w:rsid w:val="00866C15"/>
    <w:rsid w:val="00866DDE"/>
    <w:rsid w:val="00866EEE"/>
    <w:rsid w:val="0086702C"/>
    <w:rsid w:val="0086703C"/>
    <w:rsid w:val="008670C5"/>
    <w:rsid w:val="008670F6"/>
    <w:rsid w:val="00867129"/>
    <w:rsid w:val="00867203"/>
    <w:rsid w:val="00867275"/>
    <w:rsid w:val="0086736F"/>
    <w:rsid w:val="00867420"/>
    <w:rsid w:val="008674DF"/>
    <w:rsid w:val="008675BB"/>
    <w:rsid w:val="008675CE"/>
    <w:rsid w:val="008676FB"/>
    <w:rsid w:val="0086776A"/>
    <w:rsid w:val="00867829"/>
    <w:rsid w:val="0086784F"/>
    <w:rsid w:val="00867896"/>
    <w:rsid w:val="008678D2"/>
    <w:rsid w:val="008679B3"/>
    <w:rsid w:val="00867A1E"/>
    <w:rsid w:val="00867A4D"/>
    <w:rsid w:val="00867B1A"/>
    <w:rsid w:val="00867C2A"/>
    <w:rsid w:val="00867C2B"/>
    <w:rsid w:val="00867EAC"/>
    <w:rsid w:val="00867ECC"/>
    <w:rsid w:val="00867F5E"/>
    <w:rsid w:val="0087001E"/>
    <w:rsid w:val="00870090"/>
    <w:rsid w:val="008700B4"/>
    <w:rsid w:val="008700CF"/>
    <w:rsid w:val="008701CC"/>
    <w:rsid w:val="008701F4"/>
    <w:rsid w:val="00870241"/>
    <w:rsid w:val="0087027D"/>
    <w:rsid w:val="008703B0"/>
    <w:rsid w:val="00870462"/>
    <w:rsid w:val="008704F4"/>
    <w:rsid w:val="008706DB"/>
    <w:rsid w:val="008706F3"/>
    <w:rsid w:val="00870875"/>
    <w:rsid w:val="008708DE"/>
    <w:rsid w:val="0087094D"/>
    <w:rsid w:val="00870993"/>
    <w:rsid w:val="00870BE1"/>
    <w:rsid w:val="00870BF8"/>
    <w:rsid w:val="00870C90"/>
    <w:rsid w:val="00870C9E"/>
    <w:rsid w:val="00870E55"/>
    <w:rsid w:val="00870E79"/>
    <w:rsid w:val="00870EAE"/>
    <w:rsid w:val="00871051"/>
    <w:rsid w:val="00871133"/>
    <w:rsid w:val="00871188"/>
    <w:rsid w:val="00871221"/>
    <w:rsid w:val="00871424"/>
    <w:rsid w:val="00871441"/>
    <w:rsid w:val="0087159D"/>
    <w:rsid w:val="0087162F"/>
    <w:rsid w:val="00871645"/>
    <w:rsid w:val="00871646"/>
    <w:rsid w:val="008716DF"/>
    <w:rsid w:val="0087182C"/>
    <w:rsid w:val="0087196C"/>
    <w:rsid w:val="00871AE9"/>
    <w:rsid w:val="00871BA9"/>
    <w:rsid w:val="00871FAB"/>
    <w:rsid w:val="00871FB3"/>
    <w:rsid w:val="00871FDD"/>
    <w:rsid w:val="00872091"/>
    <w:rsid w:val="008720AE"/>
    <w:rsid w:val="008720FA"/>
    <w:rsid w:val="008722C2"/>
    <w:rsid w:val="008722EB"/>
    <w:rsid w:val="00872535"/>
    <w:rsid w:val="00872563"/>
    <w:rsid w:val="00872681"/>
    <w:rsid w:val="008726CB"/>
    <w:rsid w:val="00872785"/>
    <w:rsid w:val="0087296D"/>
    <w:rsid w:val="00872A58"/>
    <w:rsid w:val="00872AF4"/>
    <w:rsid w:val="00872B11"/>
    <w:rsid w:val="00872B73"/>
    <w:rsid w:val="00872CB4"/>
    <w:rsid w:val="00872D1A"/>
    <w:rsid w:val="00872D5D"/>
    <w:rsid w:val="00872DB3"/>
    <w:rsid w:val="00872DE6"/>
    <w:rsid w:val="00872DF5"/>
    <w:rsid w:val="00872FD9"/>
    <w:rsid w:val="008730B6"/>
    <w:rsid w:val="00873132"/>
    <w:rsid w:val="00873147"/>
    <w:rsid w:val="008732B5"/>
    <w:rsid w:val="00873302"/>
    <w:rsid w:val="00873545"/>
    <w:rsid w:val="00873641"/>
    <w:rsid w:val="008737A1"/>
    <w:rsid w:val="008737F8"/>
    <w:rsid w:val="00873AA6"/>
    <w:rsid w:val="00873CB2"/>
    <w:rsid w:val="00873CBE"/>
    <w:rsid w:val="00873F15"/>
    <w:rsid w:val="00873F29"/>
    <w:rsid w:val="0087404A"/>
    <w:rsid w:val="00874074"/>
    <w:rsid w:val="0087418F"/>
    <w:rsid w:val="008743CF"/>
    <w:rsid w:val="008743E1"/>
    <w:rsid w:val="0087450A"/>
    <w:rsid w:val="008745B3"/>
    <w:rsid w:val="00874915"/>
    <w:rsid w:val="00874932"/>
    <w:rsid w:val="008749BB"/>
    <w:rsid w:val="00874AEE"/>
    <w:rsid w:val="00874C28"/>
    <w:rsid w:val="00874C6C"/>
    <w:rsid w:val="00874CC0"/>
    <w:rsid w:val="00874D37"/>
    <w:rsid w:val="00874D3F"/>
    <w:rsid w:val="00874DD4"/>
    <w:rsid w:val="00874E63"/>
    <w:rsid w:val="00874FAF"/>
    <w:rsid w:val="00875011"/>
    <w:rsid w:val="008751CB"/>
    <w:rsid w:val="008752BF"/>
    <w:rsid w:val="0087533B"/>
    <w:rsid w:val="008753B6"/>
    <w:rsid w:val="008754B4"/>
    <w:rsid w:val="008754BE"/>
    <w:rsid w:val="008754D6"/>
    <w:rsid w:val="008755BF"/>
    <w:rsid w:val="00875717"/>
    <w:rsid w:val="00875847"/>
    <w:rsid w:val="008759F7"/>
    <w:rsid w:val="00875C47"/>
    <w:rsid w:val="00875DD9"/>
    <w:rsid w:val="00875DE4"/>
    <w:rsid w:val="00875E37"/>
    <w:rsid w:val="008761CC"/>
    <w:rsid w:val="008761FA"/>
    <w:rsid w:val="00876491"/>
    <w:rsid w:val="0087649E"/>
    <w:rsid w:val="00876530"/>
    <w:rsid w:val="008766F5"/>
    <w:rsid w:val="00876709"/>
    <w:rsid w:val="0087677E"/>
    <w:rsid w:val="00876813"/>
    <w:rsid w:val="00876945"/>
    <w:rsid w:val="0087694C"/>
    <w:rsid w:val="00876B44"/>
    <w:rsid w:val="00876C8D"/>
    <w:rsid w:val="00876F14"/>
    <w:rsid w:val="00876F5E"/>
    <w:rsid w:val="00876FC9"/>
    <w:rsid w:val="0087700C"/>
    <w:rsid w:val="0087704D"/>
    <w:rsid w:val="00877070"/>
    <w:rsid w:val="00877095"/>
    <w:rsid w:val="00877254"/>
    <w:rsid w:val="0087729A"/>
    <w:rsid w:val="0087732D"/>
    <w:rsid w:val="00877491"/>
    <w:rsid w:val="00877572"/>
    <w:rsid w:val="0087759E"/>
    <w:rsid w:val="008775C1"/>
    <w:rsid w:val="00877612"/>
    <w:rsid w:val="008776A6"/>
    <w:rsid w:val="008776F9"/>
    <w:rsid w:val="008778D9"/>
    <w:rsid w:val="008778EE"/>
    <w:rsid w:val="00877909"/>
    <w:rsid w:val="00877AC2"/>
    <w:rsid w:val="00877ACE"/>
    <w:rsid w:val="00877B60"/>
    <w:rsid w:val="00877B66"/>
    <w:rsid w:val="00877C3A"/>
    <w:rsid w:val="00877C44"/>
    <w:rsid w:val="00877F63"/>
    <w:rsid w:val="00877FB4"/>
    <w:rsid w:val="008800C8"/>
    <w:rsid w:val="00880256"/>
    <w:rsid w:val="00880498"/>
    <w:rsid w:val="008804BB"/>
    <w:rsid w:val="008804CC"/>
    <w:rsid w:val="008806E6"/>
    <w:rsid w:val="00880845"/>
    <w:rsid w:val="0088088C"/>
    <w:rsid w:val="008808E0"/>
    <w:rsid w:val="00880A25"/>
    <w:rsid w:val="00880C0C"/>
    <w:rsid w:val="00880C1A"/>
    <w:rsid w:val="00880CBB"/>
    <w:rsid w:val="00880D60"/>
    <w:rsid w:val="00880E58"/>
    <w:rsid w:val="00880FDE"/>
    <w:rsid w:val="00881086"/>
    <w:rsid w:val="008810B6"/>
    <w:rsid w:val="0088113B"/>
    <w:rsid w:val="008811EA"/>
    <w:rsid w:val="00881534"/>
    <w:rsid w:val="00881564"/>
    <w:rsid w:val="0088161B"/>
    <w:rsid w:val="0088163D"/>
    <w:rsid w:val="0088166A"/>
    <w:rsid w:val="00881675"/>
    <w:rsid w:val="00881769"/>
    <w:rsid w:val="00881800"/>
    <w:rsid w:val="00881A5C"/>
    <w:rsid w:val="00881AC8"/>
    <w:rsid w:val="00881AEB"/>
    <w:rsid w:val="00881BEA"/>
    <w:rsid w:val="00881CA8"/>
    <w:rsid w:val="00881D53"/>
    <w:rsid w:val="00881DD9"/>
    <w:rsid w:val="00881F07"/>
    <w:rsid w:val="00881F10"/>
    <w:rsid w:val="0088205B"/>
    <w:rsid w:val="008820F2"/>
    <w:rsid w:val="00882166"/>
    <w:rsid w:val="008821F7"/>
    <w:rsid w:val="00882283"/>
    <w:rsid w:val="008823BE"/>
    <w:rsid w:val="008826D3"/>
    <w:rsid w:val="00882737"/>
    <w:rsid w:val="008827CA"/>
    <w:rsid w:val="008827FA"/>
    <w:rsid w:val="008828FD"/>
    <w:rsid w:val="00882930"/>
    <w:rsid w:val="0088294A"/>
    <w:rsid w:val="00882A73"/>
    <w:rsid w:val="00882AFB"/>
    <w:rsid w:val="00882B95"/>
    <w:rsid w:val="00882BAC"/>
    <w:rsid w:val="00882E57"/>
    <w:rsid w:val="00882F01"/>
    <w:rsid w:val="00882F03"/>
    <w:rsid w:val="00882F06"/>
    <w:rsid w:val="00882FB7"/>
    <w:rsid w:val="00882FDA"/>
    <w:rsid w:val="0088319E"/>
    <w:rsid w:val="0088322F"/>
    <w:rsid w:val="00883255"/>
    <w:rsid w:val="008832E3"/>
    <w:rsid w:val="0088344E"/>
    <w:rsid w:val="00883464"/>
    <w:rsid w:val="008834A7"/>
    <w:rsid w:val="008834B5"/>
    <w:rsid w:val="00883554"/>
    <w:rsid w:val="008837C4"/>
    <w:rsid w:val="008839BF"/>
    <w:rsid w:val="00883B9E"/>
    <w:rsid w:val="00883C44"/>
    <w:rsid w:val="00883C77"/>
    <w:rsid w:val="00883EA7"/>
    <w:rsid w:val="00883F41"/>
    <w:rsid w:val="00883F90"/>
    <w:rsid w:val="00883FB2"/>
    <w:rsid w:val="00884055"/>
    <w:rsid w:val="0088406E"/>
    <w:rsid w:val="00884196"/>
    <w:rsid w:val="008841CF"/>
    <w:rsid w:val="0088434A"/>
    <w:rsid w:val="008843A6"/>
    <w:rsid w:val="008843E0"/>
    <w:rsid w:val="00884537"/>
    <w:rsid w:val="00884641"/>
    <w:rsid w:val="008848FF"/>
    <w:rsid w:val="00884972"/>
    <w:rsid w:val="008849C9"/>
    <w:rsid w:val="00884AFA"/>
    <w:rsid w:val="00884D44"/>
    <w:rsid w:val="00884E73"/>
    <w:rsid w:val="0088506C"/>
    <w:rsid w:val="0088506E"/>
    <w:rsid w:val="008850BC"/>
    <w:rsid w:val="008851C3"/>
    <w:rsid w:val="00885259"/>
    <w:rsid w:val="0088526E"/>
    <w:rsid w:val="008852D7"/>
    <w:rsid w:val="008852FA"/>
    <w:rsid w:val="008853F1"/>
    <w:rsid w:val="00885471"/>
    <w:rsid w:val="008854AD"/>
    <w:rsid w:val="008854EF"/>
    <w:rsid w:val="00885676"/>
    <w:rsid w:val="00885688"/>
    <w:rsid w:val="0088569D"/>
    <w:rsid w:val="008856A3"/>
    <w:rsid w:val="008856E7"/>
    <w:rsid w:val="0088577E"/>
    <w:rsid w:val="008857FA"/>
    <w:rsid w:val="0088589D"/>
    <w:rsid w:val="008858B7"/>
    <w:rsid w:val="00885AB1"/>
    <w:rsid w:val="00885BE5"/>
    <w:rsid w:val="00885CBD"/>
    <w:rsid w:val="00885CBE"/>
    <w:rsid w:val="00885CC4"/>
    <w:rsid w:val="00885CE7"/>
    <w:rsid w:val="00885D01"/>
    <w:rsid w:val="00885D79"/>
    <w:rsid w:val="00885DCB"/>
    <w:rsid w:val="00885EAA"/>
    <w:rsid w:val="00885F51"/>
    <w:rsid w:val="00885FE3"/>
    <w:rsid w:val="00886236"/>
    <w:rsid w:val="0088626C"/>
    <w:rsid w:val="008862B1"/>
    <w:rsid w:val="008862F7"/>
    <w:rsid w:val="008864FB"/>
    <w:rsid w:val="008864FD"/>
    <w:rsid w:val="008866A3"/>
    <w:rsid w:val="008867BD"/>
    <w:rsid w:val="008867DA"/>
    <w:rsid w:val="00886820"/>
    <w:rsid w:val="00886931"/>
    <w:rsid w:val="00886A8A"/>
    <w:rsid w:val="00886AEE"/>
    <w:rsid w:val="00886B9F"/>
    <w:rsid w:val="00886C1E"/>
    <w:rsid w:val="00886C8C"/>
    <w:rsid w:val="00886F7E"/>
    <w:rsid w:val="00887034"/>
    <w:rsid w:val="0088708C"/>
    <w:rsid w:val="0088718D"/>
    <w:rsid w:val="008871B4"/>
    <w:rsid w:val="008871F1"/>
    <w:rsid w:val="008872BD"/>
    <w:rsid w:val="00887435"/>
    <w:rsid w:val="00887473"/>
    <w:rsid w:val="008875BD"/>
    <w:rsid w:val="0088767D"/>
    <w:rsid w:val="00887774"/>
    <w:rsid w:val="008878F1"/>
    <w:rsid w:val="008879CD"/>
    <w:rsid w:val="00887B0A"/>
    <w:rsid w:val="00887BD8"/>
    <w:rsid w:val="00887C12"/>
    <w:rsid w:val="00887C40"/>
    <w:rsid w:val="00887C7F"/>
    <w:rsid w:val="00887CC2"/>
    <w:rsid w:val="00887E2C"/>
    <w:rsid w:val="00887E3B"/>
    <w:rsid w:val="00887E51"/>
    <w:rsid w:val="00887F4E"/>
    <w:rsid w:val="0089019C"/>
    <w:rsid w:val="008901DC"/>
    <w:rsid w:val="008902A9"/>
    <w:rsid w:val="008902E6"/>
    <w:rsid w:val="008902F3"/>
    <w:rsid w:val="0089039D"/>
    <w:rsid w:val="008905AE"/>
    <w:rsid w:val="008905EE"/>
    <w:rsid w:val="00890609"/>
    <w:rsid w:val="00890638"/>
    <w:rsid w:val="0089066B"/>
    <w:rsid w:val="008907BD"/>
    <w:rsid w:val="0089088D"/>
    <w:rsid w:val="008909AE"/>
    <w:rsid w:val="00890A13"/>
    <w:rsid w:val="00890A27"/>
    <w:rsid w:val="00890B3E"/>
    <w:rsid w:val="00890D13"/>
    <w:rsid w:val="00890E10"/>
    <w:rsid w:val="00891013"/>
    <w:rsid w:val="00891040"/>
    <w:rsid w:val="00891119"/>
    <w:rsid w:val="00891225"/>
    <w:rsid w:val="00891386"/>
    <w:rsid w:val="008913AE"/>
    <w:rsid w:val="008913EF"/>
    <w:rsid w:val="008914D1"/>
    <w:rsid w:val="008915D3"/>
    <w:rsid w:val="00891765"/>
    <w:rsid w:val="00891907"/>
    <w:rsid w:val="00891AF7"/>
    <w:rsid w:val="00891CA2"/>
    <w:rsid w:val="00891EAF"/>
    <w:rsid w:val="00891FB3"/>
    <w:rsid w:val="00892006"/>
    <w:rsid w:val="00892026"/>
    <w:rsid w:val="0089202E"/>
    <w:rsid w:val="008920D9"/>
    <w:rsid w:val="00892149"/>
    <w:rsid w:val="0089223A"/>
    <w:rsid w:val="008922D0"/>
    <w:rsid w:val="00892301"/>
    <w:rsid w:val="00892324"/>
    <w:rsid w:val="00892537"/>
    <w:rsid w:val="0089257D"/>
    <w:rsid w:val="0089267D"/>
    <w:rsid w:val="00892777"/>
    <w:rsid w:val="008927A4"/>
    <w:rsid w:val="008927B5"/>
    <w:rsid w:val="008927D6"/>
    <w:rsid w:val="00892842"/>
    <w:rsid w:val="008929E4"/>
    <w:rsid w:val="00892A2A"/>
    <w:rsid w:val="00892CE6"/>
    <w:rsid w:val="00892DED"/>
    <w:rsid w:val="00892DF9"/>
    <w:rsid w:val="00892E9E"/>
    <w:rsid w:val="00892FB9"/>
    <w:rsid w:val="008930A0"/>
    <w:rsid w:val="00893168"/>
    <w:rsid w:val="008931B3"/>
    <w:rsid w:val="008931D8"/>
    <w:rsid w:val="00893244"/>
    <w:rsid w:val="00893294"/>
    <w:rsid w:val="008932ED"/>
    <w:rsid w:val="00893495"/>
    <w:rsid w:val="008937ED"/>
    <w:rsid w:val="008938B7"/>
    <w:rsid w:val="00893921"/>
    <w:rsid w:val="0089392C"/>
    <w:rsid w:val="008939C8"/>
    <w:rsid w:val="00893BEF"/>
    <w:rsid w:val="00893BFF"/>
    <w:rsid w:val="00893E96"/>
    <w:rsid w:val="00893EFF"/>
    <w:rsid w:val="0089405B"/>
    <w:rsid w:val="00894177"/>
    <w:rsid w:val="008941BF"/>
    <w:rsid w:val="008941E4"/>
    <w:rsid w:val="008943D3"/>
    <w:rsid w:val="0089451C"/>
    <w:rsid w:val="00894548"/>
    <w:rsid w:val="008945C4"/>
    <w:rsid w:val="00894830"/>
    <w:rsid w:val="00894841"/>
    <w:rsid w:val="00894872"/>
    <w:rsid w:val="0089490C"/>
    <w:rsid w:val="00894945"/>
    <w:rsid w:val="00894A06"/>
    <w:rsid w:val="00894A67"/>
    <w:rsid w:val="00894B84"/>
    <w:rsid w:val="00894BBE"/>
    <w:rsid w:val="00894CCB"/>
    <w:rsid w:val="00894E40"/>
    <w:rsid w:val="00894ED5"/>
    <w:rsid w:val="00894FD6"/>
    <w:rsid w:val="008950A3"/>
    <w:rsid w:val="008953A2"/>
    <w:rsid w:val="008953AF"/>
    <w:rsid w:val="008954B6"/>
    <w:rsid w:val="008954FD"/>
    <w:rsid w:val="00895752"/>
    <w:rsid w:val="0089585D"/>
    <w:rsid w:val="00895AAC"/>
    <w:rsid w:val="00895C1A"/>
    <w:rsid w:val="00895CBC"/>
    <w:rsid w:val="00895D1B"/>
    <w:rsid w:val="00895E1B"/>
    <w:rsid w:val="00895EE6"/>
    <w:rsid w:val="00895EF3"/>
    <w:rsid w:val="008960E8"/>
    <w:rsid w:val="0089622E"/>
    <w:rsid w:val="00896259"/>
    <w:rsid w:val="0089627A"/>
    <w:rsid w:val="008962B6"/>
    <w:rsid w:val="008963B1"/>
    <w:rsid w:val="00896436"/>
    <w:rsid w:val="008965C3"/>
    <w:rsid w:val="0089663E"/>
    <w:rsid w:val="00896676"/>
    <w:rsid w:val="00896759"/>
    <w:rsid w:val="00896790"/>
    <w:rsid w:val="00896841"/>
    <w:rsid w:val="008969C8"/>
    <w:rsid w:val="00896B71"/>
    <w:rsid w:val="00896B94"/>
    <w:rsid w:val="00896C18"/>
    <w:rsid w:val="00896D52"/>
    <w:rsid w:val="00896D72"/>
    <w:rsid w:val="00896DC5"/>
    <w:rsid w:val="00896E00"/>
    <w:rsid w:val="00896E6D"/>
    <w:rsid w:val="00896E73"/>
    <w:rsid w:val="00896F1B"/>
    <w:rsid w:val="008971B3"/>
    <w:rsid w:val="00897688"/>
    <w:rsid w:val="008977F0"/>
    <w:rsid w:val="00897818"/>
    <w:rsid w:val="00897942"/>
    <w:rsid w:val="0089795E"/>
    <w:rsid w:val="00897A6F"/>
    <w:rsid w:val="00897A8B"/>
    <w:rsid w:val="00897C13"/>
    <w:rsid w:val="00897D0C"/>
    <w:rsid w:val="00897D25"/>
    <w:rsid w:val="00897EC9"/>
    <w:rsid w:val="00897F0B"/>
    <w:rsid w:val="00897FCD"/>
    <w:rsid w:val="008A0017"/>
    <w:rsid w:val="008A00BB"/>
    <w:rsid w:val="008A040B"/>
    <w:rsid w:val="008A0475"/>
    <w:rsid w:val="008A04A1"/>
    <w:rsid w:val="008A04E7"/>
    <w:rsid w:val="008A05DF"/>
    <w:rsid w:val="008A0834"/>
    <w:rsid w:val="008A0904"/>
    <w:rsid w:val="008A0A0E"/>
    <w:rsid w:val="008A0A27"/>
    <w:rsid w:val="008A0A91"/>
    <w:rsid w:val="008A0AB6"/>
    <w:rsid w:val="008A0ADE"/>
    <w:rsid w:val="008A0B92"/>
    <w:rsid w:val="008A0BB7"/>
    <w:rsid w:val="008A0BF4"/>
    <w:rsid w:val="008A0C59"/>
    <w:rsid w:val="008A0E00"/>
    <w:rsid w:val="008A0E45"/>
    <w:rsid w:val="008A0E80"/>
    <w:rsid w:val="008A0ECF"/>
    <w:rsid w:val="008A0F06"/>
    <w:rsid w:val="008A0F0D"/>
    <w:rsid w:val="008A0F72"/>
    <w:rsid w:val="008A1082"/>
    <w:rsid w:val="008A1088"/>
    <w:rsid w:val="008A1154"/>
    <w:rsid w:val="008A1210"/>
    <w:rsid w:val="008A1366"/>
    <w:rsid w:val="008A1400"/>
    <w:rsid w:val="008A1478"/>
    <w:rsid w:val="008A153E"/>
    <w:rsid w:val="008A170F"/>
    <w:rsid w:val="008A1718"/>
    <w:rsid w:val="008A179A"/>
    <w:rsid w:val="008A18EA"/>
    <w:rsid w:val="008A1A14"/>
    <w:rsid w:val="008A1A47"/>
    <w:rsid w:val="008A1AD9"/>
    <w:rsid w:val="008A1B65"/>
    <w:rsid w:val="008A1B6A"/>
    <w:rsid w:val="008A1BD4"/>
    <w:rsid w:val="008A1CB6"/>
    <w:rsid w:val="008A1CEE"/>
    <w:rsid w:val="008A1D18"/>
    <w:rsid w:val="008A1F27"/>
    <w:rsid w:val="008A1FAA"/>
    <w:rsid w:val="008A20E9"/>
    <w:rsid w:val="008A2269"/>
    <w:rsid w:val="008A232B"/>
    <w:rsid w:val="008A2467"/>
    <w:rsid w:val="008A2620"/>
    <w:rsid w:val="008A2760"/>
    <w:rsid w:val="008A2767"/>
    <w:rsid w:val="008A2818"/>
    <w:rsid w:val="008A2862"/>
    <w:rsid w:val="008A294C"/>
    <w:rsid w:val="008A2B55"/>
    <w:rsid w:val="008A2CBA"/>
    <w:rsid w:val="008A2D77"/>
    <w:rsid w:val="008A2DA7"/>
    <w:rsid w:val="008A2F60"/>
    <w:rsid w:val="008A300D"/>
    <w:rsid w:val="008A309F"/>
    <w:rsid w:val="008A3170"/>
    <w:rsid w:val="008A323A"/>
    <w:rsid w:val="008A328A"/>
    <w:rsid w:val="008A32CD"/>
    <w:rsid w:val="008A35FD"/>
    <w:rsid w:val="008A36A0"/>
    <w:rsid w:val="008A36B6"/>
    <w:rsid w:val="008A3764"/>
    <w:rsid w:val="008A3858"/>
    <w:rsid w:val="008A389A"/>
    <w:rsid w:val="008A38FD"/>
    <w:rsid w:val="008A39E6"/>
    <w:rsid w:val="008A3ABA"/>
    <w:rsid w:val="008A3ACA"/>
    <w:rsid w:val="008A3B0E"/>
    <w:rsid w:val="008A3D0F"/>
    <w:rsid w:val="008A3D7F"/>
    <w:rsid w:val="008A3E59"/>
    <w:rsid w:val="008A4141"/>
    <w:rsid w:val="008A4203"/>
    <w:rsid w:val="008A42A9"/>
    <w:rsid w:val="008A43F6"/>
    <w:rsid w:val="008A4428"/>
    <w:rsid w:val="008A4483"/>
    <w:rsid w:val="008A4634"/>
    <w:rsid w:val="008A4814"/>
    <w:rsid w:val="008A485D"/>
    <w:rsid w:val="008A4892"/>
    <w:rsid w:val="008A4C81"/>
    <w:rsid w:val="008A4DC8"/>
    <w:rsid w:val="008A50C9"/>
    <w:rsid w:val="008A51E9"/>
    <w:rsid w:val="008A5341"/>
    <w:rsid w:val="008A54A6"/>
    <w:rsid w:val="008A5580"/>
    <w:rsid w:val="008A5582"/>
    <w:rsid w:val="008A567F"/>
    <w:rsid w:val="008A56F5"/>
    <w:rsid w:val="008A5726"/>
    <w:rsid w:val="008A5784"/>
    <w:rsid w:val="008A586C"/>
    <w:rsid w:val="008A58B9"/>
    <w:rsid w:val="008A5987"/>
    <w:rsid w:val="008A5A75"/>
    <w:rsid w:val="008A5B75"/>
    <w:rsid w:val="008A5B97"/>
    <w:rsid w:val="008A5CD1"/>
    <w:rsid w:val="008A5D30"/>
    <w:rsid w:val="008A5D90"/>
    <w:rsid w:val="008A5E60"/>
    <w:rsid w:val="008A5ECB"/>
    <w:rsid w:val="008A5FC3"/>
    <w:rsid w:val="008A5FD0"/>
    <w:rsid w:val="008A60FA"/>
    <w:rsid w:val="008A62EA"/>
    <w:rsid w:val="008A632A"/>
    <w:rsid w:val="008A635F"/>
    <w:rsid w:val="008A641C"/>
    <w:rsid w:val="008A6447"/>
    <w:rsid w:val="008A675A"/>
    <w:rsid w:val="008A68A5"/>
    <w:rsid w:val="008A68C6"/>
    <w:rsid w:val="008A68D3"/>
    <w:rsid w:val="008A6944"/>
    <w:rsid w:val="008A69A5"/>
    <w:rsid w:val="008A69A6"/>
    <w:rsid w:val="008A69D6"/>
    <w:rsid w:val="008A69E6"/>
    <w:rsid w:val="008A6A3C"/>
    <w:rsid w:val="008A6AF2"/>
    <w:rsid w:val="008A6B85"/>
    <w:rsid w:val="008A6C35"/>
    <w:rsid w:val="008A6C50"/>
    <w:rsid w:val="008A6C8C"/>
    <w:rsid w:val="008A6DBA"/>
    <w:rsid w:val="008A6E63"/>
    <w:rsid w:val="008A6ECF"/>
    <w:rsid w:val="008A6F16"/>
    <w:rsid w:val="008A6F87"/>
    <w:rsid w:val="008A7023"/>
    <w:rsid w:val="008A702D"/>
    <w:rsid w:val="008A7077"/>
    <w:rsid w:val="008A7184"/>
    <w:rsid w:val="008A718C"/>
    <w:rsid w:val="008A71EC"/>
    <w:rsid w:val="008A72FF"/>
    <w:rsid w:val="008A7400"/>
    <w:rsid w:val="008A741D"/>
    <w:rsid w:val="008A75F6"/>
    <w:rsid w:val="008A75FE"/>
    <w:rsid w:val="008A76C2"/>
    <w:rsid w:val="008A77B5"/>
    <w:rsid w:val="008A787F"/>
    <w:rsid w:val="008A78AB"/>
    <w:rsid w:val="008A78C6"/>
    <w:rsid w:val="008A79BB"/>
    <w:rsid w:val="008A79C5"/>
    <w:rsid w:val="008A79F0"/>
    <w:rsid w:val="008A7A88"/>
    <w:rsid w:val="008A7AFD"/>
    <w:rsid w:val="008A7BF9"/>
    <w:rsid w:val="008A7BFA"/>
    <w:rsid w:val="008B00D8"/>
    <w:rsid w:val="008B015D"/>
    <w:rsid w:val="008B0211"/>
    <w:rsid w:val="008B0282"/>
    <w:rsid w:val="008B02CD"/>
    <w:rsid w:val="008B0354"/>
    <w:rsid w:val="008B045E"/>
    <w:rsid w:val="008B04CB"/>
    <w:rsid w:val="008B055B"/>
    <w:rsid w:val="008B0722"/>
    <w:rsid w:val="008B099C"/>
    <w:rsid w:val="008B09D7"/>
    <w:rsid w:val="008B0C86"/>
    <w:rsid w:val="008B0DEF"/>
    <w:rsid w:val="008B0E44"/>
    <w:rsid w:val="008B0E6B"/>
    <w:rsid w:val="008B0F04"/>
    <w:rsid w:val="008B0F2E"/>
    <w:rsid w:val="008B0F43"/>
    <w:rsid w:val="008B0F96"/>
    <w:rsid w:val="008B10C9"/>
    <w:rsid w:val="008B122D"/>
    <w:rsid w:val="008B1444"/>
    <w:rsid w:val="008B1484"/>
    <w:rsid w:val="008B1494"/>
    <w:rsid w:val="008B1509"/>
    <w:rsid w:val="008B1534"/>
    <w:rsid w:val="008B15E5"/>
    <w:rsid w:val="008B1799"/>
    <w:rsid w:val="008B18C0"/>
    <w:rsid w:val="008B1923"/>
    <w:rsid w:val="008B1958"/>
    <w:rsid w:val="008B1A1C"/>
    <w:rsid w:val="008B1AEB"/>
    <w:rsid w:val="008B1BCB"/>
    <w:rsid w:val="008B1C65"/>
    <w:rsid w:val="008B1D29"/>
    <w:rsid w:val="008B1D6E"/>
    <w:rsid w:val="008B1D7E"/>
    <w:rsid w:val="008B1D80"/>
    <w:rsid w:val="008B1DB6"/>
    <w:rsid w:val="008B1E2B"/>
    <w:rsid w:val="008B1F45"/>
    <w:rsid w:val="008B2081"/>
    <w:rsid w:val="008B2120"/>
    <w:rsid w:val="008B2261"/>
    <w:rsid w:val="008B22B0"/>
    <w:rsid w:val="008B230C"/>
    <w:rsid w:val="008B234C"/>
    <w:rsid w:val="008B2370"/>
    <w:rsid w:val="008B2631"/>
    <w:rsid w:val="008B267F"/>
    <w:rsid w:val="008B26BA"/>
    <w:rsid w:val="008B2C26"/>
    <w:rsid w:val="008B2D5E"/>
    <w:rsid w:val="008B2E3B"/>
    <w:rsid w:val="008B2E8D"/>
    <w:rsid w:val="008B2E98"/>
    <w:rsid w:val="008B2EBD"/>
    <w:rsid w:val="008B30E9"/>
    <w:rsid w:val="008B3162"/>
    <w:rsid w:val="008B3237"/>
    <w:rsid w:val="008B32A2"/>
    <w:rsid w:val="008B333D"/>
    <w:rsid w:val="008B3414"/>
    <w:rsid w:val="008B36C0"/>
    <w:rsid w:val="008B3739"/>
    <w:rsid w:val="008B3990"/>
    <w:rsid w:val="008B39D6"/>
    <w:rsid w:val="008B3BC2"/>
    <w:rsid w:val="008B3BE3"/>
    <w:rsid w:val="008B3BE7"/>
    <w:rsid w:val="008B3C67"/>
    <w:rsid w:val="008B3C7C"/>
    <w:rsid w:val="008B3CF7"/>
    <w:rsid w:val="008B3E0B"/>
    <w:rsid w:val="008B3EF0"/>
    <w:rsid w:val="008B401A"/>
    <w:rsid w:val="008B4052"/>
    <w:rsid w:val="008B4191"/>
    <w:rsid w:val="008B41EE"/>
    <w:rsid w:val="008B4278"/>
    <w:rsid w:val="008B433E"/>
    <w:rsid w:val="008B4387"/>
    <w:rsid w:val="008B43A6"/>
    <w:rsid w:val="008B43E1"/>
    <w:rsid w:val="008B44F8"/>
    <w:rsid w:val="008B4606"/>
    <w:rsid w:val="008B4618"/>
    <w:rsid w:val="008B461A"/>
    <w:rsid w:val="008B483D"/>
    <w:rsid w:val="008B4903"/>
    <w:rsid w:val="008B4987"/>
    <w:rsid w:val="008B4AE9"/>
    <w:rsid w:val="008B4AF3"/>
    <w:rsid w:val="008B4C47"/>
    <w:rsid w:val="008B4DFC"/>
    <w:rsid w:val="008B4DFE"/>
    <w:rsid w:val="008B4E0B"/>
    <w:rsid w:val="008B4E5E"/>
    <w:rsid w:val="008B4E64"/>
    <w:rsid w:val="008B4E74"/>
    <w:rsid w:val="008B4E94"/>
    <w:rsid w:val="008B5A03"/>
    <w:rsid w:val="008B5A43"/>
    <w:rsid w:val="008B5BC6"/>
    <w:rsid w:val="008B5BE1"/>
    <w:rsid w:val="008B5DBE"/>
    <w:rsid w:val="008B5E2F"/>
    <w:rsid w:val="008B5F0E"/>
    <w:rsid w:val="008B5F52"/>
    <w:rsid w:val="008B5FCF"/>
    <w:rsid w:val="008B6020"/>
    <w:rsid w:val="008B609F"/>
    <w:rsid w:val="008B6188"/>
    <w:rsid w:val="008B6238"/>
    <w:rsid w:val="008B62B2"/>
    <w:rsid w:val="008B62F1"/>
    <w:rsid w:val="008B645C"/>
    <w:rsid w:val="008B6485"/>
    <w:rsid w:val="008B64D5"/>
    <w:rsid w:val="008B660F"/>
    <w:rsid w:val="008B66AF"/>
    <w:rsid w:val="008B66FC"/>
    <w:rsid w:val="008B68EC"/>
    <w:rsid w:val="008B68F9"/>
    <w:rsid w:val="008B6939"/>
    <w:rsid w:val="008B6944"/>
    <w:rsid w:val="008B6B2F"/>
    <w:rsid w:val="008B6B5E"/>
    <w:rsid w:val="008B6B7B"/>
    <w:rsid w:val="008B6C3F"/>
    <w:rsid w:val="008B6C8B"/>
    <w:rsid w:val="008B6D3D"/>
    <w:rsid w:val="008B6DB9"/>
    <w:rsid w:val="008B6EC5"/>
    <w:rsid w:val="008B6ECA"/>
    <w:rsid w:val="008B7037"/>
    <w:rsid w:val="008B7163"/>
    <w:rsid w:val="008B71C1"/>
    <w:rsid w:val="008B72F5"/>
    <w:rsid w:val="008B740A"/>
    <w:rsid w:val="008B756E"/>
    <w:rsid w:val="008B76AD"/>
    <w:rsid w:val="008B76F1"/>
    <w:rsid w:val="008B77DF"/>
    <w:rsid w:val="008B7857"/>
    <w:rsid w:val="008B786B"/>
    <w:rsid w:val="008B78B0"/>
    <w:rsid w:val="008B78C7"/>
    <w:rsid w:val="008B78C9"/>
    <w:rsid w:val="008B78EE"/>
    <w:rsid w:val="008B78FA"/>
    <w:rsid w:val="008B79BD"/>
    <w:rsid w:val="008B7B0A"/>
    <w:rsid w:val="008B7B35"/>
    <w:rsid w:val="008B7CAB"/>
    <w:rsid w:val="008B7DD1"/>
    <w:rsid w:val="008B7E28"/>
    <w:rsid w:val="008B7E2A"/>
    <w:rsid w:val="008B7E4E"/>
    <w:rsid w:val="008B7E64"/>
    <w:rsid w:val="008B7E7A"/>
    <w:rsid w:val="008B7E92"/>
    <w:rsid w:val="008BA09E"/>
    <w:rsid w:val="008C00E2"/>
    <w:rsid w:val="008C027E"/>
    <w:rsid w:val="008C02D0"/>
    <w:rsid w:val="008C02E2"/>
    <w:rsid w:val="008C0460"/>
    <w:rsid w:val="008C0555"/>
    <w:rsid w:val="008C0668"/>
    <w:rsid w:val="008C06A1"/>
    <w:rsid w:val="008C0714"/>
    <w:rsid w:val="008C0745"/>
    <w:rsid w:val="008C078E"/>
    <w:rsid w:val="008C07FB"/>
    <w:rsid w:val="008C092C"/>
    <w:rsid w:val="008C0936"/>
    <w:rsid w:val="008C0960"/>
    <w:rsid w:val="008C097D"/>
    <w:rsid w:val="008C09DE"/>
    <w:rsid w:val="008C0B80"/>
    <w:rsid w:val="008C0B81"/>
    <w:rsid w:val="008C0BD3"/>
    <w:rsid w:val="008C0BF0"/>
    <w:rsid w:val="008C0C9D"/>
    <w:rsid w:val="008C0D0D"/>
    <w:rsid w:val="008C0D4B"/>
    <w:rsid w:val="008C0D56"/>
    <w:rsid w:val="008C0D8C"/>
    <w:rsid w:val="008C0E37"/>
    <w:rsid w:val="008C0EE0"/>
    <w:rsid w:val="008C0F4D"/>
    <w:rsid w:val="008C0F84"/>
    <w:rsid w:val="008C1008"/>
    <w:rsid w:val="008C1061"/>
    <w:rsid w:val="008C1073"/>
    <w:rsid w:val="008C10D7"/>
    <w:rsid w:val="008C13DB"/>
    <w:rsid w:val="008C1497"/>
    <w:rsid w:val="008C158D"/>
    <w:rsid w:val="008C15B5"/>
    <w:rsid w:val="008C1649"/>
    <w:rsid w:val="008C1679"/>
    <w:rsid w:val="008C170A"/>
    <w:rsid w:val="008C1715"/>
    <w:rsid w:val="008C1909"/>
    <w:rsid w:val="008C1915"/>
    <w:rsid w:val="008C1921"/>
    <w:rsid w:val="008C1A39"/>
    <w:rsid w:val="008C1BF6"/>
    <w:rsid w:val="008C1C51"/>
    <w:rsid w:val="008C1CA4"/>
    <w:rsid w:val="008C20A0"/>
    <w:rsid w:val="008C20F3"/>
    <w:rsid w:val="008C218C"/>
    <w:rsid w:val="008C2205"/>
    <w:rsid w:val="008C227F"/>
    <w:rsid w:val="008C228F"/>
    <w:rsid w:val="008C22A9"/>
    <w:rsid w:val="008C22B1"/>
    <w:rsid w:val="008C2388"/>
    <w:rsid w:val="008C23BF"/>
    <w:rsid w:val="008C2471"/>
    <w:rsid w:val="008C247A"/>
    <w:rsid w:val="008C248D"/>
    <w:rsid w:val="008C25DF"/>
    <w:rsid w:val="008C264A"/>
    <w:rsid w:val="008C270B"/>
    <w:rsid w:val="008C2774"/>
    <w:rsid w:val="008C2810"/>
    <w:rsid w:val="008C28BB"/>
    <w:rsid w:val="008C2903"/>
    <w:rsid w:val="008C29C0"/>
    <w:rsid w:val="008C2AB7"/>
    <w:rsid w:val="008C2C77"/>
    <w:rsid w:val="008C2D97"/>
    <w:rsid w:val="008C2EA5"/>
    <w:rsid w:val="008C315E"/>
    <w:rsid w:val="008C3235"/>
    <w:rsid w:val="008C325E"/>
    <w:rsid w:val="008C3269"/>
    <w:rsid w:val="008C34D9"/>
    <w:rsid w:val="008C35F5"/>
    <w:rsid w:val="008C3603"/>
    <w:rsid w:val="008C373F"/>
    <w:rsid w:val="008C376C"/>
    <w:rsid w:val="008C380B"/>
    <w:rsid w:val="008C3860"/>
    <w:rsid w:val="008C394E"/>
    <w:rsid w:val="008C3998"/>
    <w:rsid w:val="008C3A81"/>
    <w:rsid w:val="008C3B12"/>
    <w:rsid w:val="008C3B20"/>
    <w:rsid w:val="008C3B3E"/>
    <w:rsid w:val="008C3B83"/>
    <w:rsid w:val="008C3DB7"/>
    <w:rsid w:val="008C3FD6"/>
    <w:rsid w:val="008C40EA"/>
    <w:rsid w:val="008C40EF"/>
    <w:rsid w:val="008C4135"/>
    <w:rsid w:val="008C448C"/>
    <w:rsid w:val="008C44A7"/>
    <w:rsid w:val="008C4646"/>
    <w:rsid w:val="008C47E4"/>
    <w:rsid w:val="008C48D7"/>
    <w:rsid w:val="008C496D"/>
    <w:rsid w:val="008C49E8"/>
    <w:rsid w:val="008C4ADD"/>
    <w:rsid w:val="008C4BC2"/>
    <w:rsid w:val="008C4BF7"/>
    <w:rsid w:val="008C4DEE"/>
    <w:rsid w:val="008C4E6F"/>
    <w:rsid w:val="008C4F2C"/>
    <w:rsid w:val="008C4F2E"/>
    <w:rsid w:val="008C4FA3"/>
    <w:rsid w:val="008C4FA9"/>
    <w:rsid w:val="008C4FE5"/>
    <w:rsid w:val="008C4FE7"/>
    <w:rsid w:val="008C4FEA"/>
    <w:rsid w:val="008C5268"/>
    <w:rsid w:val="008C53A2"/>
    <w:rsid w:val="008C540B"/>
    <w:rsid w:val="008C5421"/>
    <w:rsid w:val="008C5494"/>
    <w:rsid w:val="008C55A0"/>
    <w:rsid w:val="008C55B9"/>
    <w:rsid w:val="008C55D7"/>
    <w:rsid w:val="008C55FC"/>
    <w:rsid w:val="008C56F8"/>
    <w:rsid w:val="008C5721"/>
    <w:rsid w:val="008C57BC"/>
    <w:rsid w:val="008C5864"/>
    <w:rsid w:val="008C5B5C"/>
    <w:rsid w:val="008C5E27"/>
    <w:rsid w:val="008C5E41"/>
    <w:rsid w:val="008C5FD8"/>
    <w:rsid w:val="008C613F"/>
    <w:rsid w:val="008C61EE"/>
    <w:rsid w:val="008C629C"/>
    <w:rsid w:val="008C63EC"/>
    <w:rsid w:val="008C651E"/>
    <w:rsid w:val="008C6583"/>
    <w:rsid w:val="008C661F"/>
    <w:rsid w:val="008C67BA"/>
    <w:rsid w:val="008C67EA"/>
    <w:rsid w:val="008C68BB"/>
    <w:rsid w:val="008C694A"/>
    <w:rsid w:val="008C694D"/>
    <w:rsid w:val="008C6981"/>
    <w:rsid w:val="008C69B3"/>
    <w:rsid w:val="008C6BB2"/>
    <w:rsid w:val="008C6EB1"/>
    <w:rsid w:val="008C7063"/>
    <w:rsid w:val="008C709A"/>
    <w:rsid w:val="008C70C9"/>
    <w:rsid w:val="008C70D7"/>
    <w:rsid w:val="008C70DF"/>
    <w:rsid w:val="008C7175"/>
    <w:rsid w:val="008C71D0"/>
    <w:rsid w:val="008C71D2"/>
    <w:rsid w:val="008C71EB"/>
    <w:rsid w:val="008C72AE"/>
    <w:rsid w:val="008C72ED"/>
    <w:rsid w:val="008C7407"/>
    <w:rsid w:val="008C7513"/>
    <w:rsid w:val="008C7572"/>
    <w:rsid w:val="008C75DA"/>
    <w:rsid w:val="008C780B"/>
    <w:rsid w:val="008C78B0"/>
    <w:rsid w:val="008C7956"/>
    <w:rsid w:val="008C7957"/>
    <w:rsid w:val="008C7AEC"/>
    <w:rsid w:val="008C7AFD"/>
    <w:rsid w:val="008C7BAA"/>
    <w:rsid w:val="008C7BE2"/>
    <w:rsid w:val="008C7CE8"/>
    <w:rsid w:val="008C7CF6"/>
    <w:rsid w:val="008C7D4B"/>
    <w:rsid w:val="008C7E99"/>
    <w:rsid w:val="008D0008"/>
    <w:rsid w:val="008D0071"/>
    <w:rsid w:val="008D0110"/>
    <w:rsid w:val="008D0291"/>
    <w:rsid w:val="008D02C8"/>
    <w:rsid w:val="008D0451"/>
    <w:rsid w:val="008D05F0"/>
    <w:rsid w:val="008D0699"/>
    <w:rsid w:val="008D07C8"/>
    <w:rsid w:val="008D08F7"/>
    <w:rsid w:val="008D093F"/>
    <w:rsid w:val="008D0B04"/>
    <w:rsid w:val="008D0BE3"/>
    <w:rsid w:val="008D0C21"/>
    <w:rsid w:val="008D0C93"/>
    <w:rsid w:val="008D0CA2"/>
    <w:rsid w:val="008D0CD6"/>
    <w:rsid w:val="008D0D22"/>
    <w:rsid w:val="008D100F"/>
    <w:rsid w:val="008D1021"/>
    <w:rsid w:val="008D1120"/>
    <w:rsid w:val="008D1125"/>
    <w:rsid w:val="008D1133"/>
    <w:rsid w:val="008D1370"/>
    <w:rsid w:val="008D13F7"/>
    <w:rsid w:val="008D1571"/>
    <w:rsid w:val="008D16B7"/>
    <w:rsid w:val="008D17A7"/>
    <w:rsid w:val="008D18FE"/>
    <w:rsid w:val="008D1B5D"/>
    <w:rsid w:val="008D1CA0"/>
    <w:rsid w:val="008D1DAA"/>
    <w:rsid w:val="008D1E7F"/>
    <w:rsid w:val="008D1E92"/>
    <w:rsid w:val="008D1F8C"/>
    <w:rsid w:val="008D2062"/>
    <w:rsid w:val="008D2120"/>
    <w:rsid w:val="008D2178"/>
    <w:rsid w:val="008D2221"/>
    <w:rsid w:val="008D2258"/>
    <w:rsid w:val="008D2337"/>
    <w:rsid w:val="008D23FF"/>
    <w:rsid w:val="008D2417"/>
    <w:rsid w:val="008D2599"/>
    <w:rsid w:val="008D2719"/>
    <w:rsid w:val="008D2794"/>
    <w:rsid w:val="008D27AE"/>
    <w:rsid w:val="008D27BC"/>
    <w:rsid w:val="008D28C4"/>
    <w:rsid w:val="008D297C"/>
    <w:rsid w:val="008D2991"/>
    <w:rsid w:val="008D29DD"/>
    <w:rsid w:val="008D2A65"/>
    <w:rsid w:val="008D2B0E"/>
    <w:rsid w:val="008D2B22"/>
    <w:rsid w:val="008D2C34"/>
    <w:rsid w:val="008D2D0C"/>
    <w:rsid w:val="008D300C"/>
    <w:rsid w:val="008D3043"/>
    <w:rsid w:val="008D3063"/>
    <w:rsid w:val="008D310A"/>
    <w:rsid w:val="008D3291"/>
    <w:rsid w:val="008D32B6"/>
    <w:rsid w:val="008D32C3"/>
    <w:rsid w:val="008D334D"/>
    <w:rsid w:val="008D335C"/>
    <w:rsid w:val="008D34EA"/>
    <w:rsid w:val="008D3542"/>
    <w:rsid w:val="008D376E"/>
    <w:rsid w:val="008D37B7"/>
    <w:rsid w:val="008D39B8"/>
    <w:rsid w:val="008D39E9"/>
    <w:rsid w:val="008D3A15"/>
    <w:rsid w:val="008D3AAF"/>
    <w:rsid w:val="008D3AE6"/>
    <w:rsid w:val="008D3E98"/>
    <w:rsid w:val="008D3ED3"/>
    <w:rsid w:val="008D4083"/>
    <w:rsid w:val="008D40F3"/>
    <w:rsid w:val="008D416A"/>
    <w:rsid w:val="008D421F"/>
    <w:rsid w:val="008D4252"/>
    <w:rsid w:val="008D42DB"/>
    <w:rsid w:val="008D436F"/>
    <w:rsid w:val="008D437D"/>
    <w:rsid w:val="008D43C4"/>
    <w:rsid w:val="008D43D9"/>
    <w:rsid w:val="008D43E2"/>
    <w:rsid w:val="008D448B"/>
    <w:rsid w:val="008D44DC"/>
    <w:rsid w:val="008D4536"/>
    <w:rsid w:val="008D45F6"/>
    <w:rsid w:val="008D46E0"/>
    <w:rsid w:val="008D46FB"/>
    <w:rsid w:val="008D47E1"/>
    <w:rsid w:val="008D47E3"/>
    <w:rsid w:val="008D4812"/>
    <w:rsid w:val="008D489B"/>
    <w:rsid w:val="008D4A02"/>
    <w:rsid w:val="008D4C6E"/>
    <w:rsid w:val="008D4D05"/>
    <w:rsid w:val="008D4E6D"/>
    <w:rsid w:val="008D4F99"/>
    <w:rsid w:val="008D5039"/>
    <w:rsid w:val="008D5157"/>
    <w:rsid w:val="008D5287"/>
    <w:rsid w:val="008D536A"/>
    <w:rsid w:val="008D53D0"/>
    <w:rsid w:val="008D57E2"/>
    <w:rsid w:val="008D5825"/>
    <w:rsid w:val="008D5850"/>
    <w:rsid w:val="008D5932"/>
    <w:rsid w:val="008D59A9"/>
    <w:rsid w:val="008D5A67"/>
    <w:rsid w:val="008D5B7D"/>
    <w:rsid w:val="008D5BFA"/>
    <w:rsid w:val="008D5C82"/>
    <w:rsid w:val="008D5CDA"/>
    <w:rsid w:val="008D5CE7"/>
    <w:rsid w:val="008D5D03"/>
    <w:rsid w:val="008D5D84"/>
    <w:rsid w:val="008D5DA5"/>
    <w:rsid w:val="008D5EBD"/>
    <w:rsid w:val="008D5ED6"/>
    <w:rsid w:val="008D605C"/>
    <w:rsid w:val="008D611C"/>
    <w:rsid w:val="008D618A"/>
    <w:rsid w:val="008D61E0"/>
    <w:rsid w:val="008D6266"/>
    <w:rsid w:val="008D6288"/>
    <w:rsid w:val="008D6470"/>
    <w:rsid w:val="008D64C0"/>
    <w:rsid w:val="008D64FE"/>
    <w:rsid w:val="008D6550"/>
    <w:rsid w:val="008D6747"/>
    <w:rsid w:val="008D677E"/>
    <w:rsid w:val="008D6A2D"/>
    <w:rsid w:val="008D6B88"/>
    <w:rsid w:val="008D6BD5"/>
    <w:rsid w:val="008D6DE9"/>
    <w:rsid w:val="008D6E56"/>
    <w:rsid w:val="008D7124"/>
    <w:rsid w:val="008D71CE"/>
    <w:rsid w:val="008D7347"/>
    <w:rsid w:val="008D753D"/>
    <w:rsid w:val="008D76E2"/>
    <w:rsid w:val="008D771C"/>
    <w:rsid w:val="008D7737"/>
    <w:rsid w:val="008D7752"/>
    <w:rsid w:val="008D77AD"/>
    <w:rsid w:val="008D7824"/>
    <w:rsid w:val="008D78AF"/>
    <w:rsid w:val="008D78D8"/>
    <w:rsid w:val="008D78FB"/>
    <w:rsid w:val="008D7950"/>
    <w:rsid w:val="008D7962"/>
    <w:rsid w:val="008D79D3"/>
    <w:rsid w:val="008D7B2A"/>
    <w:rsid w:val="008D7E18"/>
    <w:rsid w:val="008D7F82"/>
    <w:rsid w:val="008D7F9D"/>
    <w:rsid w:val="008E00A0"/>
    <w:rsid w:val="008E018A"/>
    <w:rsid w:val="008E01AE"/>
    <w:rsid w:val="008E0276"/>
    <w:rsid w:val="008E02DA"/>
    <w:rsid w:val="008E0390"/>
    <w:rsid w:val="008E0491"/>
    <w:rsid w:val="008E0502"/>
    <w:rsid w:val="008E05B0"/>
    <w:rsid w:val="008E05FF"/>
    <w:rsid w:val="008E06DD"/>
    <w:rsid w:val="008E07B4"/>
    <w:rsid w:val="008E09BA"/>
    <w:rsid w:val="008E0A71"/>
    <w:rsid w:val="008E0A77"/>
    <w:rsid w:val="008E0C18"/>
    <w:rsid w:val="008E0CF3"/>
    <w:rsid w:val="008E0D0D"/>
    <w:rsid w:val="008E0D1E"/>
    <w:rsid w:val="008E0E06"/>
    <w:rsid w:val="008E0F5D"/>
    <w:rsid w:val="008E0FE5"/>
    <w:rsid w:val="008E1012"/>
    <w:rsid w:val="008E116C"/>
    <w:rsid w:val="008E123F"/>
    <w:rsid w:val="008E12B7"/>
    <w:rsid w:val="008E1314"/>
    <w:rsid w:val="008E136B"/>
    <w:rsid w:val="008E13CC"/>
    <w:rsid w:val="008E13F6"/>
    <w:rsid w:val="008E147D"/>
    <w:rsid w:val="008E14CA"/>
    <w:rsid w:val="008E15DA"/>
    <w:rsid w:val="008E15E3"/>
    <w:rsid w:val="008E173C"/>
    <w:rsid w:val="008E1C05"/>
    <w:rsid w:val="008E1E42"/>
    <w:rsid w:val="008E1E5E"/>
    <w:rsid w:val="008E1EF9"/>
    <w:rsid w:val="008E2157"/>
    <w:rsid w:val="008E21F7"/>
    <w:rsid w:val="008E2290"/>
    <w:rsid w:val="008E2291"/>
    <w:rsid w:val="008E233A"/>
    <w:rsid w:val="008E242B"/>
    <w:rsid w:val="008E242D"/>
    <w:rsid w:val="008E2552"/>
    <w:rsid w:val="008E255C"/>
    <w:rsid w:val="008E25C8"/>
    <w:rsid w:val="008E27FF"/>
    <w:rsid w:val="008E288B"/>
    <w:rsid w:val="008E28B9"/>
    <w:rsid w:val="008E28F3"/>
    <w:rsid w:val="008E2AC0"/>
    <w:rsid w:val="008E2B7A"/>
    <w:rsid w:val="008E2C8D"/>
    <w:rsid w:val="008E2DC0"/>
    <w:rsid w:val="008E2E5E"/>
    <w:rsid w:val="008E2EA9"/>
    <w:rsid w:val="008E2EB6"/>
    <w:rsid w:val="008E2EBA"/>
    <w:rsid w:val="008E2F80"/>
    <w:rsid w:val="008E3036"/>
    <w:rsid w:val="008E3108"/>
    <w:rsid w:val="008E318B"/>
    <w:rsid w:val="008E32DF"/>
    <w:rsid w:val="008E3397"/>
    <w:rsid w:val="008E3512"/>
    <w:rsid w:val="008E3607"/>
    <w:rsid w:val="008E363E"/>
    <w:rsid w:val="008E36A8"/>
    <w:rsid w:val="008E37D3"/>
    <w:rsid w:val="008E3A0A"/>
    <w:rsid w:val="008E3A23"/>
    <w:rsid w:val="008E3A71"/>
    <w:rsid w:val="008E3A9B"/>
    <w:rsid w:val="008E3A9C"/>
    <w:rsid w:val="008E3B40"/>
    <w:rsid w:val="008E3CC5"/>
    <w:rsid w:val="008E3D17"/>
    <w:rsid w:val="008E3F56"/>
    <w:rsid w:val="008E402A"/>
    <w:rsid w:val="008E407D"/>
    <w:rsid w:val="008E41A1"/>
    <w:rsid w:val="008E41B8"/>
    <w:rsid w:val="008E42B4"/>
    <w:rsid w:val="008E43C4"/>
    <w:rsid w:val="008E44D7"/>
    <w:rsid w:val="008E44F7"/>
    <w:rsid w:val="008E4538"/>
    <w:rsid w:val="008E4570"/>
    <w:rsid w:val="008E47AE"/>
    <w:rsid w:val="008E4827"/>
    <w:rsid w:val="008E4844"/>
    <w:rsid w:val="008E4850"/>
    <w:rsid w:val="008E48DE"/>
    <w:rsid w:val="008E48FE"/>
    <w:rsid w:val="008E493D"/>
    <w:rsid w:val="008E4A54"/>
    <w:rsid w:val="008E4A7A"/>
    <w:rsid w:val="008E4AB8"/>
    <w:rsid w:val="008E4AE1"/>
    <w:rsid w:val="008E4B56"/>
    <w:rsid w:val="008E4CC5"/>
    <w:rsid w:val="008E4CF8"/>
    <w:rsid w:val="008E4D4D"/>
    <w:rsid w:val="008E4E45"/>
    <w:rsid w:val="008E4E5C"/>
    <w:rsid w:val="008E4E5F"/>
    <w:rsid w:val="008E4E66"/>
    <w:rsid w:val="008E4F51"/>
    <w:rsid w:val="008E4FDE"/>
    <w:rsid w:val="008E50C9"/>
    <w:rsid w:val="008E510B"/>
    <w:rsid w:val="008E5134"/>
    <w:rsid w:val="008E5182"/>
    <w:rsid w:val="008E52AC"/>
    <w:rsid w:val="008E52D4"/>
    <w:rsid w:val="008E53A7"/>
    <w:rsid w:val="008E53BE"/>
    <w:rsid w:val="008E5494"/>
    <w:rsid w:val="008E5763"/>
    <w:rsid w:val="008E589C"/>
    <w:rsid w:val="008E5900"/>
    <w:rsid w:val="008E59E9"/>
    <w:rsid w:val="008E5A10"/>
    <w:rsid w:val="008E5B24"/>
    <w:rsid w:val="008E5C23"/>
    <w:rsid w:val="008E5C56"/>
    <w:rsid w:val="008E5C65"/>
    <w:rsid w:val="008E5CBE"/>
    <w:rsid w:val="008E5D76"/>
    <w:rsid w:val="008E5E64"/>
    <w:rsid w:val="008E5EF3"/>
    <w:rsid w:val="008E5FA6"/>
    <w:rsid w:val="008E6080"/>
    <w:rsid w:val="008E63AD"/>
    <w:rsid w:val="008E64C8"/>
    <w:rsid w:val="008E651E"/>
    <w:rsid w:val="008E65FA"/>
    <w:rsid w:val="008E6699"/>
    <w:rsid w:val="008E6712"/>
    <w:rsid w:val="008E67E8"/>
    <w:rsid w:val="008E687E"/>
    <w:rsid w:val="008E689B"/>
    <w:rsid w:val="008E69CF"/>
    <w:rsid w:val="008E69E1"/>
    <w:rsid w:val="008E6A96"/>
    <w:rsid w:val="008E6AD5"/>
    <w:rsid w:val="008E6B18"/>
    <w:rsid w:val="008E6B26"/>
    <w:rsid w:val="008E6BE5"/>
    <w:rsid w:val="008E6C33"/>
    <w:rsid w:val="008E6CC5"/>
    <w:rsid w:val="008E6DFD"/>
    <w:rsid w:val="008E7008"/>
    <w:rsid w:val="008E71F2"/>
    <w:rsid w:val="008E7225"/>
    <w:rsid w:val="008E7308"/>
    <w:rsid w:val="008E7312"/>
    <w:rsid w:val="008E7329"/>
    <w:rsid w:val="008E7345"/>
    <w:rsid w:val="008E73A6"/>
    <w:rsid w:val="008E7403"/>
    <w:rsid w:val="008E75B2"/>
    <w:rsid w:val="008E777D"/>
    <w:rsid w:val="008E77CB"/>
    <w:rsid w:val="008E77E8"/>
    <w:rsid w:val="008E77FA"/>
    <w:rsid w:val="008E788F"/>
    <w:rsid w:val="008E7893"/>
    <w:rsid w:val="008E7AE8"/>
    <w:rsid w:val="008E7B22"/>
    <w:rsid w:val="008E7C3C"/>
    <w:rsid w:val="008E7C3D"/>
    <w:rsid w:val="008E7CE1"/>
    <w:rsid w:val="008E7D13"/>
    <w:rsid w:val="008E7D47"/>
    <w:rsid w:val="008E7D65"/>
    <w:rsid w:val="008E7E02"/>
    <w:rsid w:val="008E7E8B"/>
    <w:rsid w:val="008E7EEB"/>
    <w:rsid w:val="008F0074"/>
    <w:rsid w:val="008F00C4"/>
    <w:rsid w:val="008F01A9"/>
    <w:rsid w:val="008F032D"/>
    <w:rsid w:val="008F0340"/>
    <w:rsid w:val="008F03C3"/>
    <w:rsid w:val="008F03CA"/>
    <w:rsid w:val="008F03FE"/>
    <w:rsid w:val="008F04DF"/>
    <w:rsid w:val="008F04E6"/>
    <w:rsid w:val="008F05BC"/>
    <w:rsid w:val="008F05DB"/>
    <w:rsid w:val="008F07C8"/>
    <w:rsid w:val="008F0A0E"/>
    <w:rsid w:val="008F0A24"/>
    <w:rsid w:val="008F0AC1"/>
    <w:rsid w:val="008F0B19"/>
    <w:rsid w:val="008F0BC3"/>
    <w:rsid w:val="008F0C20"/>
    <w:rsid w:val="008F0DAE"/>
    <w:rsid w:val="008F0DCE"/>
    <w:rsid w:val="008F0E36"/>
    <w:rsid w:val="008F1084"/>
    <w:rsid w:val="008F112A"/>
    <w:rsid w:val="008F1141"/>
    <w:rsid w:val="008F1254"/>
    <w:rsid w:val="008F12A5"/>
    <w:rsid w:val="008F13EF"/>
    <w:rsid w:val="008F1406"/>
    <w:rsid w:val="008F1434"/>
    <w:rsid w:val="008F14F7"/>
    <w:rsid w:val="008F1B7E"/>
    <w:rsid w:val="008F1BBA"/>
    <w:rsid w:val="008F1C19"/>
    <w:rsid w:val="008F1C56"/>
    <w:rsid w:val="008F1D78"/>
    <w:rsid w:val="008F1DD1"/>
    <w:rsid w:val="008F1DEE"/>
    <w:rsid w:val="008F1E0B"/>
    <w:rsid w:val="008F1E9A"/>
    <w:rsid w:val="008F1F91"/>
    <w:rsid w:val="008F1FA2"/>
    <w:rsid w:val="008F1FB6"/>
    <w:rsid w:val="008F1FD0"/>
    <w:rsid w:val="008F1FFB"/>
    <w:rsid w:val="008F20DD"/>
    <w:rsid w:val="008F20E1"/>
    <w:rsid w:val="008F212F"/>
    <w:rsid w:val="008F2266"/>
    <w:rsid w:val="008F22D9"/>
    <w:rsid w:val="008F23AE"/>
    <w:rsid w:val="008F2560"/>
    <w:rsid w:val="008F25C8"/>
    <w:rsid w:val="008F27E7"/>
    <w:rsid w:val="008F27F2"/>
    <w:rsid w:val="008F2872"/>
    <w:rsid w:val="008F2906"/>
    <w:rsid w:val="008F2A46"/>
    <w:rsid w:val="008F2A4D"/>
    <w:rsid w:val="008F2B80"/>
    <w:rsid w:val="008F2D49"/>
    <w:rsid w:val="008F2E54"/>
    <w:rsid w:val="008F31CE"/>
    <w:rsid w:val="008F327A"/>
    <w:rsid w:val="008F33FD"/>
    <w:rsid w:val="008F35C4"/>
    <w:rsid w:val="008F3655"/>
    <w:rsid w:val="008F36CB"/>
    <w:rsid w:val="008F372B"/>
    <w:rsid w:val="008F3937"/>
    <w:rsid w:val="008F3966"/>
    <w:rsid w:val="008F3A17"/>
    <w:rsid w:val="008F3A2D"/>
    <w:rsid w:val="008F3C2E"/>
    <w:rsid w:val="008F3C92"/>
    <w:rsid w:val="008F3CCA"/>
    <w:rsid w:val="008F3CE6"/>
    <w:rsid w:val="008F3CF8"/>
    <w:rsid w:val="008F3E05"/>
    <w:rsid w:val="008F404E"/>
    <w:rsid w:val="008F4096"/>
    <w:rsid w:val="008F40A5"/>
    <w:rsid w:val="008F4312"/>
    <w:rsid w:val="008F4409"/>
    <w:rsid w:val="008F4590"/>
    <w:rsid w:val="008F45A5"/>
    <w:rsid w:val="008F4615"/>
    <w:rsid w:val="008F4673"/>
    <w:rsid w:val="008F46A0"/>
    <w:rsid w:val="008F46E2"/>
    <w:rsid w:val="008F4722"/>
    <w:rsid w:val="008F477F"/>
    <w:rsid w:val="008F47B6"/>
    <w:rsid w:val="008F4888"/>
    <w:rsid w:val="008F4933"/>
    <w:rsid w:val="008F49F8"/>
    <w:rsid w:val="008F4A37"/>
    <w:rsid w:val="008F4A5B"/>
    <w:rsid w:val="008F4AAC"/>
    <w:rsid w:val="008F4B25"/>
    <w:rsid w:val="008F4D1B"/>
    <w:rsid w:val="008F4D2D"/>
    <w:rsid w:val="008F4E03"/>
    <w:rsid w:val="008F4E35"/>
    <w:rsid w:val="008F4EAE"/>
    <w:rsid w:val="008F4EEA"/>
    <w:rsid w:val="008F4F88"/>
    <w:rsid w:val="008F5059"/>
    <w:rsid w:val="008F5071"/>
    <w:rsid w:val="008F51D9"/>
    <w:rsid w:val="008F523C"/>
    <w:rsid w:val="008F52F0"/>
    <w:rsid w:val="008F543C"/>
    <w:rsid w:val="008F549C"/>
    <w:rsid w:val="008F5546"/>
    <w:rsid w:val="008F55A7"/>
    <w:rsid w:val="008F55DC"/>
    <w:rsid w:val="008F5654"/>
    <w:rsid w:val="008F56FC"/>
    <w:rsid w:val="008F57CD"/>
    <w:rsid w:val="008F5836"/>
    <w:rsid w:val="008F59C3"/>
    <w:rsid w:val="008F5A56"/>
    <w:rsid w:val="008F5AB8"/>
    <w:rsid w:val="008F5B8A"/>
    <w:rsid w:val="008F5BD7"/>
    <w:rsid w:val="008F5C3B"/>
    <w:rsid w:val="008F5C44"/>
    <w:rsid w:val="008F6064"/>
    <w:rsid w:val="008F61DF"/>
    <w:rsid w:val="008F61F4"/>
    <w:rsid w:val="008F63F9"/>
    <w:rsid w:val="008F6446"/>
    <w:rsid w:val="008F64BE"/>
    <w:rsid w:val="008F64D7"/>
    <w:rsid w:val="008F64E2"/>
    <w:rsid w:val="008F653A"/>
    <w:rsid w:val="008F666F"/>
    <w:rsid w:val="008F66EB"/>
    <w:rsid w:val="008F6722"/>
    <w:rsid w:val="008F6780"/>
    <w:rsid w:val="008F680A"/>
    <w:rsid w:val="008F68BB"/>
    <w:rsid w:val="008F68C3"/>
    <w:rsid w:val="008F68F3"/>
    <w:rsid w:val="008F6919"/>
    <w:rsid w:val="008F6984"/>
    <w:rsid w:val="008F69BA"/>
    <w:rsid w:val="008F69EA"/>
    <w:rsid w:val="008F6ABC"/>
    <w:rsid w:val="008F6AC9"/>
    <w:rsid w:val="008F6E82"/>
    <w:rsid w:val="008F6EC6"/>
    <w:rsid w:val="008F7011"/>
    <w:rsid w:val="008F70B4"/>
    <w:rsid w:val="008F71AB"/>
    <w:rsid w:val="008F7209"/>
    <w:rsid w:val="008F7445"/>
    <w:rsid w:val="008F7449"/>
    <w:rsid w:val="008F74AD"/>
    <w:rsid w:val="008F7582"/>
    <w:rsid w:val="008F75FA"/>
    <w:rsid w:val="008F76BF"/>
    <w:rsid w:val="008F77D5"/>
    <w:rsid w:val="008F7831"/>
    <w:rsid w:val="008F7936"/>
    <w:rsid w:val="008F7957"/>
    <w:rsid w:val="008F79B1"/>
    <w:rsid w:val="008F7A30"/>
    <w:rsid w:val="008F7A87"/>
    <w:rsid w:val="008F7ACF"/>
    <w:rsid w:val="008F7B64"/>
    <w:rsid w:val="008F7B7A"/>
    <w:rsid w:val="008F7BC6"/>
    <w:rsid w:val="008F7C88"/>
    <w:rsid w:val="008F7D14"/>
    <w:rsid w:val="008F7D85"/>
    <w:rsid w:val="008F7E52"/>
    <w:rsid w:val="008F7E7A"/>
    <w:rsid w:val="008F7F80"/>
    <w:rsid w:val="008F7FAE"/>
    <w:rsid w:val="0090016A"/>
    <w:rsid w:val="00900173"/>
    <w:rsid w:val="009001A1"/>
    <w:rsid w:val="00900345"/>
    <w:rsid w:val="00900346"/>
    <w:rsid w:val="009003FA"/>
    <w:rsid w:val="00900540"/>
    <w:rsid w:val="0090056A"/>
    <w:rsid w:val="00900577"/>
    <w:rsid w:val="00900622"/>
    <w:rsid w:val="009006B6"/>
    <w:rsid w:val="009006D2"/>
    <w:rsid w:val="00900729"/>
    <w:rsid w:val="0090073A"/>
    <w:rsid w:val="00900760"/>
    <w:rsid w:val="0090087A"/>
    <w:rsid w:val="009009DA"/>
    <w:rsid w:val="00900A1E"/>
    <w:rsid w:val="00900AA2"/>
    <w:rsid w:val="00900B42"/>
    <w:rsid w:val="00900B4D"/>
    <w:rsid w:val="00900C98"/>
    <w:rsid w:val="00900CB6"/>
    <w:rsid w:val="00900D8E"/>
    <w:rsid w:val="00900ED4"/>
    <w:rsid w:val="00901033"/>
    <w:rsid w:val="009010AF"/>
    <w:rsid w:val="009010C0"/>
    <w:rsid w:val="0090112F"/>
    <w:rsid w:val="00901382"/>
    <w:rsid w:val="0090141F"/>
    <w:rsid w:val="00901496"/>
    <w:rsid w:val="009014B5"/>
    <w:rsid w:val="00901575"/>
    <w:rsid w:val="0090169A"/>
    <w:rsid w:val="009016C4"/>
    <w:rsid w:val="009016F2"/>
    <w:rsid w:val="00901766"/>
    <w:rsid w:val="009017B7"/>
    <w:rsid w:val="009017FB"/>
    <w:rsid w:val="00901815"/>
    <w:rsid w:val="00901891"/>
    <w:rsid w:val="00901953"/>
    <w:rsid w:val="00901A47"/>
    <w:rsid w:val="00901A77"/>
    <w:rsid w:val="00901B95"/>
    <w:rsid w:val="00901C0B"/>
    <w:rsid w:val="00901C28"/>
    <w:rsid w:val="00901D8E"/>
    <w:rsid w:val="00901DCD"/>
    <w:rsid w:val="00901DF5"/>
    <w:rsid w:val="00901E91"/>
    <w:rsid w:val="0090204C"/>
    <w:rsid w:val="00902064"/>
    <w:rsid w:val="009020D7"/>
    <w:rsid w:val="0090212A"/>
    <w:rsid w:val="00902176"/>
    <w:rsid w:val="00902295"/>
    <w:rsid w:val="0090230F"/>
    <w:rsid w:val="0090231B"/>
    <w:rsid w:val="00902488"/>
    <w:rsid w:val="009025F4"/>
    <w:rsid w:val="0090273D"/>
    <w:rsid w:val="0090278C"/>
    <w:rsid w:val="00902829"/>
    <w:rsid w:val="00902A97"/>
    <w:rsid w:val="00902AA2"/>
    <w:rsid w:val="00902ABE"/>
    <w:rsid w:val="00902B2B"/>
    <w:rsid w:val="00902CB8"/>
    <w:rsid w:val="00902CBE"/>
    <w:rsid w:val="00902E45"/>
    <w:rsid w:val="009030A3"/>
    <w:rsid w:val="009032D8"/>
    <w:rsid w:val="009033B8"/>
    <w:rsid w:val="009034A5"/>
    <w:rsid w:val="00903575"/>
    <w:rsid w:val="009035A8"/>
    <w:rsid w:val="00903699"/>
    <w:rsid w:val="00903781"/>
    <w:rsid w:val="00903800"/>
    <w:rsid w:val="0090380E"/>
    <w:rsid w:val="00903850"/>
    <w:rsid w:val="00903A1D"/>
    <w:rsid w:val="00903A78"/>
    <w:rsid w:val="00903AD4"/>
    <w:rsid w:val="00903ADF"/>
    <w:rsid w:val="00903BC9"/>
    <w:rsid w:val="00903CF1"/>
    <w:rsid w:val="00903D57"/>
    <w:rsid w:val="00903D77"/>
    <w:rsid w:val="00903D89"/>
    <w:rsid w:val="00903DC1"/>
    <w:rsid w:val="00903E33"/>
    <w:rsid w:val="00903E77"/>
    <w:rsid w:val="00903F1D"/>
    <w:rsid w:val="00903F56"/>
    <w:rsid w:val="00903F5D"/>
    <w:rsid w:val="009040EA"/>
    <w:rsid w:val="009040F9"/>
    <w:rsid w:val="00904119"/>
    <w:rsid w:val="009041E1"/>
    <w:rsid w:val="0090423B"/>
    <w:rsid w:val="0090426C"/>
    <w:rsid w:val="00904306"/>
    <w:rsid w:val="0090431A"/>
    <w:rsid w:val="0090447E"/>
    <w:rsid w:val="00904480"/>
    <w:rsid w:val="009044AB"/>
    <w:rsid w:val="00904534"/>
    <w:rsid w:val="00904544"/>
    <w:rsid w:val="00904654"/>
    <w:rsid w:val="009046AD"/>
    <w:rsid w:val="0090495B"/>
    <w:rsid w:val="009049A7"/>
    <w:rsid w:val="009049EA"/>
    <w:rsid w:val="00904A01"/>
    <w:rsid w:val="00904A38"/>
    <w:rsid w:val="00904A57"/>
    <w:rsid w:val="00904A59"/>
    <w:rsid w:val="00904C54"/>
    <w:rsid w:val="00904C8C"/>
    <w:rsid w:val="00904CC4"/>
    <w:rsid w:val="00904D6D"/>
    <w:rsid w:val="00905083"/>
    <w:rsid w:val="0090509C"/>
    <w:rsid w:val="009050AF"/>
    <w:rsid w:val="009050B9"/>
    <w:rsid w:val="00905142"/>
    <w:rsid w:val="0090515F"/>
    <w:rsid w:val="00905477"/>
    <w:rsid w:val="0090548C"/>
    <w:rsid w:val="009054D1"/>
    <w:rsid w:val="0090552B"/>
    <w:rsid w:val="00905568"/>
    <w:rsid w:val="009055CD"/>
    <w:rsid w:val="00905610"/>
    <w:rsid w:val="009057D9"/>
    <w:rsid w:val="00905A9D"/>
    <w:rsid w:val="00905B2D"/>
    <w:rsid w:val="00905B4D"/>
    <w:rsid w:val="00905BB5"/>
    <w:rsid w:val="00905CD8"/>
    <w:rsid w:val="00905CDB"/>
    <w:rsid w:val="00905DE0"/>
    <w:rsid w:val="00905DE9"/>
    <w:rsid w:val="0090610C"/>
    <w:rsid w:val="0090616F"/>
    <w:rsid w:val="00906300"/>
    <w:rsid w:val="0090638F"/>
    <w:rsid w:val="00906487"/>
    <w:rsid w:val="009064B8"/>
    <w:rsid w:val="009064F4"/>
    <w:rsid w:val="00906601"/>
    <w:rsid w:val="0090660D"/>
    <w:rsid w:val="0090669B"/>
    <w:rsid w:val="00906739"/>
    <w:rsid w:val="009067B2"/>
    <w:rsid w:val="00906820"/>
    <w:rsid w:val="00906897"/>
    <w:rsid w:val="009068B0"/>
    <w:rsid w:val="009068D0"/>
    <w:rsid w:val="0090693A"/>
    <w:rsid w:val="009069AD"/>
    <w:rsid w:val="00906A81"/>
    <w:rsid w:val="00906BB4"/>
    <w:rsid w:val="00906C95"/>
    <w:rsid w:val="00906D06"/>
    <w:rsid w:val="00906D8B"/>
    <w:rsid w:val="00906DD2"/>
    <w:rsid w:val="00906DD4"/>
    <w:rsid w:val="00906E17"/>
    <w:rsid w:val="00906E1D"/>
    <w:rsid w:val="00906EEF"/>
    <w:rsid w:val="00906F16"/>
    <w:rsid w:val="00907013"/>
    <w:rsid w:val="009070F9"/>
    <w:rsid w:val="009072C8"/>
    <w:rsid w:val="00907394"/>
    <w:rsid w:val="009073F0"/>
    <w:rsid w:val="0090741F"/>
    <w:rsid w:val="009074BC"/>
    <w:rsid w:val="00907518"/>
    <w:rsid w:val="0090758B"/>
    <w:rsid w:val="009075A0"/>
    <w:rsid w:val="00907602"/>
    <w:rsid w:val="009077F0"/>
    <w:rsid w:val="00907853"/>
    <w:rsid w:val="009079B8"/>
    <w:rsid w:val="00907A34"/>
    <w:rsid w:val="00907A6F"/>
    <w:rsid w:val="00907A9E"/>
    <w:rsid w:val="00907B13"/>
    <w:rsid w:val="00907E2C"/>
    <w:rsid w:val="00907E83"/>
    <w:rsid w:val="00907FD3"/>
    <w:rsid w:val="00907FDD"/>
    <w:rsid w:val="009100EA"/>
    <w:rsid w:val="009101BA"/>
    <w:rsid w:val="0091024E"/>
    <w:rsid w:val="00910333"/>
    <w:rsid w:val="00910395"/>
    <w:rsid w:val="00910441"/>
    <w:rsid w:val="00910461"/>
    <w:rsid w:val="0091053E"/>
    <w:rsid w:val="009105F3"/>
    <w:rsid w:val="00910775"/>
    <w:rsid w:val="00910801"/>
    <w:rsid w:val="00910828"/>
    <w:rsid w:val="00910832"/>
    <w:rsid w:val="009109EB"/>
    <w:rsid w:val="00910A76"/>
    <w:rsid w:val="00910BC4"/>
    <w:rsid w:val="00910D9B"/>
    <w:rsid w:val="00910E1E"/>
    <w:rsid w:val="00910E80"/>
    <w:rsid w:val="00910F38"/>
    <w:rsid w:val="00910F3C"/>
    <w:rsid w:val="00910F65"/>
    <w:rsid w:val="0091123E"/>
    <w:rsid w:val="00911251"/>
    <w:rsid w:val="0091159D"/>
    <w:rsid w:val="009115A6"/>
    <w:rsid w:val="0091160E"/>
    <w:rsid w:val="009116B8"/>
    <w:rsid w:val="009117E3"/>
    <w:rsid w:val="0091198F"/>
    <w:rsid w:val="00911A8A"/>
    <w:rsid w:val="00911AB8"/>
    <w:rsid w:val="00911B07"/>
    <w:rsid w:val="00911CB2"/>
    <w:rsid w:val="00911DC0"/>
    <w:rsid w:val="00911EDE"/>
    <w:rsid w:val="00911EEC"/>
    <w:rsid w:val="00911F03"/>
    <w:rsid w:val="00911FFF"/>
    <w:rsid w:val="00912036"/>
    <w:rsid w:val="0091210E"/>
    <w:rsid w:val="00912111"/>
    <w:rsid w:val="0091211F"/>
    <w:rsid w:val="009121D5"/>
    <w:rsid w:val="00912343"/>
    <w:rsid w:val="009123D8"/>
    <w:rsid w:val="00912447"/>
    <w:rsid w:val="00912453"/>
    <w:rsid w:val="009124F6"/>
    <w:rsid w:val="009126EF"/>
    <w:rsid w:val="00912722"/>
    <w:rsid w:val="0091276C"/>
    <w:rsid w:val="009127BF"/>
    <w:rsid w:val="009129A4"/>
    <w:rsid w:val="009129AB"/>
    <w:rsid w:val="00912A37"/>
    <w:rsid w:val="00912BF7"/>
    <w:rsid w:val="00912D8A"/>
    <w:rsid w:val="00912DE5"/>
    <w:rsid w:val="00912E37"/>
    <w:rsid w:val="00912EC3"/>
    <w:rsid w:val="00912EF7"/>
    <w:rsid w:val="009132A8"/>
    <w:rsid w:val="009132EA"/>
    <w:rsid w:val="00913400"/>
    <w:rsid w:val="009136E9"/>
    <w:rsid w:val="009138CF"/>
    <w:rsid w:val="009138FD"/>
    <w:rsid w:val="00913AE2"/>
    <w:rsid w:val="00913B1F"/>
    <w:rsid w:val="00913B3D"/>
    <w:rsid w:val="00913BE2"/>
    <w:rsid w:val="00913C25"/>
    <w:rsid w:val="00913D26"/>
    <w:rsid w:val="00913DE0"/>
    <w:rsid w:val="00913F6D"/>
    <w:rsid w:val="00913FA5"/>
    <w:rsid w:val="00914092"/>
    <w:rsid w:val="009140AD"/>
    <w:rsid w:val="0091422B"/>
    <w:rsid w:val="00914447"/>
    <w:rsid w:val="0091448B"/>
    <w:rsid w:val="00914499"/>
    <w:rsid w:val="009144BF"/>
    <w:rsid w:val="00914549"/>
    <w:rsid w:val="00914599"/>
    <w:rsid w:val="0091465D"/>
    <w:rsid w:val="00914759"/>
    <w:rsid w:val="00914A30"/>
    <w:rsid w:val="00914AA5"/>
    <w:rsid w:val="00914AB4"/>
    <w:rsid w:val="00914BB2"/>
    <w:rsid w:val="00914C7F"/>
    <w:rsid w:val="00914CE6"/>
    <w:rsid w:val="00914DD0"/>
    <w:rsid w:val="00914E0E"/>
    <w:rsid w:val="00915012"/>
    <w:rsid w:val="00915054"/>
    <w:rsid w:val="009150B3"/>
    <w:rsid w:val="00915195"/>
    <w:rsid w:val="009151AD"/>
    <w:rsid w:val="0091524A"/>
    <w:rsid w:val="00915304"/>
    <w:rsid w:val="0091532A"/>
    <w:rsid w:val="0091545D"/>
    <w:rsid w:val="0091558B"/>
    <w:rsid w:val="009155A3"/>
    <w:rsid w:val="00915628"/>
    <w:rsid w:val="00915714"/>
    <w:rsid w:val="009157EB"/>
    <w:rsid w:val="009158B3"/>
    <w:rsid w:val="009158EE"/>
    <w:rsid w:val="00915A7E"/>
    <w:rsid w:val="00915B72"/>
    <w:rsid w:val="00915CDB"/>
    <w:rsid w:val="00915CE2"/>
    <w:rsid w:val="00915DFE"/>
    <w:rsid w:val="00915FF2"/>
    <w:rsid w:val="0091603E"/>
    <w:rsid w:val="00916080"/>
    <w:rsid w:val="00916139"/>
    <w:rsid w:val="009161A5"/>
    <w:rsid w:val="0091621F"/>
    <w:rsid w:val="00916334"/>
    <w:rsid w:val="009163E7"/>
    <w:rsid w:val="009163F9"/>
    <w:rsid w:val="00916424"/>
    <w:rsid w:val="0091656B"/>
    <w:rsid w:val="00916598"/>
    <w:rsid w:val="009165AE"/>
    <w:rsid w:val="009166A1"/>
    <w:rsid w:val="009166D7"/>
    <w:rsid w:val="009166EB"/>
    <w:rsid w:val="00916896"/>
    <w:rsid w:val="00916945"/>
    <w:rsid w:val="00916A16"/>
    <w:rsid w:val="00916BB1"/>
    <w:rsid w:val="00916C2B"/>
    <w:rsid w:val="00916C40"/>
    <w:rsid w:val="00916C92"/>
    <w:rsid w:val="00916D59"/>
    <w:rsid w:val="00916DBD"/>
    <w:rsid w:val="00916F10"/>
    <w:rsid w:val="00916FB2"/>
    <w:rsid w:val="00916FCA"/>
    <w:rsid w:val="009170A3"/>
    <w:rsid w:val="00917141"/>
    <w:rsid w:val="009172A3"/>
    <w:rsid w:val="00917336"/>
    <w:rsid w:val="0091741F"/>
    <w:rsid w:val="0091745D"/>
    <w:rsid w:val="00917465"/>
    <w:rsid w:val="0091759E"/>
    <w:rsid w:val="009175B6"/>
    <w:rsid w:val="0091760A"/>
    <w:rsid w:val="009176DD"/>
    <w:rsid w:val="00917704"/>
    <w:rsid w:val="00917878"/>
    <w:rsid w:val="009178A5"/>
    <w:rsid w:val="00917BAA"/>
    <w:rsid w:val="00917C28"/>
    <w:rsid w:val="00917C35"/>
    <w:rsid w:val="00917CC3"/>
    <w:rsid w:val="00917CDA"/>
    <w:rsid w:val="00917D90"/>
    <w:rsid w:val="00917DF2"/>
    <w:rsid w:val="00917EB7"/>
    <w:rsid w:val="00917EDE"/>
    <w:rsid w:val="00917F1C"/>
    <w:rsid w:val="00917F31"/>
    <w:rsid w:val="00917F54"/>
    <w:rsid w:val="00917FFD"/>
    <w:rsid w:val="00920001"/>
    <w:rsid w:val="009201B5"/>
    <w:rsid w:val="009202D3"/>
    <w:rsid w:val="00920343"/>
    <w:rsid w:val="00920459"/>
    <w:rsid w:val="00920591"/>
    <w:rsid w:val="0092072B"/>
    <w:rsid w:val="009208C2"/>
    <w:rsid w:val="009209AE"/>
    <w:rsid w:val="009209D7"/>
    <w:rsid w:val="00920A31"/>
    <w:rsid w:val="00920A85"/>
    <w:rsid w:val="00920AAD"/>
    <w:rsid w:val="00920B6A"/>
    <w:rsid w:val="00920D60"/>
    <w:rsid w:val="00920DCB"/>
    <w:rsid w:val="00920E3C"/>
    <w:rsid w:val="009210F4"/>
    <w:rsid w:val="00921485"/>
    <w:rsid w:val="00921596"/>
    <w:rsid w:val="00921647"/>
    <w:rsid w:val="009218A1"/>
    <w:rsid w:val="009219BF"/>
    <w:rsid w:val="00921C73"/>
    <w:rsid w:val="00921D52"/>
    <w:rsid w:val="00921F98"/>
    <w:rsid w:val="0092201D"/>
    <w:rsid w:val="00922140"/>
    <w:rsid w:val="0092225F"/>
    <w:rsid w:val="0092229C"/>
    <w:rsid w:val="00922552"/>
    <w:rsid w:val="00922554"/>
    <w:rsid w:val="00922562"/>
    <w:rsid w:val="00922699"/>
    <w:rsid w:val="00922732"/>
    <w:rsid w:val="009228B0"/>
    <w:rsid w:val="009228D4"/>
    <w:rsid w:val="00922921"/>
    <w:rsid w:val="00922A17"/>
    <w:rsid w:val="00922A9B"/>
    <w:rsid w:val="00922B28"/>
    <w:rsid w:val="00922BA4"/>
    <w:rsid w:val="00922C84"/>
    <w:rsid w:val="00922D18"/>
    <w:rsid w:val="00922D7D"/>
    <w:rsid w:val="00922F3D"/>
    <w:rsid w:val="009230A6"/>
    <w:rsid w:val="009230BA"/>
    <w:rsid w:val="00923227"/>
    <w:rsid w:val="00923311"/>
    <w:rsid w:val="0092337F"/>
    <w:rsid w:val="0092349F"/>
    <w:rsid w:val="009235FF"/>
    <w:rsid w:val="0092365A"/>
    <w:rsid w:val="0092367B"/>
    <w:rsid w:val="0092375D"/>
    <w:rsid w:val="009239BA"/>
    <w:rsid w:val="009239EA"/>
    <w:rsid w:val="00923AB4"/>
    <w:rsid w:val="00923B88"/>
    <w:rsid w:val="00923D0A"/>
    <w:rsid w:val="00923D7F"/>
    <w:rsid w:val="00923DC5"/>
    <w:rsid w:val="00923EFD"/>
    <w:rsid w:val="009240CD"/>
    <w:rsid w:val="00924170"/>
    <w:rsid w:val="0092425C"/>
    <w:rsid w:val="0092435F"/>
    <w:rsid w:val="0092439A"/>
    <w:rsid w:val="009243C9"/>
    <w:rsid w:val="00924402"/>
    <w:rsid w:val="00924459"/>
    <w:rsid w:val="009244B6"/>
    <w:rsid w:val="00924592"/>
    <w:rsid w:val="009245D7"/>
    <w:rsid w:val="0092472C"/>
    <w:rsid w:val="00924754"/>
    <w:rsid w:val="0092478C"/>
    <w:rsid w:val="00924808"/>
    <w:rsid w:val="0092481A"/>
    <w:rsid w:val="00924858"/>
    <w:rsid w:val="0092492D"/>
    <w:rsid w:val="00924977"/>
    <w:rsid w:val="00924AEB"/>
    <w:rsid w:val="00924BF9"/>
    <w:rsid w:val="00924C43"/>
    <w:rsid w:val="00924C4E"/>
    <w:rsid w:val="00924CB6"/>
    <w:rsid w:val="00924D13"/>
    <w:rsid w:val="00924D79"/>
    <w:rsid w:val="00924E66"/>
    <w:rsid w:val="00924E99"/>
    <w:rsid w:val="00924F10"/>
    <w:rsid w:val="00924F91"/>
    <w:rsid w:val="00924FA5"/>
    <w:rsid w:val="00924FE7"/>
    <w:rsid w:val="009250D4"/>
    <w:rsid w:val="0092513B"/>
    <w:rsid w:val="009251E7"/>
    <w:rsid w:val="009251FB"/>
    <w:rsid w:val="0092539A"/>
    <w:rsid w:val="0092544C"/>
    <w:rsid w:val="009254AD"/>
    <w:rsid w:val="00925562"/>
    <w:rsid w:val="00925678"/>
    <w:rsid w:val="009256F0"/>
    <w:rsid w:val="00925721"/>
    <w:rsid w:val="009257F6"/>
    <w:rsid w:val="00925C24"/>
    <w:rsid w:val="00925D34"/>
    <w:rsid w:val="00925DFE"/>
    <w:rsid w:val="00925EE4"/>
    <w:rsid w:val="00925EE7"/>
    <w:rsid w:val="00925F4F"/>
    <w:rsid w:val="00926056"/>
    <w:rsid w:val="00926111"/>
    <w:rsid w:val="0092616F"/>
    <w:rsid w:val="0092623A"/>
    <w:rsid w:val="00926295"/>
    <w:rsid w:val="00926365"/>
    <w:rsid w:val="009263DA"/>
    <w:rsid w:val="0092643D"/>
    <w:rsid w:val="009264EF"/>
    <w:rsid w:val="009265BF"/>
    <w:rsid w:val="00926750"/>
    <w:rsid w:val="0092677A"/>
    <w:rsid w:val="00926821"/>
    <w:rsid w:val="00926838"/>
    <w:rsid w:val="009268CF"/>
    <w:rsid w:val="009269D6"/>
    <w:rsid w:val="00926A3B"/>
    <w:rsid w:val="00926C0E"/>
    <w:rsid w:val="00926E1E"/>
    <w:rsid w:val="00926E5C"/>
    <w:rsid w:val="00926E7E"/>
    <w:rsid w:val="00926F5C"/>
    <w:rsid w:val="00926F63"/>
    <w:rsid w:val="00926F89"/>
    <w:rsid w:val="00926FC8"/>
    <w:rsid w:val="00926FF0"/>
    <w:rsid w:val="0092708D"/>
    <w:rsid w:val="009270FF"/>
    <w:rsid w:val="0092710B"/>
    <w:rsid w:val="009271A1"/>
    <w:rsid w:val="00927283"/>
    <w:rsid w:val="0092746E"/>
    <w:rsid w:val="00927547"/>
    <w:rsid w:val="0092767B"/>
    <w:rsid w:val="009278D6"/>
    <w:rsid w:val="0092797A"/>
    <w:rsid w:val="00927A00"/>
    <w:rsid w:val="00927C00"/>
    <w:rsid w:val="00927CBB"/>
    <w:rsid w:val="00927CD6"/>
    <w:rsid w:val="00927E56"/>
    <w:rsid w:val="00927EC7"/>
    <w:rsid w:val="00930140"/>
    <w:rsid w:val="009301B4"/>
    <w:rsid w:val="009301FD"/>
    <w:rsid w:val="0093031A"/>
    <w:rsid w:val="0093034D"/>
    <w:rsid w:val="00930429"/>
    <w:rsid w:val="00930514"/>
    <w:rsid w:val="0093059A"/>
    <w:rsid w:val="009306CA"/>
    <w:rsid w:val="009307C4"/>
    <w:rsid w:val="009308F6"/>
    <w:rsid w:val="0093098A"/>
    <w:rsid w:val="009309DC"/>
    <w:rsid w:val="00930A2E"/>
    <w:rsid w:val="00930AB1"/>
    <w:rsid w:val="00930CD2"/>
    <w:rsid w:val="00930D0E"/>
    <w:rsid w:val="00930D35"/>
    <w:rsid w:val="00930D86"/>
    <w:rsid w:val="00930E0A"/>
    <w:rsid w:val="00930EA7"/>
    <w:rsid w:val="00930EE0"/>
    <w:rsid w:val="00930F45"/>
    <w:rsid w:val="00930F67"/>
    <w:rsid w:val="0093106E"/>
    <w:rsid w:val="009310B2"/>
    <w:rsid w:val="0093116E"/>
    <w:rsid w:val="009311FA"/>
    <w:rsid w:val="00931219"/>
    <w:rsid w:val="00931296"/>
    <w:rsid w:val="009312EC"/>
    <w:rsid w:val="009315B0"/>
    <w:rsid w:val="009315C8"/>
    <w:rsid w:val="009317A6"/>
    <w:rsid w:val="00931894"/>
    <w:rsid w:val="009318C6"/>
    <w:rsid w:val="00931C56"/>
    <w:rsid w:val="00931C97"/>
    <w:rsid w:val="00931F53"/>
    <w:rsid w:val="00931F63"/>
    <w:rsid w:val="00931FD5"/>
    <w:rsid w:val="00932000"/>
    <w:rsid w:val="00932008"/>
    <w:rsid w:val="0093206E"/>
    <w:rsid w:val="0093209A"/>
    <w:rsid w:val="00932234"/>
    <w:rsid w:val="009322E4"/>
    <w:rsid w:val="00932A1B"/>
    <w:rsid w:val="00932A62"/>
    <w:rsid w:val="00932A91"/>
    <w:rsid w:val="00932BF7"/>
    <w:rsid w:val="00932DA4"/>
    <w:rsid w:val="00932DAD"/>
    <w:rsid w:val="00932DC0"/>
    <w:rsid w:val="00932E3D"/>
    <w:rsid w:val="00932E89"/>
    <w:rsid w:val="00933057"/>
    <w:rsid w:val="0093309A"/>
    <w:rsid w:val="00933137"/>
    <w:rsid w:val="0093315E"/>
    <w:rsid w:val="009331BF"/>
    <w:rsid w:val="00933297"/>
    <w:rsid w:val="00933312"/>
    <w:rsid w:val="009334C4"/>
    <w:rsid w:val="009335BE"/>
    <w:rsid w:val="009335CC"/>
    <w:rsid w:val="0093362E"/>
    <w:rsid w:val="00933695"/>
    <w:rsid w:val="0093369D"/>
    <w:rsid w:val="009336F6"/>
    <w:rsid w:val="00933706"/>
    <w:rsid w:val="0093385A"/>
    <w:rsid w:val="0093398F"/>
    <w:rsid w:val="00933990"/>
    <w:rsid w:val="009339B9"/>
    <w:rsid w:val="009339ED"/>
    <w:rsid w:val="00933A93"/>
    <w:rsid w:val="00933AFA"/>
    <w:rsid w:val="00933B4C"/>
    <w:rsid w:val="00933BC4"/>
    <w:rsid w:val="00933C3E"/>
    <w:rsid w:val="00933C84"/>
    <w:rsid w:val="00933CE1"/>
    <w:rsid w:val="00933D15"/>
    <w:rsid w:val="00933F05"/>
    <w:rsid w:val="009340DF"/>
    <w:rsid w:val="009341A7"/>
    <w:rsid w:val="009341EF"/>
    <w:rsid w:val="00934253"/>
    <w:rsid w:val="0093426B"/>
    <w:rsid w:val="00934450"/>
    <w:rsid w:val="009345D8"/>
    <w:rsid w:val="00934683"/>
    <w:rsid w:val="009346BD"/>
    <w:rsid w:val="00934779"/>
    <w:rsid w:val="00934918"/>
    <w:rsid w:val="00934A55"/>
    <w:rsid w:val="00934AEA"/>
    <w:rsid w:val="00934B02"/>
    <w:rsid w:val="00934BEB"/>
    <w:rsid w:val="00934CC2"/>
    <w:rsid w:val="00934CD3"/>
    <w:rsid w:val="00934D49"/>
    <w:rsid w:val="00934E5F"/>
    <w:rsid w:val="00934F83"/>
    <w:rsid w:val="00934FED"/>
    <w:rsid w:val="00935054"/>
    <w:rsid w:val="0093518B"/>
    <w:rsid w:val="0093525D"/>
    <w:rsid w:val="009352CC"/>
    <w:rsid w:val="00935356"/>
    <w:rsid w:val="0093537F"/>
    <w:rsid w:val="00935394"/>
    <w:rsid w:val="009353B3"/>
    <w:rsid w:val="00935484"/>
    <w:rsid w:val="0093551A"/>
    <w:rsid w:val="009355F8"/>
    <w:rsid w:val="0093562C"/>
    <w:rsid w:val="0093592F"/>
    <w:rsid w:val="00935A41"/>
    <w:rsid w:val="00935A8D"/>
    <w:rsid w:val="00935B03"/>
    <w:rsid w:val="00935BC9"/>
    <w:rsid w:val="00935BE8"/>
    <w:rsid w:val="00935C51"/>
    <w:rsid w:val="00935C52"/>
    <w:rsid w:val="00935CAE"/>
    <w:rsid w:val="00935CBD"/>
    <w:rsid w:val="00935D14"/>
    <w:rsid w:val="00935F37"/>
    <w:rsid w:val="0093609D"/>
    <w:rsid w:val="00936155"/>
    <w:rsid w:val="00936254"/>
    <w:rsid w:val="009363B5"/>
    <w:rsid w:val="009364B8"/>
    <w:rsid w:val="00936520"/>
    <w:rsid w:val="009365CE"/>
    <w:rsid w:val="009365F6"/>
    <w:rsid w:val="0093661B"/>
    <w:rsid w:val="00936622"/>
    <w:rsid w:val="0093676F"/>
    <w:rsid w:val="009368B1"/>
    <w:rsid w:val="00936906"/>
    <w:rsid w:val="009369EF"/>
    <w:rsid w:val="00936AA5"/>
    <w:rsid w:val="00936B2A"/>
    <w:rsid w:val="00936B62"/>
    <w:rsid w:val="00936C65"/>
    <w:rsid w:val="00936CCE"/>
    <w:rsid w:val="00936D90"/>
    <w:rsid w:val="00936E87"/>
    <w:rsid w:val="00936EF4"/>
    <w:rsid w:val="0093704C"/>
    <w:rsid w:val="0093706A"/>
    <w:rsid w:val="00937073"/>
    <w:rsid w:val="009371CE"/>
    <w:rsid w:val="00937203"/>
    <w:rsid w:val="00937213"/>
    <w:rsid w:val="0093721C"/>
    <w:rsid w:val="00937280"/>
    <w:rsid w:val="009372DD"/>
    <w:rsid w:val="0093735B"/>
    <w:rsid w:val="00937360"/>
    <w:rsid w:val="009373D7"/>
    <w:rsid w:val="00937550"/>
    <w:rsid w:val="00937596"/>
    <w:rsid w:val="009375FF"/>
    <w:rsid w:val="009376A8"/>
    <w:rsid w:val="009376B0"/>
    <w:rsid w:val="00937733"/>
    <w:rsid w:val="00937738"/>
    <w:rsid w:val="0093774E"/>
    <w:rsid w:val="00937855"/>
    <w:rsid w:val="009378F6"/>
    <w:rsid w:val="00937920"/>
    <w:rsid w:val="00937B4D"/>
    <w:rsid w:val="00937BBC"/>
    <w:rsid w:val="00937C98"/>
    <w:rsid w:val="00937D0C"/>
    <w:rsid w:val="00937D24"/>
    <w:rsid w:val="00937D93"/>
    <w:rsid w:val="00937EC6"/>
    <w:rsid w:val="00937F28"/>
    <w:rsid w:val="00937FED"/>
    <w:rsid w:val="009400EE"/>
    <w:rsid w:val="00940150"/>
    <w:rsid w:val="00940155"/>
    <w:rsid w:val="009401D9"/>
    <w:rsid w:val="00940241"/>
    <w:rsid w:val="0094037D"/>
    <w:rsid w:val="00940480"/>
    <w:rsid w:val="0094057A"/>
    <w:rsid w:val="009405FE"/>
    <w:rsid w:val="00940629"/>
    <w:rsid w:val="009406B5"/>
    <w:rsid w:val="00940A37"/>
    <w:rsid w:val="00940ABB"/>
    <w:rsid w:val="00940C7F"/>
    <w:rsid w:val="00940D00"/>
    <w:rsid w:val="00940F36"/>
    <w:rsid w:val="0094102B"/>
    <w:rsid w:val="0094102F"/>
    <w:rsid w:val="009411EE"/>
    <w:rsid w:val="00941334"/>
    <w:rsid w:val="00941357"/>
    <w:rsid w:val="00941432"/>
    <w:rsid w:val="00941468"/>
    <w:rsid w:val="0094152C"/>
    <w:rsid w:val="0094153F"/>
    <w:rsid w:val="009416ED"/>
    <w:rsid w:val="009417D5"/>
    <w:rsid w:val="009417E7"/>
    <w:rsid w:val="00941877"/>
    <w:rsid w:val="009418DB"/>
    <w:rsid w:val="009419BE"/>
    <w:rsid w:val="00941C5A"/>
    <w:rsid w:val="00941D0D"/>
    <w:rsid w:val="00941E71"/>
    <w:rsid w:val="00941E95"/>
    <w:rsid w:val="00941FD2"/>
    <w:rsid w:val="00942021"/>
    <w:rsid w:val="00942084"/>
    <w:rsid w:val="009421CE"/>
    <w:rsid w:val="009421FE"/>
    <w:rsid w:val="00942279"/>
    <w:rsid w:val="009422C2"/>
    <w:rsid w:val="009422D8"/>
    <w:rsid w:val="009423A9"/>
    <w:rsid w:val="0094252E"/>
    <w:rsid w:val="0094260D"/>
    <w:rsid w:val="009426AD"/>
    <w:rsid w:val="009428B9"/>
    <w:rsid w:val="00942B2F"/>
    <w:rsid w:val="00942BA6"/>
    <w:rsid w:val="00942FA2"/>
    <w:rsid w:val="009430CB"/>
    <w:rsid w:val="00943123"/>
    <w:rsid w:val="009432C0"/>
    <w:rsid w:val="009432D4"/>
    <w:rsid w:val="00943333"/>
    <w:rsid w:val="009433C4"/>
    <w:rsid w:val="0094346B"/>
    <w:rsid w:val="009434A9"/>
    <w:rsid w:val="00943542"/>
    <w:rsid w:val="0094355E"/>
    <w:rsid w:val="00943576"/>
    <w:rsid w:val="00943607"/>
    <w:rsid w:val="00943633"/>
    <w:rsid w:val="00943649"/>
    <w:rsid w:val="00943680"/>
    <w:rsid w:val="00943687"/>
    <w:rsid w:val="00943780"/>
    <w:rsid w:val="0094379E"/>
    <w:rsid w:val="009437A2"/>
    <w:rsid w:val="009437C1"/>
    <w:rsid w:val="0094395B"/>
    <w:rsid w:val="00943B10"/>
    <w:rsid w:val="00943BC3"/>
    <w:rsid w:val="00943CB7"/>
    <w:rsid w:val="00943CC2"/>
    <w:rsid w:val="00943CD4"/>
    <w:rsid w:val="009440F5"/>
    <w:rsid w:val="00944185"/>
    <w:rsid w:val="009444A7"/>
    <w:rsid w:val="00944505"/>
    <w:rsid w:val="00944622"/>
    <w:rsid w:val="00944624"/>
    <w:rsid w:val="00944721"/>
    <w:rsid w:val="0094481D"/>
    <w:rsid w:val="009448A0"/>
    <w:rsid w:val="009448D4"/>
    <w:rsid w:val="009448ED"/>
    <w:rsid w:val="00944962"/>
    <w:rsid w:val="00944BA8"/>
    <w:rsid w:val="00944C68"/>
    <w:rsid w:val="00944D85"/>
    <w:rsid w:val="00944E18"/>
    <w:rsid w:val="00944EA7"/>
    <w:rsid w:val="00944F36"/>
    <w:rsid w:val="00944F6B"/>
    <w:rsid w:val="00944FD7"/>
    <w:rsid w:val="00944FEC"/>
    <w:rsid w:val="00945103"/>
    <w:rsid w:val="009451DE"/>
    <w:rsid w:val="00945238"/>
    <w:rsid w:val="0094527C"/>
    <w:rsid w:val="009453A0"/>
    <w:rsid w:val="0094566A"/>
    <w:rsid w:val="0094576E"/>
    <w:rsid w:val="0094588B"/>
    <w:rsid w:val="00945941"/>
    <w:rsid w:val="0094597E"/>
    <w:rsid w:val="009459BF"/>
    <w:rsid w:val="00945AA3"/>
    <w:rsid w:val="00945BE5"/>
    <w:rsid w:val="00945C37"/>
    <w:rsid w:val="00945DB6"/>
    <w:rsid w:val="00945E05"/>
    <w:rsid w:val="0094617C"/>
    <w:rsid w:val="009462EC"/>
    <w:rsid w:val="0094631D"/>
    <w:rsid w:val="00946464"/>
    <w:rsid w:val="0094648C"/>
    <w:rsid w:val="009465F4"/>
    <w:rsid w:val="00946624"/>
    <w:rsid w:val="009466D3"/>
    <w:rsid w:val="009467A6"/>
    <w:rsid w:val="00946803"/>
    <w:rsid w:val="00946A51"/>
    <w:rsid w:val="00946B1F"/>
    <w:rsid w:val="00946C15"/>
    <w:rsid w:val="00946F45"/>
    <w:rsid w:val="00946F5F"/>
    <w:rsid w:val="00946FD4"/>
    <w:rsid w:val="00947107"/>
    <w:rsid w:val="00947339"/>
    <w:rsid w:val="00947346"/>
    <w:rsid w:val="009474DC"/>
    <w:rsid w:val="0094753D"/>
    <w:rsid w:val="0094753F"/>
    <w:rsid w:val="00947853"/>
    <w:rsid w:val="0094792B"/>
    <w:rsid w:val="009479DE"/>
    <w:rsid w:val="00947A42"/>
    <w:rsid w:val="00947A75"/>
    <w:rsid w:val="00947B14"/>
    <w:rsid w:val="00947B37"/>
    <w:rsid w:val="00947CBA"/>
    <w:rsid w:val="00947D0B"/>
    <w:rsid w:val="00947D28"/>
    <w:rsid w:val="00947F8D"/>
    <w:rsid w:val="00950061"/>
    <w:rsid w:val="00950142"/>
    <w:rsid w:val="0095014C"/>
    <w:rsid w:val="0095020D"/>
    <w:rsid w:val="00950235"/>
    <w:rsid w:val="00950298"/>
    <w:rsid w:val="009504D8"/>
    <w:rsid w:val="00950578"/>
    <w:rsid w:val="009505A9"/>
    <w:rsid w:val="009505EF"/>
    <w:rsid w:val="0095061C"/>
    <w:rsid w:val="00950649"/>
    <w:rsid w:val="00950984"/>
    <w:rsid w:val="009509BB"/>
    <w:rsid w:val="00950A44"/>
    <w:rsid w:val="00950B86"/>
    <w:rsid w:val="00950C8F"/>
    <w:rsid w:val="00950CEE"/>
    <w:rsid w:val="00950F22"/>
    <w:rsid w:val="0095125C"/>
    <w:rsid w:val="00951269"/>
    <w:rsid w:val="00951534"/>
    <w:rsid w:val="0095178D"/>
    <w:rsid w:val="00951922"/>
    <w:rsid w:val="0095199A"/>
    <w:rsid w:val="009519FB"/>
    <w:rsid w:val="00951A85"/>
    <w:rsid w:val="00951AA9"/>
    <w:rsid w:val="00951AAC"/>
    <w:rsid w:val="00951BCE"/>
    <w:rsid w:val="00951F2D"/>
    <w:rsid w:val="00951F7D"/>
    <w:rsid w:val="00951FD5"/>
    <w:rsid w:val="009521B4"/>
    <w:rsid w:val="0095229A"/>
    <w:rsid w:val="009522A6"/>
    <w:rsid w:val="009522DD"/>
    <w:rsid w:val="009522F2"/>
    <w:rsid w:val="009522F6"/>
    <w:rsid w:val="00952425"/>
    <w:rsid w:val="0095257D"/>
    <w:rsid w:val="009525CD"/>
    <w:rsid w:val="0095264B"/>
    <w:rsid w:val="0095267A"/>
    <w:rsid w:val="0095284C"/>
    <w:rsid w:val="00952860"/>
    <w:rsid w:val="009528CF"/>
    <w:rsid w:val="009529F6"/>
    <w:rsid w:val="009529FA"/>
    <w:rsid w:val="00952B2C"/>
    <w:rsid w:val="00952BCF"/>
    <w:rsid w:val="00952CDD"/>
    <w:rsid w:val="00952DF5"/>
    <w:rsid w:val="00952E93"/>
    <w:rsid w:val="00953087"/>
    <w:rsid w:val="009531B7"/>
    <w:rsid w:val="00953201"/>
    <w:rsid w:val="0095323A"/>
    <w:rsid w:val="00953601"/>
    <w:rsid w:val="0095360D"/>
    <w:rsid w:val="009537CB"/>
    <w:rsid w:val="009537F5"/>
    <w:rsid w:val="00953810"/>
    <w:rsid w:val="00953886"/>
    <w:rsid w:val="0095395B"/>
    <w:rsid w:val="00953A20"/>
    <w:rsid w:val="00953A59"/>
    <w:rsid w:val="00953BE8"/>
    <w:rsid w:val="00953BF5"/>
    <w:rsid w:val="00953C30"/>
    <w:rsid w:val="00953C64"/>
    <w:rsid w:val="00953D7A"/>
    <w:rsid w:val="00953DD2"/>
    <w:rsid w:val="00953E19"/>
    <w:rsid w:val="00953E6E"/>
    <w:rsid w:val="00953EDD"/>
    <w:rsid w:val="00953EF8"/>
    <w:rsid w:val="00953F06"/>
    <w:rsid w:val="00953F6C"/>
    <w:rsid w:val="00953FE3"/>
    <w:rsid w:val="00954106"/>
    <w:rsid w:val="00954293"/>
    <w:rsid w:val="009542CB"/>
    <w:rsid w:val="009543E6"/>
    <w:rsid w:val="00954440"/>
    <w:rsid w:val="00954697"/>
    <w:rsid w:val="00954806"/>
    <w:rsid w:val="009548C5"/>
    <w:rsid w:val="009549D5"/>
    <w:rsid w:val="009549F2"/>
    <w:rsid w:val="00954A12"/>
    <w:rsid w:val="00954AAC"/>
    <w:rsid w:val="00954AD7"/>
    <w:rsid w:val="00954B6A"/>
    <w:rsid w:val="00954D83"/>
    <w:rsid w:val="00954E19"/>
    <w:rsid w:val="00954E4C"/>
    <w:rsid w:val="00954E5E"/>
    <w:rsid w:val="00954E91"/>
    <w:rsid w:val="00954E9A"/>
    <w:rsid w:val="00954F1A"/>
    <w:rsid w:val="00954FA8"/>
    <w:rsid w:val="00954FD6"/>
    <w:rsid w:val="00955055"/>
    <w:rsid w:val="009554F3"/>
    <w:rsid w:val="00955550"/>
    <w:rsid w:val="00955683"/>
    <w:rsid w:val="00955826"/>
    <w:rsid w:val="00955974"/>
    <w:rsid w:val="00955982"/>
    <w:rsid w:val="009559E4"/>
    <w:rsid w:val="00955A34"/>
    <w:rsid w:val="00955ADE"/>
    <w:rsid w:val="00955D95"/>
    <w:rsid w:val="00955F21"/>
    <w:rsid w:val="00955F29"/>
    <w:rsid w:val="00955F53"/>
    <w:rsid w:val="00955FA7"/>
    <w:rsid w:val="009562C1"/>
    <w:rsid w:val="009562C4"/>
    <w:rsid w:val="009562CA"/>
    <w:rsid w:val="00956359"/>
    <w:rsid w:val="009566F2"/>
    <w:rsid w:val="0095694F"/>
    <w:rsid w:val="009569A0"/>
    <w:rsid w:val="009569A8"/>
    <w:rsid w:val="009569D8"/>
    <w:rsid w:val="00956DBF"/>
    <w:rsid w:val="00956EDA"/>
    <w:rsid w:val="009570FB"/>
    <w:rsid w:val="0095728A"/>
    <w:rsid w:val="0095733E"/>
    <w:rsid w:val="009573F0"/>
    <w:rsid w:val="0095750B"/>
    <w:rsid w:val="0095768D"/>
    <w:rsid w:val="0095769A"/>
    <w:rsid w:val="009576FC"/>
    <w:rsid w:val="0095770E"/>
    <w:rsid w:val="00957752"/>
    <w:rsid w:val="0095777B"/>
    <w:rsid w:val="00957A41"/>
    <w:rsid w:val="00957BA0"/>
    <w:rsid w:val="00957BE0"/>
    <w:rsid w:val="00957CE8"/>
    <w:rsid w:val="00957D77"/>
    <w:rsid w:val="00957E46"/>
    <w:rsid w:val="00957ECA"/>
    <w:rsid w:val="00957F04"/>
    <w:rsid w:val="00957FB9"/>
    <w:rsid w:val="00957FBE"/>
    <w:rsid w:val="00957FCB"/>
    <w:rsid w:val="009600D8"/>
    <w:rsid w:val="00960272"/>
    <w:rsid w:val="00960279"/>
    <w:rsid w:val="00960415"/>
    <w:rsid w:val="0096049E"/>
    <w:rsid w:val="009605C6"/>
    <w:rsid w:val="009606B9"/>
    <w:rsid w:val="009608C6"/>
    <w:rsid w:val="009608F8"/>
    <w:rsid w:val="009609FC"/>
    <w:rsid w:val="00960AAA"/>
    <w:rsid w:val="00960B70"/>
    <w:rsid w:val="00960C13"/>
    <w:rsid w:val="00960F01"/>
    <w:rsid w:val="00960FE5"/>
    <w:rsid w:val="00960FEB"/>
    <w:rsid w:val="009610A0"/>
    <w:rsid w:val="00961131"/>
    <w:rsid w:val="00961155"/>
    <w:rsid w:val="009611E7"/>
    <w:rsid w:val="00961206"/>
    <w:rsid w:val="0096129B"/>
    <w:rsid w:val="0096140E"/>
    <w:rsid w:val="00961564"/>
    <w:rsid w:val="009615B1"/>
    <w:rsid w:val="00961640"/>
    <w:rsid w:val="00961694"/>
    <w:rsid w:val="00961698"/>
    <w:rsid w:val="00961876"/>
    <w:rsid w:val="00961933"/>
    <w:rsid w:val="009619BE"/>
    <w:rsid w:val="00961AD1"/>
    <w:rsid w:val="00961B70"/>
    <w:rsid w:val="00961C3B"/>
    <w:rsid w:val="0096248F"/>
    <w:rsid w:val="009624DD"/>
    <w:rsid w:val="00962588"/>
    <w:rsid w:val="009625D1"/>
    <w:rsid w:val="009625FA"/>
    <w:rsid w:val="0096261B"/>
    <w:rsid w:val="00962623"/>
    <w:rsid w:val="00962881"/>
    <w:rsid w:val="009628CA"/>
    <w:rsid w:val="009628D8"/>
    <w:rsid w:val="009628E4"/>
    <w:rsid w:val="00962964"/>
    <w:rsid w:val="00962A0C"/>
    <w:rsid w:val="00962A15"/>
    <w:rsid w:val="00962AC5"/>
    <w:rsid w:val="00962B2C"/>
    <w:rsid w:val="00962C17"/>
    <w:rsid w:val="00962C42"/>
    <w:rsid w:val="00962CAD"/>
    <w:rsid w:val="00962CFF"/>
    <w:rsid w:val="00962DE8"/>
    <w:rsid w:val="00962F73"/>
    <w:rsid w:val="009630E4"/>
    <w:rsid w:val="00963255"/>
    <w:rsid w:val="009632CF"/>
    <w:rsid w:val="009633D6"/>
    <w:rsid w:val="0096342A"/>
    <w:rsid w:val="0096344A"/>
    <w:rsid w:val="00963451"/>
    <w:rsid w:val="00963665"/>
    <w:rsid w:val="00963913"/>
    <w:rsid w:val="0096398E"/>
    <w:rsid w:val="00963AA1"/>
    <w:rsid w:val="00963B23"/>
    <w:rsid w:val="00963C94"/>
    <w:rsid w:val="0096420E"/>
    <w:rsid w:val="00964218"/>
    <w:rsid w:val="009644ED"/>
    <w:rsid w:val="00964512"/>
    <w:rsid w:val="0096462F"/>
    <w:rsid w:val="009647D2"/>
    <w:rsid w:val="009648BF"/>
    <w:rsid w:val="00964A5B"/>
    <w:rsid w:val="00964A8E"/>
    <w:rsid w:val="00964ABF"/>
    <w:rsid w:val="00964B2B"/>
    <w:rsid w:val="00964C25"/>
    <w:rsid w:val="00964C52"/>
    <w:rsid w:val="00964C6D"/>
    <w:rsid w:val="00964EB1"/>
    <w:rsid w:val="00964EBB"/>
    <w:rsid w:val="00964F9D"/>
    <w:rsid w:val="00965206"/>
    <w:rsid w:val="0096536B"/>
    <w:rsid w:val="00965561"/>
    <w:rsid w:val="0096564A"/>
    <w:rsid w:val="009656DC"/>
    <w:rsid w:val="00965973"/>
    <w:rsid w:val="009659AA"/>
    <w:rsid w:val="009659CC"/>
    <w:rsid w:val="00965A5A"/>
    <w:rsid w:val="00965A80"/>
    <w:rsid w:val="00965AF3"/>
    <w:rsid w:val="00965C5E"/>
    <w:rsid w:val="00965C6B"/>
    <w:rsid w:val="00965CD2"/>
    <w:rsid w:val="00965DD1"/>
    <w:rsid w:val="00965F24"/>
    <w:rsid w:val="0096604C"/>
    <w:rsid w:val="00966099"/>
    <w:rsid w:val="009660F6"/>
    <w:rsid w:val="0096617B"/>
    <w:rsid w:val="0096621C"/>
    <w:rsid w:val="009663A3"/>
    <w:rsid w:val="0096656A"/>
    <w:rsid w:val="009665CC"/>
    <w:rsid w:val="0096660E"/>
    <w:rsid w:val="009666D8"/>
    <w:rsid w:val="0096678A"/>
    <w:rsid w:val="00966AFD"/>
    <w:rsid w:val="00966B15"/>
    <w:rsid w:val="00966D4F"/>
    <w:rsid w:val="00966F55"/>
    <w:rsid w:val="00966FD8"/>
    <w:rsid w:val="00966FE5"/>
    <w:rsid w:val="0096713C"/>
    <w:rsid w:val="009671C8"/>
    <w:rsid w:val="009673C9"/>
    <w:rsid w:val="0096741E"/>
    <w:rsid w:val="00967461"/>
    <w:rsid w:val="009674AD"/>
    <w:rsid w:val="009674D2"/>
    <w:rsid w:val="0096761A"/>
    <w:rsid w:val="00967679"/>
    <w:rsid w:val="009676F6"/>
    <w:rsid w:val="0096789D"/>
    <w:rsid w:val="00967A9E"/>
    <w:rsid w:val="00967C7B"/>
    <w:rsid w:val="00967CB2"/>
    <w:rsid w:val="00967E9A"/>
    <w:rsid w:val="00967EFF"/>
    <w:rsid w:val="00967FE0"/>
    <w:rsid w:val="0097000D"/>
    <w:rsid w:val="009701E7"/>
    <w:rsid w:val="00970244"/>
    <w:rsid w:val="00970328"/>
    <w:rsid w:val="00970389"/>
    <w:rsid w:val="00970532"/>
    <w:rsid w:val="009706A1"/>
    <w:rsid w:val="00970756"/>
    <w:rsid w:val="009707A7"/>
    <w:rsid w:val="009707AD"/>
    <w:rsid w:val="009707D1"/>
    <w:rsid w:val="0097097F"/>
    <w:rsid w:val="00970AE8"/>
    <w:rsid w:val="00970B81"/>
    <w:rsid w:val="00970CAA"/>
    <w:rsid w:val="00970D01"/>
    <w:rsid w:val="00970E10"/>
    <w:rsid w:val="00970E23"/>
    <w:rsid w:val="00970E7D"/>
    <w:rsid w:val="00970FFA"/>
    <w:rsid w:val="00971001"/>
    <w:rsid w:val="009710D7"/>
    <w:rsid w:val="009712DF"/>
    <w:rsid w:val="0097143F"/>
    <w:rsid w:val="009714EE"/>
    <w:rsid w:val="0097154C"/>
    <w:rsid w:val="009716C3"/>
    <w:rsid w:val="009716E7"/>
    <w:rsid w:val="00971766"/>
    <w:rsid w:val="009719E0"/>
    <w:rsid w:val="00971A15"/>
    <w:rsid w:val="00971B23"/>
    <w:rsid w:val="00971B5E"/>
    <w:rsid w:val="00971C3E"/>
    <w:rsid w:val="00971C49"/>
    <w:rsid w:val="00971CDB"/>
    <w:rsid w:val="00971E3C"/>
    <w:rsid w:val="00971FBD"/>
    <w:rsid w:val="00972068"/>
    <w:rsid w:val="00972086"/>
    <w:rsid w:val="00972169"/>
    <w:rsid w:val="009721D0"/>
    <w:rsid w:val="009722C3"/>
    <w:rsid w:val="00972309"/>
    <w:rsid w:val="00972380"/>
    <w:rsid w:val="0097260E"/>
    <w:rsid w:val="0097262E"/>
    <w:rsid w:val="00972656"/>
    <w:rsid w:val="009726C6"/>
    <w:rsid w:val="009726E6"/>
    <w:rsid w:val="00972832"/>
    <w:rsid w:val="0097288D"/>
    <w:rsid w:val="009728DC"/>
    <w:rsid w:val="00972927"/>
    <w:rsid w:val="00972A96"/>
    <w:rsid w:val="00972B2C"/>
    <w:rsid w:val="00972BB2"/>
    <w:rsid w:val="00972C49"/>
    <w:rsid w:val="00972CCD"/>
    <w:rsid w:val="00972D03"/>
    <w:rsid w:val="00972D2C"/>
    <w:rsid w:val="00972F4A"/>
    <w:rsid w:val="0097300D"/>
    <w:rsid w:val="00973019"/>
    <w:rsid w:val="0097305C"/>
    <w:rsid w:val="00973078"/>
    <w:rsid w:val="009730B3"/>
    <w:rsid w:val="00973107"/>
    <w:rsid w:val="009731FF"/>
    <w:rsid w:val="009733AD"/>
    <w:rsid w:val="009734ED"/>
    <w:rsid w:val="00973559"/>
    <w:rsid w:val="009736FE"/>
    <w:rsid w:val="00973825"/>
    <w:rsid w:val="00973829"/>
    <w:rsid w:val="009738A9"/>
    <w:rsid w:val="009738D2"/>
    <w:rsid w:val="00973C49"/>
    <w:rsid w:val="00973DE8"/>
    <w:rsid w:val="00973E2E"/>
    <w:rsid w:val="00973EF7"/>
    <w:rsid w:val="00973F1B"/>
    <w:rsid w:val="00973F20"/>
    <w:rsid w:val="00973F3E"/>
    <w:rsid w:val="00973F84"/>
    <w:rsid w:val="0097421B"/>
    <w:rsid w:val="009742FE"/>
    <w:rsid w:val="00974386"/>
    <w:rsid w:val="0097481E"/>
    <w:rsid w:val="009748CD"/>
    <w:rsid w:val="00974AFB"/>
    <w:rsid w:val="00974B42"/>
    <w:rsid w:val="00974B82"/>
    <w:rsid w:val="00974C55"/>
    <w:rsid w:val="00974D69"/>
    <w:rsid w:val="00974DED"/>
    <w:rsid w:val="00974EE3"/>
    <w:rsid w:val="00974F90"/>
    <w:rsid w:val="00975160"/>
    <w:rsid w:val="009751BA"/>
    <w:rsid w:val="0097560A"/>
    <w:rsid w:val="009756E5"/>
    <w:rsid w:val="0097570B"/>
    <w:rsid w:val="00975773"/>
    <w:rsid w:val="009757F1"/>
    <w:rsid w:val="00975917"/>
    <w:rsid w:val="009759E0"/>
    <w:rsid w:val="00975D5B"/>
    <w:rsid w:val="00975FFE"/>
    <w:rsid w:val="0097604A"/>
    <w:rsid w:val="0097607C"/>
    <w:rsid w:val="009763BA"/>
    <w:rsid w:val="00976403"/>
    <w:rsid w:val="00976415"/>
    <w:rsid w:val="00976474"/>
    <w:rsid w:val="00976492"/>
    <w:rsid w:val="0097658F"/>
    <w:rsid w:val="009765B2"/>
    <w:rsid w:val="0097664B"/>
    <w:rsid w:val="0097665E"/>
    <w:rsid w:val="0097666B"/>
    <w:rsid w:val="0097669F"/>
    <w:rsid w:val="009767BA"/>
    <w:rsid w:val="00976B92"/>
    <w:rsid w:val="00976BF1"/>
    <w:rsid w:val="00976C42"/>
    <w:rsid w:val="00977284"/>
    <w:rsid w:val="009772A6"/>
    <w:rsid w:val="00977714"/>
    <w:rsid w:val="0097777A"/>
    <w:rsid w:val="009777E6"/>
    <w:rsid w:val="00977956"/>
    <w:rsid w:val="00977957"/>
    <w:rsid w:val="00977A0A"/>
    <w:rsid w:val="00977A90"/>
    <w:rsid w:val="00977D16"/>
    <w:rsid w:val="00977D2D"/>
    <w:rsid w:val="00977DE9"/>
    <w:rsid w:val="00977E9E"/>
    <w:rsid w:val="00977F16"/>
    <w:rsid w:val="0098004C"/>
    <w:rsid w:val="0098008D"/>
    <w:rsid w:val="009800E6"/>
    <w:rsid w:val="009800F7"/>
    <w:rsid w:val="009801BB"/>
    <w:rsid w:val="009801C4"/>
    <w:rsid w:val="00980203"/>
    <w:rsid w:val="00980443"/>
    <w:rsid w:val="009804E5"/>
    <w:rsid w:val="009804FF"/>
    <w:rsid w:val="00980520"/>
    <w:rsid w:val="0098060D"/>
    <w:rsid w:val="0098060E"/>
    <w:rsid w:val="0098066C"/>
    <w:rsid w:val="00980684"/>
    <w:rsid w:val="009806C5"/>
    <w:rsid w:val="00980773"/>
    <w:rsid w:val="009808AB"/>
    <w:rsid w:val="0098092B"/>
    <w:rsid w:val="0098094E"/>
    <w:rsid w:val="00980A64"/>
    <w:rsid w:val="00980A82"/>
    <w:rsid w:val="00980AA3"/>
    <w:rsid w:val="00980CC2"/>
    <w:rsid w:val="00980CF0"/>
    <w:rsid w:val="00980D45"/>
    <w:rsid w:val="00980D48"/>
    <w:rsid w:val="00980F37"/>
    <w:rsid w:val="0098108F"/>
    <w:rsid w:val="009810B9"/>
    <w:rsid w:val="009810EB"/>
    <w:rsid w:val="00981172"/>
    <w:rsid w:val="009811E5"/>
    <w:rsid w:val="00981261"/>
    <w:rsid w:val="009812C9"/>
    <w:rsid w:val="009812D6"/>
    <w:rsid w:val="009814A3"/>
    <w:rsid w:val="009814C1"/>
    <w:rsid w:val="009814CD"/>
    <w:rsid w:val="00981606"/>
    <w:rsid w:val="00981618"/>
    <w:rsid w:val="009816B3"/>
    <w:rsid w:val="009816DA"/>
    <w:rsid w:val="0098173E"/>
    <w:rsid w:val="0098174F"/>
    <w:rsid w:val="009817C3"/>
    <w:rsid w:val="00981869"/>
    <w:rsid w:val="009818A2"/>
    <w:rsid w:val="0098197E"/>
    <w:rsid w:val="009819A4"/>
    <w:rsid w:val="009819A9"/>
    <w:rsid w:val="00981B2D"/>
    <w:rsid w:val="00981B53"/>
    <w:rsid w:val="00981BBA"/>
    <w:rsid w:val="00981C83"/>
    <w:rsid w:val="00981D5B"/>
    <w:rsid w:val="00981D80"/>
    <w:rsid w:val="00981E16"/>
    <w:rsid w:val="00981E96"/>
    <w:rsid w:val="00981EFC"/>
    <w:rsid w:val="00981F9B"/>
    <w:rsid w:val="0098204E"/>
    <w:rsid w:val="009820A3"/>
    <w:rsid w:val="009820B3"/>
    <w:rsid w:val="00982196"/>
    <w:rsid w:val="009821E6"/>
    <w:rsid w:val="0098222E"/>
    <w:rsid w:val="009822E7"/>
    <w:rsid w:val="00982313"/>
    <w:rsid w:val="00982394"/>
    <w:rsid w:val="009826BB"/>
    <w:rsid w:val="009827CD"/>
    <w:rsid w:val="00982851"/>
    <w:rsid w:val="00982988"/>
    <w:rsid w:val="00982A70"/>
    <w:rsid w:val="00982AC5"/>
    <w:rsid w:val="00982B36"/>
    <w:rsid w:val="00982B69"/>
    <w:rsid w:val="00982B8A"/>
    <w:rsid w:val="00982BBB"/>
    <w:rsid w:val="00982CE3"/>
    <w:rsid w:val="00982D00"/>
    <w:rsid w:val="00982DF8"/>
    <w:rsid w:val="00982E2D"/>
    <w:rsid w:val="00982E5C"/>
    <w:rsid w:val="00982EE6"/>
    <w:rsid w:val="00982F33"/>
    <w:rsid w:val="00982F7B"/>
    <w:rsid w:val="00983064"/>
    <w:rsid w:val="00983155"/>
    <w:rsid w:val="009831B4"/>
    <w:rsid w:val="00983239"/>
    <w:rsid w:val="00983309"/>
    <w:rsid w:val="00983428"/>
    <w:rsid w:val="00983453"/>
    <w:rsid w:val="0098357E"/>
    <w:rsid w:val="00983607"/>
    <w:rsid w:val="00983629"/>
    <w:rsid w:val="00983683"/>
    <w:rsid w:val="0098371E"/>
    <w:rsid w:val="00983754"/>
    <w:rsid w:val="0098380A"/>
    <w:rsid w:val="0098383A"/>
    <w:rsid w:val="00983877"/>
    <w:rsid w:val="009838C5"/>
    <w:rsid w:val="009838DA"/>
    <w:rsid w:val="00983999"/>
    <w:rsid w:val="00983AB7"/>
    <w:rsid w:val="00983B0F"/>
    <w:rsid w:val="00983B8F"/>
    <w:rsid w:val="00983BEC"/>
    <w:rsid w:val="00983BF2"/>
    <w:rsid w:val="00983CFC"/>
    <w:rsid w:val="00983D55"/>
    <w:rsid w:val="00983E70"/>
    <w:rsid w:val="00983EEF"/>
    <w:rsid w:val="00984099"/>
    <w:rsid w:val="00984106"/>
    <w:rsid w:val="00984262"/>
    <w:rsid w:val="0098435F"/>
    <w:rsid w:val="00984382"/>
    <w:rsid w:val="00984446"/>
    <w:rsid w:val="00984493"/>
    <w:rsid w:val="009844EE"/>
    <w:rsid w:val="0098451A"/>
    <w:rsid w:val="00984520"/>
    <w:rsid w:val="00984689"/>
    <w:rsid w:val="0098477A"/>
    <w:rsid w:val="009847F5"/>
    <w:rsid w:val="00984974"/>
    <w:rsid w:val="00984A2A"/>
    <w:rsid w:val="00984A4A"/>
    <w:rsid w:val="00984ACC"/>
    <w:rsid w:val="00984AD8"/>
    <w:rsid w:val="00984BFD"/>
    <w:rsid w:val="00984E2D"/>
    <w:rsid w:val="00984EA8"/>
    <w:rsid w:val="00984EB5"/>
    <w:rsid w:val="00984F2C"/>
    <w:rsid w:val="00984F3E"/>
    <w:rsid w:val="00984F89"/>
    <w:rsid w:val="00984FCA"/>
    <w:rsid w:val="00984FD3"/>
    <w:rsid w:val="00985070"/>
    <w:rsid w:val="00985072"/>
    <w:rsid w:val="0098508A"/>
    <w:rsid w:val="009850E9"/>
    <w:rsid w:val="0098525C"/>
    <w:rsid w:val="0098539F"/>
    <w:rsid w:val="009853E8"/>
    <w:rsid w:val="00985456"/>
    <w:rsid w:val="009856D1"/>
    <w:rsid w:val="0098575F"/>
    <w:rsid w:val="00985818"/>
    <w:rsid w:val="00985906"/>
    <w:rsid w:val="009859C0"/>
    <w:rsid w:val="00985A11"/>
    <w:rsid w:val="00985ADD"/>
    <w:rsid w:val="00985AE5"/>
    <w:rsid w:val="00985AE9"/>
    <w:rsid w:val="00985BC2"/>
    <w:rsid w:val="00985C72"/>
    <w:rsid w:val="00985CE9"/>
    <w:rsid w:val="00985DCB"/>
    <w:rsid w:val="00985E8D"/>
    <w:rsid w:val="00985EC0"/>
    <w:rsid w:val="00985EF7"/>
    <w:rsid w:val="00985F36"/>
    <w:rsid w:val="00986093"/>
    <w:rsid w:val="00986115"/>
    <w:rsid w:val="00986129"/>
    <w:rsid w:val="00986135"/>
    <w:rsid w:val="009861B5"/>
    <w:rsid w:val="00986222"/>
    <w:rsid w:val="00986349"/>
    <w:rsid w:val="0098648A"/>
    <w:rsid w:val="009864D8"/>
    <w:rsid w:val="0098650D"/>
    <w:rsid w:val="00986554"/>
    <w:rsid w:val="0098676A"/>
    <w:rsid w:val="0098683A"/>
    <w:rsid w:val="00986972"/>
    <w:rsid w:val="009869FB"/>
    <w:rsid w:val="00986A1A"/>
    <w:rsid w:val="00986B66"/>
    <w:rsid w:val="00986C99"/>
    <w:rsid w:val="00986CF5"/>
    <w:rsid w:val="00986D91"/>
    <w:rsid w:val="00986F14"/>
    <w:rsid w:val="00987077"/>
    <w:rsid w:val="009870B6"/>
    <w:rsid w:val="0098716A"/>
    <w:rsid w:val="009871B5"/>
    <w:rsid w:val="00987381"/>
    <w:rsid w:val="009873CC"/>
    <w:rsid w:val="00987415"/>
    <w:rsid w:val="0098751C"/>
    <w:rsid w:val="0098751D"/>
    <w:rsid w:val="00987529"/>
    <w:rsid w:val="0098759A"/>
    <w:rsid w:val="0098759D"/>
    <w:rsid w:val="0098764D"/>
    <w:rsid w:val="0098768B"/>
    <w:rsid w:val="009876D8"/>
    <w:rsid w:val="00987748"/>
    <w:rsid w:val="009877EE"/>
    <w:rsid w:val="00987806"/>
    <w:rsid w:val="0098781B"/>
    <w:rsid w:val="00987839"/>
    <w:rsid w:val="0098798E"/>
    <w:rsid w:val="009879B7"/>
    <w:rsid w:val="00987A0D"/>
    <w:rsid w:val="00987A52"/>
    <w:rsid w:val="00987A89"/>
    <w:rsid w:val="00987B2C"/>
    <w:rsid w:val="00987B49"/>
    <w:rsid w:val="00987C15"/>
    <w:rsid w:val="00987C91"/>
    <w:rsid w:val="00987EDF"/>
    <w:rsid w:val="00987F26"/>
    <w:rsid w:val="00987F60"/>
    <w:rsid w:val="00987F6F"/>
    <w:rsid w:val="00990023"/>
    <w:rsid w:val="00990033"/>
    <w:rsid w:val="009900CB"/>
    <w:rsid w:val="0099037F"/>
    <w:rsid w:val="00990416"/>
    <w:rsid w:val="009904B9"/>
    <w:rsid w:val="009904D6"/>
    <w:rsid w:val="009904E7"/>
    <w:rsid w:val="009905FD"/>
    <w:rsid w:val="009907D9"/>
    <w:rsid w:val="00990A8E"/>
    <w:rsid w:val="00990AC3"/>
    <w:rsid w:val="00990CC4"/>
    <w:rsid w:val="00990D3B"/>
    <w:rsid w:val="00990E09"/>
    <w:rsid w:val="00990E5D"/>
    <w:rsid w:val="009910A0"/>
    <w:rsid w:val="009910BB"/>
    <w:rsid w:val="00991130"/>
    <w:rsid w:val="00991136"/>
    <w:rsid w:val="0099120A"/>
    <w:rsid w:val="009912FD"/>
    <w:rsid w:val="00991327"/>
    <w:rsid w:val="0099139C"/>
    <w:rsid w:val="009913DF"/>
    <w:rsid w:val="00991524"/>
    <w:rsid w:val="00991549"/>
    <w:rsid w:val="0099156D"/>
    <w:rsid w:val="00991595"/>
    <w:rsid w:val="009915DD"/>
    <w:rsid w:val="00991900"/>
    <w:rsid w:val="00991903"/>
    <w:rsid w:val="00991954"/>
    <w:rsid w:val="00991AB4"/>
    <w:rsid w:val="00991B86"/>
    <w:rsid w:val="00991CDA"/>
    <w:rsid w:val="00991D23"/>
    <w:rsid w:val="00991D29"/>
    <w:rsid w:val="00991E52"/>
    <w:rsid w:val="00991F0A"/>
    <w:rsid w:val="00991FB5"/>
    <w:rsid w:val="00991FBC"/>
    <w:rsid w:val="00992060"/>
    <w:rsid w:val="00992120"/>
    <w:rsid w:val="00992215"/>
    <w:rsid w:val="009922F3"/>
    <w:rsid w:val="0099265D"/>
    <w:rsid w:val="00992819"/>
    <w:rsid w:val="0099291D"/>
    <w:rsid w:val="0099293C"/>
    <w:rsid w:val="00992B62"/>
    <w:rsid w:val="00992B9B"/>
    <w:rsid w:val="00992D2A"/>
    <w:rsid w:val="00992D34"/>
    <w:rsid w:val="00992EB2"/>
    <w:rsid w:val="00992F90"/>
    <w:rsid w:val="00992FBE"/>
    <w:rsid w:val="009930A5"/>
    <w:rsid w:val="0099328D"/>
    <w:rsid w:val="009932CD"/>
    <w:rsid w:val="0099331D"/>
    <w:rsid w:val="009933AF"/>
    <w:rsid w:val="009933C2"/>
    <w:rsid w:val="009934C6"/>
    <w:rsid w:val="00993558"/>
    <w:rsid w:val="009935CA"/>
    <w:rsid w:val="00993801"/>
    <w:rsid w:val="0099390F"/>
    <w:rsid w:val="00993A0F"/>
    <w:rsid w:val="00993CEF"/>
    <w:rsid w:val="00993CFE"/>
    <w:rsid w:val="00993DC1"/>
    <w:rsid w:val="00993FA7"/>
    <w:rsid w:val="0099401B"/>
    <w:rsid w:val="00994085"/>
    <w:rsid w:val="009940AB"/>
    <w:rsid w:val="00994330"/>
    <w:rsid w:val="00994419"/>
    <w:rsid w:val="0099455F"/>
    <w:rsid w:val="00994643"/>
    <w:rsid w:val="00994698"/>
    <w:rsid w:val="009946B5"/>
    <w:rsid w:val="0099470E"/>
    <w:rsid w:val="00994737"/>
    <w:rsid w:val="009947C7"/>
    <w:rsid w:val="00994813"/>
    <w:rsid w:val="009948DC"/>
    <w:rsid w:val="00994ABC"/>
    <w:rsid w:val="00994B28"/>
    <w:rsid w:val="00994BD5"/>
    <w:rsid w:val="00994C4E"/>
    <w:rsid w:val="00994D52"/>
    <w:rsid w:val="00994EAD"/>
    <w:rsid w:val="00994EF9"/>
    <w:rsid w:val="00994F6C"/>
    <w:rsid w:val="009950A0"/>
    <w:rsid w:val="009950A9"/>
    <w:rsid w:val="0099510B"/>
    <w:rsid w:val="00995111"/>
    <w:rsid w:val="00995169"/>
    <w:rsid w:val="009951A4"/>
    <w:rsid w:val="00995200"/>
    <w:rsid w:val="009952E7"/>
    <w:rsid w:val="00995414"/>
    <w:rsid w:val="009954F4"/>
    <w:rsid w:val="00995555"/>
    <w:rsid w:val="00995641"/>
    <w:rsid w:val="0099565A"/>
    <w:rsid w:val="0099586B"/>
    <w:rsid w:val="0099590F"/>
    <w:rsid w:val="00995914"/>
    <w:rsid w:val="009959AA"/>
    <w:rsid w:val="00995A0E"/>
    <w:rsid w:val="00995AA9"/>
    <w:rsid w:val="00995B04"/>
    <w:rsid w:val="00995BA8"/>
    <w:rsid w:val="00995BB0"/>
    <w:rsid w:val="00995D78"/>
    <w:rsid w:val="00995D89"/>
    <w:rsid w:val="00995E03"/>
    <w:rsid w:val="00995EA3"/>
    <w:rsid w:val="00995EFA"/>
    <w:rsid w:val="00995FBA"/>
    <w:rsid w:val="00995FC4"/>
    <w:rsid w:val="00995FCB"/>
    <w:rsid w:val="00996160"/>
    <w:rsid w:val="0099619A"/>
    <w:rsid w:val="00996211"/>
    <w:rsid w:val="00996260"/>
    <w:rsid w:val="00996561"/>
    <w:rsid w:val="0099664F"/>
    <w:rsid w:val="00996652"/>
    <w:rsid w:val="0099667E"/>
    <w:rsid w:val="00996680"/>
    <w:rsid w:val="00996703"/>
    <w:rsid w:val="00996729"/>
    <w:rsid w:val="00996859"/>
    <w:rsid w:val="00996872"/>
    <w:rsid w:val="00996941"/>
    <w:rsid w:val="00996984"/>
    <w:rsid w:val="009969C2"/>
    <w:rsid w:val="00996B81"/>
    <w:rsid w:val="00996D3C"/>
    <w:rsid w:val="00996FBE"/>
    <w:rsid w:val="009970C3"/>
    <w:rsid w:val="009970F0"/>
    <w:rsid w:val="00997117"/>
    <w:rsid w:val="0099723F"/>
    <w:rsid w:val="0099725A"/>
    <w:rsid w:val="0099727B"/>
    <w:rsid w:val="0099740F"/>
    <w:rsid w:val="00997434"/>
    <w:rsid w:val="00997477"/>
    <w:rsid w:val="009974BF"/>
    <w:rsid w:val="009974D8"/>
    <w:rsid w:val="009974E2"/>
    <w:rsid w:val="00997623"/>
    <w:rsid w:val="009977B9"/>
    <w:rsid w:val="00997828"/>
    <w:rsid w:val="00997850"/>
    <w:rsid w:val="0099786F"/>
    <w:rsid w:val="00997A3A"/>
    <w:rsid w:val="00997A5B"/>
    <w:rsid w:val="00997AC2"/>
    <w:rsid w:val="00997B12"/>
    <w:rsid w:val="00997C35"/>
    <w:rsid w:val="00997CB2"/>
    <w:rsid w:val="00997CBF"/>
    <w:rsid w:val="00997D8F"/>
    <w:rsid w:val="00997DA1"/>
    <w:rsid w:val="00997F84"/>
    <w:rsid w:val="009A0020"/>
    <w:rsid w:val="009A00A5"/>
    <w:rsid w:val="009A00B0"/>
    <w:rsid w:val="009A00CF"/>
    <w:rsid w:val="009A0142"/>
    <w:rsid w:val="009A039D"/>
    <w:rsid w:val="009A04D9"/>
    <w:rsid w:val="009A0601"/>
    <w:rsid w:val="009A06BC"/>
    <w:rsid w:val="009A06FE"/>
    <w:rsid w:val="009A082B"/>
    <w:rsid w:val="009A0891"/>
    <w:rsid w:val="009A0945"/>
    <w:rsid w:val="009A0982"/>
    <w:rsid w:val="009A09FB"/>
    <w:rsid w:val="009A0A45"/>
    <w:rsid w:val="009A0A6F"/>
    <w:rsid w:val="009A0BD3"/>
    <w:rsid w:val="009A0BF6"/>
    <w:rsid w:val="009A0CA3"/>
    <w:rsid w:val="009A0D11"/>
    <w:rsid w:val="009A0D25"/>
    <w:rsid w:val="009A0E59"/>
    <w:rsid w:val="009A0F78"/>
    <w:rsid w:val="009A1037"/>
    <w:rsid w:val="009A10DF"/>
    <w:rsid w:val="009A1125"/>
    <w:rsid w:val="009A1254"/>
    <w:rsid w:val="009A13EF"/>
    <w:rsid w:val="009A13F1"/>
    <w:rsid w:val="009A1437"/>
    <w:rsid w:val="009A14FB"/>
    <w:rsid w:val="009A154A"/>
    <w:rsid w:val="009A15D6"/>
    <w:rsid w:val="009A175D"/>
    <w:rsid w:val="009A17C5"/>
    <w:rsid w:val="009A17DA"/>
    <w:rsid w:val="009A1840"/>
    <w:rsid w:val="009A1920"/>
    <w:rsid w:val="009A1930"/>
    <w:rsid w:val="009A19A6"/>
    <w:rsid w:val="009A1C72"/>
    <w:rsid w:val="009A1C80"/>
    <w:rsid w:val="009A1CF6"/>
    <w:rsid w:val="009A1F0A"/>
    <w:rsid w:val="009A1F2B"/>
    <w:rsid w:val="009A1F3B"/>
    <w:rsid w:val="009A1F7B"/>
    <w:rsid w:val="009A21FE"/>
    <w:rsid w:val="009A234A"/>
    <w:rsid w:val="009A23FB"/>
    <w:rsid w:val="009A249C"/>
    <w:rsid w:val="009A25A8"/>
    <w:rsid w:val="009A25CD"/>
    <w:rsid w:val="009A27F8"/>
    <w:rsid w:val="009A29E6"/>
    <w:rsid w:val="009A2A10"/>
    <w:rsid w:val="009A2AE5"/>
    <w:rsid w:val="009A2B2E"/>
    <w:rsid w:val="009A2E0C"/>
    <w:rsid w:val="009A2E3C"/>
    <w:rsid w:val="009A2E82"/>
    <w:rsid w:val="009A2E99"/>
    <w:rsid w:val="009A2EFA"/>
    <w:rsid w:val="009A2F59"/>
    <w:rsid w:val="009A31EF"/>
    <w:rsid w:val="009A3285"/>
    <w:rsid w:val="009A3313"/>
    <w:rsid w:val="009A3635"/>
    <w:rsid w:val="009A37B6"/>
    <w:rsid w:val="009A3871"/>
    <w:rsid w:val="009A38A6"/>
    <w:rsid w:val="009A3A12"/>
    <w:rsid w:val="009A3A58"/>
    <w:rsid w:val="009A3A9A"/>
    <w:rsid w:val="009A3AE1"/>
    <w:rsid w:val="009A3B5F"/>
    <w:rsid w:val="009A3E01"/>
    <w:rsid w:val="009A3ED2"/>
    <w:rsid w:val="009A3EE2"/>
    <w:rsid w:val="009A3F9C"/>
    <w:rsid w:val="009A3FD5"/>
    <w:rsid w:val="009A4133"/>
    <w:rsid w:val="009A4345"/>
    <w:rsid w:val="009A4347"/>
    <w:rsid w:val="009A4351"/>
    <w:rsid w:val="009A4673"/>
    <w:rsid w:val="009A46C2"/>
    <w:rsid w:val="009A46DF"/>
    <w:rsid w:val="009A47E2"/>
    <w:rsid w:val="009A482E"/>
    <w:rsid w:val="009A4848"/>
    <w:rsid w:val="009A4875"/>
    <w:rsid w:val="009A4914"/>
    <w:rsid w:val="009A498D"/>
    <w:rsid w:val="009A4A52"/>
    <w:rsid w:val="009A4A58"/>
    <w:rsid w:val="009A4B4F"/>
    <w:rsid w:val="009A4C03"/>
    <w:rsid w:val="009A4CE9"/>
    <w:rsid w:val="009A4D69"/>
    <w:rsid w:val="009A4DC6"/>
    <w:rsid w:val="009A4DCC"/>
    <w:rsid w:val="009A4E22"/>
    <w:rsid w:val="009A4EB2"/>
    <w:rsid w:val="009A4F2D"/>
    <w:rsid w:val="009A4F8F"/>
    <w:rsid w:val="009A5075"/>
    <w:rsid w:val="009A5274"/>
    <w:rsid w:val="009A52CE"/>
    <w:rsid w:val="009A533F"/>
    <w:rsid w:val="009A5623"/>
    <w:rsid w:val="009A586C"/>
    <w:rsid w:val="009A5870"/>
    <w:rsid w:val="009A595D"/>
    <w:rsid w:val="009A5A64"/>
    <w:rsid w:val="009A5B19"/>
    <w:rsid w:val="009A5B8E"/>
    <w:rsid w:val="009A5C6E"/>
    <w:rsid w:val="009A5D0E"/>
    <w:rsid w:val="009A5ED0"/>
    <w:rsid w:val="009A5F62"/>
    <w:rsid w:val="009A60C7"/>
    <w:rsid w:val="009A6150"/>
    <w:rsid w:val="009A6171"/>
    <w:rsid w:val="009A6177"/>
    <w:rsid w:val="009A61F9"/>
    <w:rsid w:val="009A6297"/>
    <w:rsid w:val="009A62B3"/>
    <w:rsid w:val="009A62B6"/>
    <w:rsid w:val="009A660B"/>
    <w:rsid w:val="009A6669"/>
    <w:rsid w:val="009A6867"/>
    <w:rsid w:val="009A6932"/>
    <w:rsid w:val="009A696C"/>
    <w:rsid w:val="009A6AFB"/>
    <w:rsid w:val="009A6BDD"/>
    <w:rsid w:val="009A6D03"/>
    <w:rsid w:val="009A6D44"/>
    <w:rsid w:val="009A6D4C"/>
    <w:rsid w:val="009A6D95"/>
    <w:rsid w:val="009A6DCF"/>
    <w:rsid w:val="009A6F59"/>
    <w:rsid w:val="009A7059"/>
    <w:rsid w:val="009A70B7"/>
    <w:rsid w:val="009A7357"/>
    <w:rsid w:val="009A7613"/>
    <w:rsid w:val="009A7849"/>
    <w:rsid w:val="009A7886"/>
    <w:rsid w:val="009A7909"/>
    <w:rsid w:val="009A7AFC"/>
    <w:rsid w:val="009A7B02"/>
    <w:rsid w:val="009A7BCF"/>
    <w:rsid w:val="009A7D19"/>
    <w:rsid w:val="009A7D24"/>
    <w:rsid w:val="009A7E71"/>
    <w:rsid w:val="009A7E7D"/>
    <w:rsid w:val="009A7FA1"/>
    <w:rsid w:val="009B002B"/>
    <w:rsid w:val="009B0031"/>
    <w:rsid w:val="009B0074"/>
    <w:rsid w:val="009B00EC"/>
    <w:rsid w:val="009B01E8"/>
    <w:rsid w:val="009B021C"/>
    <w:rsid w:val="009B0324"/>
    <w:rsid w:val="009B0506"/>
    <w:rsid w:val="009B0587"/>
    <w:rsid w:val="009B05AC"/>
    <w:rsid w:val="009B05C3"/>
    <w:rsid w:val="009B076D"/>
    <w:rsid w:val="009B079D"/>
    <w:rsid w:val="009B094C"/>
    <w:rsid w:val="009B09C3"/>
    <w:rsid w:val="009B0BD8"/>
    <w:rsid w:val="009B0C53"/>
    <w:rsid w:val="009B0ECA"/>
    <w:rsid w:val="009B0F2C"/>
    <w:rsid w:val="009B0F44"/>
    <w:rsid w:val="009B0FEB"/>
    <w:rsid w:val="009B0FF0"/>
    <w:rsid w:val="009B1046"/>
    <w:rsid w:val="009B10DE"/>
    <w:rsid w:val="009B1238"/>
    <w:rsid w:val="009B15FD"/>
    <w:rsid w:val="009B166C"/>
    <w:rsid w:val="009B16D5"/>
    <w:rsid w:val="009B1789"/>
    <w:rsid w:val="009B17E2"/>
    <w:rsid w:val="009B1867"/>
    <w:rsid w:val="009B186A"/>
    <w:rsid w:val="009B1875"/>
    <w:rsid w:val="009B18FF"/>
    <w:rsid w:val="009B191F"/>
    <w:rsid w:val="009B19F8"/>
    <w:rsid w:val="009B1A63"/>
    <w:rsid w:val="009B1B0B"/>
    <w:rsid w:val="009B1C42"/>
    <w:rsid w:val="009B1DD8"/>
    <w:rsid w:val="009B1E00"/>
    <w:rsid w:val="009B1E4F"/>
    <w:rsid w:val="009B1F69"/>
    <w:rsid w:val="009B1F99"/>
    <w:rsid w:val="009B1FC7"/>
    <w:rsid w:val="009B1FF8"/>
    <w:rsid w:val="009B2023"/>
    <w:rsid w:val="009B20C9"/>
    <w:rsid w:val="009B20D0"/>
    <w:rsid w:val="009B2251"/>
    <w:rsid w:val="009B2314"/>
    <w:rsid w:val="009B23D6"/>
    <w:rsid w:val="009B24AF"/>
    <w:rsid w:val="009B2616"/>
    <w:rsid w:val="009B265B"/>
    <w:rsid w:val="009B2690"/>
    <w:rsid w:val="009B277C"/>
    <w:rsid w:val="009B27EE"/>
    <w:rsid w:val="009B283B"/>
    <w:rsid w:val="009B28B1"/>
    <w:rsid w:val="009B29B3"/>
    <w:rsid w:val="009B2A40"/>
    <w:rsid w:val="009B2B38"/>
    <w:rsid w:val="009B2CDC"/>
    <w:rsid w:val="009B2DA9"/>
    <w:rsid w:val="009B2DB7"/>
    <w:rsid w:val="009B2E3D"/>
    <w:rsid w:val="009B3037"/>
    <w:rsid w:val="009B3180"/>
    <w:rsid w:val="009B32DA"/>
    <w:rsid w:val="009B3364"/>
    <w:rsid w:val="009B3744"/>
    <w:rsid w:val="009B37BD"/>
    <w:rsid w:val="009B3811"/>
    <w:rsid w:val="009B38A5"/>
    <w:rsid w:val="009B3913"/>
    <w:rsid w:val="009B3970"/>
    <w:rsid w:val="009B39C6"/>
    <w:rsid w:val="009B39D6"/>
    <w:rsid w:val="009B39EA"/>
    <w:rsid w:val="009B3A0B"/>
    <w:rsid w:val="009B3A41"/>
    <w:rsid w:val="009B3B7F"/>
    <w:rsid w:val="009B3DFE"/>
    <w:rsid w:val="009B3F48"/>
    <w:rsid w:val="009B3F87"/>
    <w:rsid w:val="009B4018"/>
    <w:rsid w:val="009B4073"/>
    <w:rsid w:val="009B40B7"/>
    <w:rsid w:val="009B4261"/>
    <w:rsid w:val="009B42E1"/>
    <w:rsid w:val="009B435D"/>
    <w:rsid w:val="009B43EE"/>
    <w:rsid w:val="009B4413"/>
    <w:rsid w:val="009B4539"/>
    <w:rsid w:val="009B4560"/>
    <w:rsid w:val="009B4647"/>
    <w:rsid w:val="009B46B4"/>
    <w:rsid w:val="009B476F"/>
    <w:rsid w:val="009B4810"/>
    <w:rsid w:val="009B48A0"/>
    <w:rsid w:val="009B4A6C"/>
    <w:rsid w:val="009B4DC0"/>
    <w:rsid w:val="009B4EC3"/>
    <w:rsid w:val="009B4EF6"/>
    <w:rsid w:val="009B4F5D"/>
    <w:rsid w:val="009B4F80"/>
    <w:rsid w:val="009B4FD0"/>
    <w:rsid w:val="009B509E"/>
    <w:rsid w:val="009B5107"/>
    <w:rsid w:val="009B5138"/>
    <w:rsid w:val="009B5307"/>
    <w:rsid w:val="009B54E8"/>
    <w:rsid w:val="009B5590"/>
    <w:rsid w:val="009B565F"/>
    <w:rsid w:val="009B56DD"/>
    <w:rsid w:val="009B56EC"/>
    <w:rsid w:val="009B571C"/>
    <w:rsid w:val="009B57C1"/>
    <w:rsid w:val="009B5851"/>
    <w:rsid w:val="009B5881"/>
    <w:rsid w:val="009B5985"/>
    <w:rsid w:val="009B598B"/>
    <w:rsid w:val="009B5AD8"/>
    <w:rsid w:val="009B5B2F"/>
    <w:rsid w:val="009B5D73"/>
    <w:rsid w:val="009B5DD4"/>
    <w:rsid w:val="009B5ED1"/>
    <w:rsid w:val="009B5F95"/>
    <w:rsid w:val="009B618F"/>
    <w:rsid w:val="009B6257"/>
    <w:rsid w:val="009B6520"/>
    <w:rsid w:val="009B6541"/>
    <w:rsid w:val="009B654C"/>
    <w:rsid w:val="009B658E"/>
    <w:rsid w:val="009B6620"/>
    <w:rsid w:val="009B666F"/>
    <w:rsid w:val="009B6715"/>
    <w:rsid w:val="009B6880"/>
    <w:rsid w:val="009B68A4"/>
    <w:rsid w:val="009B6956"/>
    <w:rsid w:val="009B6B0B"/>
    <w:rsid w:val="009B6DB0"/>
    <w:rsid w:val="009B6E36"/>
    <w:rsid w:val="009B6E93"/>
    <w:rsid w:val="009B7087"/>
    <w:rsid w:val="009B7112"/>
    <w:rsid w:val="009B71A2"/>
    <w:rsid w:val="009B71B3"/>
    <w:rsid w:val="009B71D0"/>
    <w:rsid w:val="009B7257"/>
    <w:rsid w:val="009B7379"/>
    <w:rsid w:val="009B7399"/>
    <w:rsid w:val="009B7424"/>
    <w:rsid w:val="009B75B9"/>
    <w:rsid w:val="009B7605"/>
    <w:rsid w:val="009B790A"/>
    <w:rsid w:val="009B798D"/>
    <w:rsid w:val="009B7A52"/>
    <w:rsid w:val="009B7A84"/>
    <w:rsid w:val="009B7AA5"/>
    <w:rsid w:val="009B7ADE"/>
    <w:rsid w:val="009B7C8D"/>
    <w:rsid w:val="009B7D69"/>
    <w:rsid w:val="009B7EB6"/>
    <w:rsid w:val="009B7ED2"/>
    <w:rsid w:val="009B7EF9"/>
    <w:rsid w:val="009C00B5"/>
    <w:rsid w:val="009C00C1"/>
    <w:rsid w:val="009C0205"/>
    <w:rsid w:val="009C0225"/>
    <w:rsid w:val="009C0235"/>
    <w:rsid w:val="009C0266"/>
    <w:rsid w:val="009C0306"/>
    <w:rsid w:val="009C0414"/>
    <w:rsid w:val="009C04CA"/>
    <w:rsid w:val="009C07C6"/>
    <w:rsid w:val="009C07E1"/>
    <w:rsid w:val="009C0859"/>
    <w:rsid w:val="009C08B0"/>
    <w:rsid w:val="009C0922"/>
    <w:rsid w:val="009C0977"/>
    <w:rsid w:val="009C0A0B"/>
    <w:rsid w:val="009C0AAC"/>
    <w:rsid w:val="009C0B8B"/>
    <w:rsid w:val="009C0B8E"/>
    <w:rsid w:val="009C0BCD"/>
    <w:rsid w:val="009C0BF2"/>
    <w:rsid w:val="009C0C01"/>
    <w:rsid w:val="009C0C46"/>
    <w:rsid w:val="009C0D2D"/>
    <w:rsid w:val="009C0DA7"/>
    <w:rsid w:val="009C0E6A"/>
    <w:rsid w:val="009C0EFA"/>
    <w:rsid w:val="009C100B"/>
    <w:rsid w:val="009C1168"/>
    <w:rsid w:val="009C11A3"/>
    <w:rsid w:val="009C11B4"/>
    <w:rsid w:val="009C1204"/>
    <w:rsid w:val="009C1241"/>
    <w:rsid w:val="009C12D1"/>
    <w:rsid w:val="009C13F0"/>
    <w:rsid w:val="009C1582"/>
    <w:rsid w:val="009C1734"/>
    <w:rsid w:val="009C1808"/>
    <w:rsid w:val="009C184A"/>
    <w:rsid w:val="009C184E"/>
    <w:rsid w:val="009C1A0C"/>
    <w:rsid w:val="009C1C64"/>
    <w:rsid w:val="009C1CE5"/>
    <w:rsid w:val="009C1D35"/>
    <w:rsid w:val="009C1E8B"/>
    <w:rsid w:val="009C1EB0"/>
    <w:rsid w:val="009C1F4C"/>
    <w:rsid w:val="009C1F65"/>
    <w:rsid w:val="009C1F7F"/>
    <w:rsid w:val="009C1FE5"/>
    <w:rsid w:val="009C2064"/>
    <w:rsid w:val="009C2102"/>
    <w:rsid w:val="009C217E"/>
    <w:rsid w:val="009C219A"/>
    <w:rsid w:val="009C229A"/>
    <w:rsid w:val="009C22FA"/>
    <w:rsid w:val="009C2433"/>
    <w:rsid w:val="009C249F"/>
    <w:rsid w:val="009C2504"/>
    <w:rsid w:val="009C25EE"/>
    <w:rsid w:val="009C2613"/>
    <w:rsid w:val="009C2777"/>
    <w:rsid w:val="009C279D"/>
    <w:rsid w:val="009C2974"/>
    <w:rsid w:val="009C2A52"/>
    <w:rsid w:val="009C2A81"/>
    <w:rsid w:val="009C2A94"/>
    <w:rsid w:val="009C2B1A"/>
    <w:rsid w:val="009C2B97"/>
    <w:rsid w:val="009C2C6A"/>
    <w:rsid w:val="009C2DDD"/>
    <w:rsid w:val="009C2F25"/>
    <w:rsid w:val="009C3197"/>
    <w:rsid w:val="009C3232"/>
    <w:rsid w:val="009C328E"/>
    <w:rsid w:val="009C33A0"/>
    <w:rsid w:val="009C3465"/>
    <w:rsid w:val="009C34F5"/>
    <w:rsid w:val="009C3532"/>
    <w:rsid w:val="009C361D"/>
    <w:rsid w:val="009C3683"/>
    <w:rsid w:val="009C3705"/>
    <w:rsid w:val="009C392C"/>
    <w:rsid w:val="009C3B68"/>
    <w:rsid w:val="009C3C11"/>
    <w:rsid w:val="009C3D91"/>
    <w:rsid w:val="009C3F2C"/>
    <w:rsid w:val="009C4160"/>
    <w:rsid w:val="009C41EF"/>
    <w:rsid w:val="009C4271"/>
    <w:rsid w:val="009C42EF"/>
    <w:rsid w:val="009C4418"/>
    <w:rsid w:val="009C452F"/>
    <w:rsid w:val="009C4615"/>
    <w:rsid w:val="009C46C9"/>
    <w:rsid w:val="009C473B"/>
    <w:rsid w:val="009C4752"/>
    <w:rsid w:val="009C4771"/>
    <w:rsid w:val="009C47CB"/>
    <w:rsid w:val="009C4846"/>
    <w:rsid w:val="009C4AD1"/>
    <w:rsid w:val="009C4B2C"/>
    <w:rsid w:val="009C4B88"/>
    <w:rsid w:val="009C4BCB"/>
    <w:rsid w:val="009C4D3D"/>
    <w:rsid w:val="009C4D98"/>
    <w:rsid w:val="009C4E21"/>
    <w:rsid w:val="009C4FC1"/>
    <w:rsid w:val="009C4FC6"/>
    <w:rsid w:val="009C5036"/>
    <w:rsid w:val="009C5171"/>
    <w:rsid w:val="009C51B8"/>
    <w:rsid w:val="009C5217"/>
    <w:rsid w:val="009C524A"/>
    <w:rsid w:val="009C5273"/>
    <w:rsid w:val="009C52DA"/>
    <w:rsid w:val="009C5326"/>
    <w:rsid w:val="009C5802"/>
    <w:rsid w:val="009C5821"/>
    <w:rsid w:val="009C588D"/>
    <w:rsid w:val="009C58D4"/>
    <w:rsid w:val="009C58D9"/>
    <w:rsid w:val="009C593B"/>
    <w:rsid w:val="009C59E0"/>
    <w:rsid w:val="009C5B0C"/>
    <w:rsid w:val="009C5B77"/>
    <w:rsid w:val="009C5CAA"/>
    <w:rsid w:val="009C5DC6"/>
    <w:rsid w:val="009C5F37"/>
    <w:rsid w:val="009C60DE"/>
    <w:rsid w:val="009C6179"/>
    <w:rsid w:val="009C62DE"/>
    <w:rsid w:val="009C6301"/>
    <w:rsid w:val="009C64BC"/>
    <w:rsid w:val="009C6587"/>
    <w:rsid w:val="009C65F7"/>
    <w:rsid w:val="009C66DE"/>
    <w:rsid w:val="009C68FB"/>
    <w:rsid w:val="009C68FF"/>
    <w:rsid w:val="009C69A1"/>
    <w:rsid w:val="009C6A01"/>
    <w:rsid w:val="009C6A5D"/>
    <w:rsid w:val="009C6B3F"/>
    <w:rsid w:val="009C6C72"/>
    <w:rsid w:val="009C6D6D"/>
    <w:rsid w:val="009C6DB6"/>
    <w:rsid w:val="009C6DDD"/>
    <w:rsid w:val="009C6E8B"/>
    <w:rsid w:val="009C7069"/>
    <w:rsid w:val="009C709D"/>
    <w:rsid w:val="009C70A5"/>
    <w:rsid w:val="009C70FB"/>
    <w:rsid w:val="009C7163"/>
    <w:rsid w:val="009C72AD"/>
    <w:rsid w:val="009C72EB"/>
    <w:rsid w:val="009C73C3"/>
    <w:rsid w:val="009C73D5"/>
    <w:rsid w:val="009C73EC"/>
    <w:rsid w:val="009C7479"/>
    <w:rsid w:val="009C74EF"/>
    <w:rsid w:val="009C763A"/>
    <w:rsid w:val="009C76DA"/>
    <w:rsid w:val="009C770F"/>
    <w:rsid w:val="009C77DA"/>
    <w:rsid w:val="009C780E"/>
    <w:rsid w:val="009C7C0B"/>
    <w:rsid w:val="009C7E14"/>
    <w:rsid w:val="009D000D"/>
    <w:rsid w:val="009D0065"/>
    <w:rsid w:val="009D0070"/>
    <w:rsid w:val="009D015D"/>
    <w:rsid w:val="009D039E"/>
    <w:rsid w:val="009D03D5"/>
    <w:rsid w:val="009D057F"/>
    <w:rsid w:val="009D059E"/>
    <w:rsid w:val="009D078E"/>
    <w:rsid w:val="009D078F"/>
    <w:rsid w:val="009D089E"/>
    <w:rsid w:val="009D08D5"/>
    <w:rsid w:val="009D0925"/>
    <w:rsid w:val="009D0A92"/>
    <w:rsid w:val="009D0AAF"/>
    <w:rsid w:val="009D0B26"/>
    <w:rsid w:val="009D0BFA"/>
    <w:rsid w:val="009D0D2F"/>
    <w:rsid w:val="009D0DD7"/>
    <w:rsid w:val="009D0E9F"/>
    <w:rsid w:val="009D0ECB"/>
    <w:rsid w:val="009D0F8E"/>
    <w:rsid w:val="009D114F"/>
    <w:rsid w:val="009D1198"/>
    <w:rsid w:val="009D11CB"/>
    <w:rsid w:val="009D1290"/>
    <w:rsid w:val="009D12AE"/>
    <w:rsid w:val="009D1362"/>
    <w:rsid w:val="009D17DF"/>
    <w:rsid w:val="009D17EA"/>
    <w:rsid w:val="009D1898"/>
    <w:rsid w:val="009D18EF"/>
    <w:rsid w:val="009D19B4"/>
    <w:rsid w:val="009D1A31"/>
    <w:rsid w:val="009D1AAB"/>
    <w:rsid w:val="009D1AF7"/>
    <w:rsid w:val="009D1C18"/>
    <w:rsid w:val="009D1C3D"/>
    <w:rsid w:val="009D1C89"/>
    <w:rsid w:val="009D1D74"/>
    <w:rsid w:val="009D1E66"/>
    <w:rsid w:val="009D1ECC"/>
    <w:rsid w:val="009D201C"/>
    <w:rsid w:val="009D2024"/>
    <w:rsid w:val="009D214E"/>
    <w:rsid w:val="009D220B"/>
    <w:rsid w:val="009D229E"/>
    <w:rsid w:val="009D22BC"/>
    <w:rsid w:val="009D2552"/>
    <w:rsid w:val="009D2557"/>
    <w:rsid w:val="009D2648"/>
    <w:rsid w:val="009D272B"/>
    <w:rsid w:val="009D27FB"/>
    <w:rsid w:val="009D2A59"/>
    <w:rsid w:val="009D2C71"/>
    <w:rsid w:val="009D2CAB"/>
    <w:rsid w:val="009D2CB6"/>
    <w:rsid w:val="009D3016"/>
    <w:rsid w:val="009D30F4"/>
    <w:rsid w:val="009D3205"/>
    <w:rsid w:val="009D3337"/>
    <w:rsid w:val="009D3397"/>
    <w:rsid w:val="009D33C8"/>
    <w:rsid w:val="009D3498"/>
    <w:rsid w:val="009D3533"/>
    <w:rsid w:val="009D362C"/>
    <w:rsid w:val="009D3674"/>
    <w:rsid w:val="009D37B5"/>
    <w:rsid w:val="009D386A"/>
    <w:rsid w:val="009D3888"/>
    <w:rsid w:val="009D388E"/>
    <w:rsid w:val="009D38BF"/>
    <w:rsid w:val="009D3A25"/>
    <w:rsid w:val="009D3A65"/>
    <w:rsid w:val="009D3AF6"/>
    <w:rsid w:val="009D3AF7"/>
    <w:rsid w:val="009D3B4A"/>
    <w:rsid w:val="009D3BA1"/>
    <w:rsid w:val="009D3BF1"/>
    <w:rsid w:val="009D3CB4"/>
    <w:rsid w:val="009D3DB8"/>
    <w:rsid w:val="009D3E7E"/>
    <w:rsid w:val="009D3E99"/>
    <w:rsid w:val="009D3EC4"/>
    <w:rsid w:val="009D4180"/>
    <w:rsid w:val="009D4272"/>
    <w:rsid w:val="009D4296"/>
    <w:rsid w:val="009D431D"/>
    <w:rsid w:val="009D4401"/>
    <w:rsid w:val="009D4454"/>
    <w:rsid w:val="009D451C"/>
    <w:rsid w:val="009D4670"/>
    <w:rsid w:val="009D46AB"/>
    <w:rsid w:val="009D4817"/>
    <w:rsid w:val="009D49B9"/>
    <w:rsid w:val="009D4A4C"/>
    <w:rsid w:val="009D4AC0"/>
    <w:rsid w:val="009D4C5B"/>
    <w:rsid w:val="009D5095"/>
    <w:rsid w:val="009D5106"/>
    <w:rsid w:val="009D5111"/>
    <w:rsid w:val="009D527D"/>
    <w:rsid w:val="009D52D2"/>
    <w:rsid w:val="009D545A"/>
    <w:rsid w:val="009D54B1"/>
    <w:rsid w:val="009D5676"/>
    <w:rsid w:val="009D57F2"/>
    <w:rsid w:val="009D585B"/>
    <w:rsid w:val="009D590A"/>
    <w:rsid w:val="009D59C4"/>
    <w:rsid w:val="009D5A89"/>
    <w:rsid w:val="009D5B84"/>
    <w:rsid w:val="009D5BA1"/>
    <w:rsid w:val="009D5BF6"/>
    <w:rsid w:val="009D5C5E"/>
    <w:rsid w:val="009D5D27"/>
    <w:rsid w:val="009D5D4C"/>
    <w:rsid w:val="009D5FE9"/>
    <w:rsid w:val="009D6051"/>
    <w:rsid w:val="009D6295"/>
    <w:rsid w:val="009D63F0"/>
    <w:rsid w:val="009D643D"/>
    <w:rsid w:val="009D64DC"/>
    <w:rsid w:val="009D660B"/>
    <w:rsid w:val="009D694D"/>
    <w:rsid w:val="009D6A9D"/>
    <w:rsid w:val="009D6B9B"/>
    <w:rsid w:val="009D6C83"/>
    <w:rsid w:val="009D6C89"/>
    <w:rsid w:val="009D6CE8"/>
    <w:rsid w:val="009D6E20"/>
    <w:rsid w:val="009D6F04"/>
    <w:rsid w:val="009D6FF9"/>
    <w:rsid w:val="009D718B"/>
    <w:rsid w:val="009D71DA"/>
    <w:rsid w:val="009D71DD"/>
    <w:rsid w:val="009D71F0"/>
    <w:rsid w:val="009D72EA"/>
    <w:rsid w:val="009D737C"/>
    <w:rsid w:val="009D7507"/>
    <w:rsid w:val="009D7717"/>
    <w:rsid w:val="009D7835"/>
    <w:rsid w:val="009D7876"/>
    <w:rsid w:val="009D78AB"/>
    <w:rsid w:val="009D7A79"/>
    <w:rsid w:val="009D7BAF"/>
    <w:rsid w:val="009D7CCB"/>
    <w:rsid w:val="009D7CDF"/>
    <w:rsid w:val="009D7E0A"/>
    <w:rsid w:val="009D7E2B"/>
    <w:rsid w:val="009D7F04"/>
    <w:rsid w:val="009D7F45"/>
    <w:rsid w:val="009D7F50"/>
    <w:rsid w:val="009E00B3"/>
    <w:rsid w:val="009E0128"/>
    <w:rsid w:val="009E01D3"/>
    <w:rsid w:val="009E0224"/>
    <w:rsid w:val="009E0324"/>
    <w:rsid w:val="009E03B2"/>
    <w:rsid w:val="009E03F5"/>
    <w:rsid w:val="009E0533"/>
    <w:rsid w:val="009E0753"/>
    <w:rsid w:val="009E078D"/>
    <w:rsid w:val="009E07B9"/>
    <w:rsid w:val="009E07ED"/>
    <w:rsid w:val="009E0824"/>
    <w:rsid w:val="009E0952"/>
    <w:rsid w:val="009E09AD"/>
    <w:rsid w:val="009E0A24"/>
    <w:rsid w:val="009E0A4E"/>
    <w:rsid w:val="009E0A91"/>
    <w:rsid w:val="009E0A9C"/>
    <w:rsid w:val="009E0ACD"/>
    <w:rsid w:val="009E0AEF"/>
    <w:rsid w:val="009E0C1E"/>
    <w:rsid w:val="009E0CC4"/>
    <w:rsid w:val="009E0CF4"/>
    <w:rsid w:val="009E0D13"/>
    <w:rsid w:val="009E0D30"/>
    <w:rsid w:val="009E0E6D"/>
    <w:rsid w:val="009E0F49"/>
    <w:rsid w:val="009E1060"/>
    <w:rsid w:val="009E10A2"/>
    <w:rsid w:val="009E130B"/>
    <w:rsid w:val="009E135D"/>
    <w:rsid w:val="009E1620"/>
    <w:rsid w:val="009E163E"/>
    <w:rsid w:val="009E166D"/>
    <w:rsid w:val="009E175C"/>
    <w:rsid w:val="009E19BF"/>
    <w:rsid w:val="009E1D65"/>
    <w:rsid w:val="009E1F71"/>
    <w:rsid w:val="009E1FEF"/>
    <w:rsid w:val="009E20FE"/>
    <w:rsid w:val="009E2246"/>
    <w:rsid w:val="009E22D6"/>
    <w:rsid w:val="009E22E3"/>
    <w:rsid w:val="009E2345"/>
    <w:rsid w:val="009E23AE"/>
    <w:rsid w:val="009E24F5"/>
    <w:rsid w:val="009E2536"/>
    <w:rsid w:val="009E25B3"/>
    <w:rsid w:val="009E2802"/>
    <w:rsid w:val="009E2829"/>
    <w:rsid w:val="009E28BD"/>
    <w:rsid w:val="009E28F3"/>
    <w:rsid w:val="009E2B49"/>
    <w:rsid w:val="009E2B7A"/>
    <w:rsid w:val="009E2BF3"/>
    <w:rsid w:val="009E2C17"/>
    <w:rsid w:val="009E2CC5"/>
    <w:rsid w:val="009E2D18"/>
    <w:rsid w:val="009E3010"/>
    <w:rsid w:val="009E3015"/>
    <w:rsid w:val="009E3055"/>
    <w:rsid w:val="009E309C"/>
    <w:rsid w:val="009E31E4"/>
    <w:rsid w:val="009E321A"/>
    <w:rsid w:val="009E3246"/>
    <w:rsid w:val="009E33B2"/>
    <w:rsid w:val="009E340D"/>
    <w:rsid w:val="009E3443"/>
    <w:rsid w:val="009E349E"/>
    <w:rsid w:val="009E34A7"/>
    <w:rsid w:val="009E3504"/>
    <w:rsid w:val="009E3685"/>
    <w:rsid w:val="009E368A"/>
    <w:rsid w:val="009E37B3"/>
    <w:rsid w:val="009E37C0"/>
    <w:rsid w:val="009E380A"/>
    <w:rsid w:val="009E3831"/>
    <w:rsid w:val="009E39B8"/>
    <w:rsid w:val="009E3A49"/>
    <w:rsid w:val="009E3BDD"/>
    <w:rsid w:val="009E3BEC"/>
    <w:rsid w:val="009E3C43"/>
    <w:rsid w:val="009E3ECB"/>
    <w:rsid w:val="009E3FA8"/>
    <w:rsid w:val="009E3FC1"/>
    <w:rsid w:val="009E4031"/>
    <w:rsid w:val="009E4048"/>
    <w:rsid w:val="009E414A"/>
    <w:rsid w:val="009E4164"/>
    <w:rsid w:val="009E41BB"/>
    <w:rsid w:val="009E4297"/>
    <w:rsid w:val="009E4322"/>
    <w:rsid w:val="009E438D"/>
    <w:rsid w:val="009E439F"/>
    <w:rsid w:val="009E44B4"/>
    <w:rsid w:val="009E44E1"/>
    <w:rsid w:val="009E44EA"/>
    <w:rsid w:val="009E4524"/>
    <w:rsid w:val="009E462A"/>
    <w:rsid w:val="009E46D3"/>
    <w:rsid w:val="009E4826"/>
    <w:rsid w:val="009E48A1"/>
    <w:rsid w:val="009E4B44"/>
    <w:rsid w:val="009E4BE5"/>
    <w:rsid w:val="009E4E56"/>
    <w:rsid w:val="009E4E5E"/>
    <w:rsid w:val="009E4EE6"/>
    <w:rsid w:val="009E4EFE"/>
    <w:rsid w:val="009E4F02"/>
    <w:rsid w:val="009E4F92"/>
    <w:rsid w:val="009E503A"/>
    <w:rsid w:val="009E5046"/>
    <w:rsid w:val="009E5128"/>
    <w:rsid w:val="009E5243"/>
    <w:rsid w:val="009E526C"/>
    <w:rsid w:val="009E52DA"/>
    <w:rsid w:val="009E53F3"/>
    <w:rsid w:val="009E53F4"/>
    <w:rsid w:val="009E54C4"/>
    <w:rsid w:val="009E54C7"/>
    <w:rsid w:val="009E555F"/>
    <w:rsid w:val="009E567E"/>
    <w:rsid w:val="009E5947"/>
    <w:rsid w:val="009E5964"/>
    <w:rsid w:val="009E5A13"/>
    <w:rsid w:val="009E5BD4"/>
    <w:rsid w:val="009E5CBE"/>
    <w:rsid w:val="009E5D02"/>
    <w:rsid w:val="009E5E1D"/>
    <w:rsid w:val="009E5E5C"/>
    <w:rsid w:val="009E5F4C"/>
    <w:rsid w:val="009E6054"/>
    <w:rsid w:val="009E60CC"/>
    <w:rsid w:val="009E622B"/>
    <w:rsid w:val="009E62C9"/>
    <w:rsid w:val="009E63FE"/>
    <w:rsid w:val="009E64CD"/>
    <w:rsid w:val="009E6541"/>
    <w:rsid w:val="009E659A"/>
    <w:rsid w:val="009E67D4"/>
    <w:rsid w:val="009E67D5"/>
    <w:rsid w:val="009E6813"/>
    <w:rsid w:val="009E6846"/>
    <w:rsid w:val="009E6948"/>
    <w:rsid w:val="009E694C"/>
    <w:rsid w:val="009E6A4B"/>
    <w:rsid w:val="009E6B30"/>
    <w:rsid w:val="009E6FD5"/>
    <w:rsid w:val="009E700C"/>
    <w:rsid w:val="009E7137"/>
    <w:rsid w:val="009E717A"/>
    <w:rsid w:val="009E71FA"/>
    <w:rsid w:val="009E722B"/>
    <w:rsid w:val="009E73B1"/>
    <w:rsid w:val="009E73C0"/>
    <w:rsid w:val="009E757C"/>
    <w:rsid w:val="009E7641"/>
    <w:rsid w:val="009E7648"/>
    <w:rsid w:val="009E76C9"/>
    <w:rsid w:val="009E7776"/>
    <w:rsid w:val="009E7782"/>
    <w:rsid w:val="009E78CB"/>
    <w:rsid w:val="009E78CC"/>
    <w:rsid w:val="009E79CA"/>
    <w:rsid w:val="009E7A78"/>
    <w:rsid w:val="009E7ABD"/>
    <w:rsid w:val="009E7B71"/>
    <w:rsid w:val="009E7C1D"/>
    <w:rsid w:val="009E7CB9"/>
    <w:rsid w:val="009E7E6B"/>
    <w:rsid w:val="009E7EB4"/>
    <w:rsid w:val="009E7F9A"/>
    <w:rsid w:val="009E7FAD"/>
    <w:rsid w:val="009E7FE4"/>
    <w:rsid w:val="009F0087"/>
    <w:rsid w:val="009F00A3"/>
    <w:rsid w:val="009F024A"/>
    <w:rsid w:val="009F03B4"/>
    <w:rsid w:val="009F042D"/>
    <w:rsid w:val="009F0496"/>
    <w:rsid w:val="009F04E4"/>
    <w:rsid w:val="009F0591"/>
    <w:rsid w:val="009F08AF"/>
    <w:rsid w:val="009F095E"/>
    <w:rsid w:val="009F09AF"/>
    <w:rsid w:val="009F0A9A"/>
    <w:rsid w:val="009F0B36"/>
    <w:rsid w:val="009F0D4F"/>
    <w:rsid w:val="009F0E85"/>
    <w:rsid w:val="009F0F15"/>
    <w:rsid w:val="009F0F66"/>
    <w:rsid w:val="009F0FC0"/>
    <w:rsid w:val="009F102C"/>
    <w:rsid w:val="009F1088"/>
    <w:rsid w:val="009F10A7"/>
    <w:rsid w:val="009F1200"/>
    <w:rsid w:val="009F1316"/>
    <w:rsid w:val="009F13D3"/>
    <w:rsid w:val="009F13E7"/>
    <w:rsid w:val="009F1440"/>
    <w:rsid w:val="009F147F"/>
    <w:rsid w:val="009F14FA"/>
    <w:rsid w:val="009F1661"/>
    <w:rsid w:val="009F16B8"/>
    <w:rsid w:val="009F1753"/>
    <w:rsid w:val="009F1900"/>
    <w:rsid w:val="009F1A17"/>
    <w:rsid w:val="009F1A9D"/>
    <w:rsid w:val="009F1B69"/>
    <w:rsid w:val="009F1BEC"/>
    <w:rsid w:val="009F1DAE"/>
    <w:rsid w:val="009F1E45"/>
    <w:rsid w:val="009F1E89"/>
    <w:rsid w:val="009F1F32"/>
    <w:rsid w:val="009F1F5B"/>
    <w:rsid w:val="009F1F9C"/>
    <w:rsid w:val="009F1FA8"/>
    <w:rsid w:val="009F239A"/>
    <w:rsid w:val="009F23DA"/>
    <w:rsid w:val="009F24DE"/>
    <w:rsid w:val="009F2514"/>
    <w:rsid w:val="009F2516"/>
    <w:rsid w:val="009F2774"/>
    <w:rsid w:val="009F2832"/>
    <w:rsid w:val="009F28D6"/>
    <w:rsid w:val="009F2A64"/>
    <w:rsid w:val="009F2A92"/>
    <w:rsid w:val="009F2ABA"/>
    <w:rsid w:val="009F2BD0"/>
    <w:rsid w:val="009F2C58"/>
    <w:rsid w:val="009F2CC0"/>
    <w:rsid w:val="009F2E7D"/>
    <w:rsid w:val="009F2EBB"/>
    <w:rsid w:val="009F2F46"/>
    <w:rsid w:val="009F2F82"/>
    <w:rsid w:val="009F2F9E"/>
    <w:rsid w:val="009F2FDA"/>
    <w:rsid w:val="009F2FE3"/>
    <w:rsid w:val="009F3133"/>
    <w:rsid w:val="009F3153"/>
    <w:rsid w:val="009F3210"/>
    <w:rsid w:val="009F3346"/>
    <w:rsid w:val="009F346F"/>
    <w:rsid w:val="009F34E1"/>
    <w:rsid w:val="009F3626"/>
    <w:rsid w:val="009F3639"/>
    <w:rsid w:val="009F3818"/>
    <w:rsid w:val="009F3871"/>
    <w:rsid w:val="009F3897"/>
    <w:rsid w:val="009F38EB"/>
    <w:rsid w:val="009F395A"/>
    <w:rsid w:val="009F396C"/>
    <w:rsid w:val="009F3980"/>
    <w:rsid w:val="009F3A36"/>
    <w:rsid w:val="009F3A86"/>
    <w:rsid w:val="009F3C0E"/>
    <w:rsid w:val="009F3EA6"/>
    <w:rsid w:val="009F4008"/>
    <w:rsid w:val="009F4041"/>
    <w:rsid w:val="009F404A"/>
    <w:rsid w:val="009F4163"/>
    <w:rsid w:val="009F41C5"/>
    <w:rsid w:val="009F45E0"/>
    <w:rsid w:val="009F4998"/>
    <w:rsid w:val="009F4A98"/>
    <w:rsid w:val="009F4AD6"/>
    <w:rsid w:val="009F4B9B"/>
    <w:rsid w:val="009F4BA8"/>
    <w:rsid w:val="009F4C80"/>
    <w:rsid w:val="009F4D57"/>
    <w:rsid w:val="009F4D5A"/>
    <w:rsid w:val="009F4E3A"/>
    <w:rsid w:val="009F4F0C"/>
    <w:rsid w:val="009F514C"/>
    <w:rsid w:val="009F529F"/>
    <w:rsid w:val="009F5374"/>
    <w:rsid w:val="009F53F4"/>
    <w:rsid w:val="009F5769"/>
    <w:rsid w:val="009F57B1"/>
    <w:rsid w:val="009F583B"/>
    <w:rsid w:val="009F5A8B"/>
    <w:rsid w:val="009F5BD2"/>
    <w:rsid w:val="009F5EB4"/>
    <w:rsid w:val="009F60E9"/>
    <w:rsid w:val="009F61E3"/>
    <w:rsid w:val="009F61F4"/>
    <w:rsid w:val="009F6259"/>
    <w:rsid w:val="009F6283"/>
    <w:rsid w:val="009F6393"/>
    <w:rsid w:val="009F6480"/>
    <w:rsid w:val="009F649B"/>
    <w:rsid w:val="009F6559"/>
    <w:rsid w:val="009F669B"/>
    <w:rsid w:val="009F669F"/>
    <w:rsid w:val="009F6709"/>
    <w:rsid w:val="009F675E"/>
    <w:rsid w:val="009F6864"/>
    <w:rsid w:val="009F6898"/>
    <w:rsid w:val="009F68CD"/>
    <w:rsid w:val="009F6A04"/>
    <w:rsid w:val="009F6BAC"/>
    <w:rsid w:val="009F6D07"/>
    <w:rsid w:val="009F6D12"/>
    <w:rsid w:val="009F6D37"/>
    <w:rsid w:val="009F6D9B"/>
    <w:rsid w:val="009F6DBF"/>
    <w:rsid w:val="009F6E3E"/>
    <w:rsid w:val="009F6EEF"/>
    <w:rsid w:val="009F704F"/>
    <w:rsid w:val="009F70BA"/>
    <w:rsid w:val="009F7189"/>
    <w:rsid w:val="009F719F"/>
    <w:rsid w:val="009F71D1"/>
    <w:rsid w:val="009F71E5"/>
    <w:rsid w:val="009F73E8"/>
    <w:rsid w:val="009F74E3"/>
    <w:rsid w:val="009F7549"/>
    <w:rsid w:val="009F760F"/>
    <w:rsid w:val="009F77B7"/>
    <w:rsid w:val="009F7935"/>
    <w:rsid w:val="009F7A0F"/>
    <w:rsid w:val="009F7AC5"/>
    <w:rsid w:val="009F7C76"/>
    <w:rsid w:val="009F7C9E"/>
    <w:rsid w:val="009F7D87"/>
    <w:rsid w:val="009F7DB1"/>
    <w:rsid w:val="009F7DCA"/>
    <w:rsid w:val="009F7E68"/>
    <w:rsid w:val="009F7F19"/>
    <w:rsid w:val="009F7F1A"/>
    <w:rsid w:val="009F7FC5"/>
    <w:rsid w:val="009F7FDA"/>
    <w:rsid w:val="00A00022"/>
    <w:rsid w:val="00A000E9"/>
    <w:rsid w:val="00A002EF"/>
    <w:rsid w:val="00A0046C"/>
    <w:rsid w:val="00A00564"/>
    <w:rsid w:val="00A00702"/>
    <w:rsid w:val="00A007F4"/>
    <w:rsid w:val="00A00894"/>
    <w:rsid w:val="00A0092F"/>
    <w:rsid w:val="00A00A03"/>
    <w:rsid w:val="00A00A34"/>
    <w:rsid w:val="00A00A64"/>
    <w:rsid w:val="00A00B35"/>
    <w:rsid w:val="00A00BD7"/>
    <w:rsid w:val="00A00BE8"/>
    <w:rsid w:val="00A00C54"/>
    <w:rsid w:val="00A00D5F"/>
    <w:rsid w:val="00A00DBC"/>
    <w:rsid w:val="00A00DE3"/>
    <w:rsid w:val="00A00F2F"/>
    <w:rsid w:val="00A00F9A"/>
    <w:rsid w:val="00A01006"/>
    <w:rsid w:val="00A01159"/>
    <w:rsid w:val="00A011FF"/>
    <w:rsid w:val="00A0124B"/>
    <w:rsid w:val="00A01271"/>
    <w:rsid w:val="00A01363"/>
    <w:rsid w:val="00A013F2"/>
    <w:rsid w:val="00A014FA"/>
    <w:rsid w:val="00A0161C"/>
    <w:rsid w:val="00A0161E"/>
    <w:rsid w:val="00A01729"/>
    <w:rsid w:val="00A01761"/>
    <w:rsid w:val="00A01762"/>
    <w:rsid w:val="00A01776"/>
    <w:rsid w:val="00A01783"/>
    <w:rsid w:val="00A019B1"/>
    <w:rsid w:val="00A01A70"/>
    <w:rsid w:val="00A01AAC"/>
    <w:rsid w:val="00A01B34"/>
    <w:rsid w:val="00A01B53"/>
    <w:rsid w:val="00A01BF6"/>
    <w:rsid w:val="00A01C82"/>
    <w:rsid w:val="00A01D1E"/>
    <w:rsid w:val="00A01D45"/>
    <w:rsid w:val="00A01D8B"/>
    <w:rsid w:val="00A01E24"/>
    <w:rsid w:val="00A01FF6"/>
    <w:rsid w:val="00A0206C"/>
    <w:rsid w:val="00A02091"/>
    <w:rsid w:val="00A020F1"/>
    <w:rsid w:val="00A0210F"/>
    <w:rsid w:val="00A0216D"/>
    <w:rsid w:val="00A0218A"/>
    <w:rsid w:val="00A0223F"/>
    <w:rsid w:val="00A022F6"/>
    <w:rsid w:val="00A02393"/>
    <w:rsid w:val="00A02461"/>
    <w:rsid w:val="00A0259A"/>
    <w:rsid w:val="00A0264C"/>
    <w:rsid w:val="00A02763"/>
    <w:rsid w:val="00A0276F"/>
    <w:rsid w:val="00A027A2"/>
    <w:rsid w:val="00A02855"/>
    <w:rsid w:val="00A0287D"/>
    <w:rsid w:val="00A029A1"/>
    <w:rsid w:val="00A02B71"/>
    <w:rsid w:val="00A02B92"/>
    <w:rsid w:val="00A02C14"/>
    <w:rsid w:val="00A02CCB"/>
    <w:rsid w:val="00A02D2B"/>
    <w:rsid w:val="00A03027"/>
    <w:rsid w:val="00A0313D"/>
    <w:rsid w:val="00A035A7"/>
    <w:rsid w:val="00A03671"/>
    <w:rsid w:val="00A0389B"/>
    <w:rsid w:val="00A03AC0"/>
    <w:rsid w:val="00A03AD1"/>
    <w:rsid w:val="00A03BA4"/>
    <w:rsid w:val="00A03D2C"/>
    <w:rsid w:val="00A03D6F"/>
    <w:rsid w:val="00A03D8C"/>
    <w:rsid w:val="00A03E04"/>
    <w:rsid w:val="00A03E1A"/>
    <w:rsid w:val="00A03F15"/>
    <w:rsid w:val="00A03F34"/>
    <w:rsid w:val="00A03FF5"/>
    <w:rsid w:val="00A040D7"/>
    <w:rsid w:val="00A04270"/>
    <w:rsid w:val="00A0435C"/>
    <w:rsid w:val="00A043C1"/>
    <w:rsid w:val="00A043E4"/>
    <w:rsid w:val="00A0462D"/>
    <w:rsid w:val="00A04663"/>
    <w:rsid w:val="00A04757"/>
    <w:rsid w:val="00A04769"/>
    <w:rsid w:val="00A047A1"/>
    <w:rsid w:val="00A048AD"/>
    <w:rsid w:val="00A04AE4"/>
    <w:rsid w:val="00A04C0C"/>
    <w:rsid w:val="00A04D99"/>
    <w:rsid w:val="00A04E12"/>
    <w:rsid w:val="00A05062"/>
    <w:rsid w:val="00A0506F"/>
    <w:rsid w:val="00A052D0"/>
    <w:rsid w:val="00A0541A"/>
    <w:rsid w:val="00A054DA"/>
    <w:rsid w:val="00A0553A"/>
    <w:rsid w:val="00A0554A"/>
    <w:rsid w:val="00A055B5"/>
    <w:rsid w:val="00A056A8"/>
    <w:rsid w:val="00A056D5"/>
    <w:rsid w:val="00A05732"/>
    <w:rsid w:val="00A05802"/>
    <w:rsid w:val="00A0581B"/>
    <w:rsid w:val="00A05851"/>
    <w:rsid w:val="00A05905"/>
    <w:rsid w:val="00A05944"/>
    <w:rsid w:val="00A05950"/>
    <w:rsid w:val="00A05977"/>
    <w:rsid w:val="00A059EF"/>
    <w:rsid w:val="00A05A06"/>
    <w:rsid w:val="00A05A09"/>
    <w:rsid w:val="00A05A30"/>
    <w:rsid w:val="00A05B49"/>
    <w:rsid w:val="00A05B51"/>
    <w:rsid w:val="00A05B7C"/>
    <w:rsid w:val="00A05BEE"/>
    <w:rsid w:val="00A05C9F"/>
    <w:rsid w:val="00A05DEB"/>
    <w:rsid w:val="00A05E9D"/>
    <w:rsid w:val="00A05FCE"/>
    <w:rsid w:val="00A060A1"/>
    <w:rsid w:val="00A0615F"/>
    <w:rsid w:val="00A06182"/>
    <w:rsid w:val="00A06264"/>
    <w:rsid w:val="00A062E4"/>
    <w:rsid w:val="00A063A5"/>
    <w:rsid w:val="00A06418"/>
    <w:rsid w:val="00A065A1"/>
    <w:rsid w:val="00A06637"/>
    <w:rsid w:val="00A066C1"/>
    <w:rsid w:val="00A06803"/>
    <w:rsid w:val="00A0689C"/>
    <w:rsid w:val="00A06973"/>
    <w:rsid w:val="00A06997"/>
    <w:rsid w:val="00A06A21"/>
    <w:rsid w:val="00A06A23"/>
    <w:rsid w:val="00A06A93"/>
    <w:rsid w:val="00A06AD1"/>
    <w:rsid w:val="00A06C6D"/>
    <w:rsid w:val="00A06CC4"/>
    <w:rsid w:val="00A06DBC"/>
    <w:rsid w:val="00A06FA1"/>
    <w:rsid w:val="00A07090"/>
    <w:rsid w:val="00A07162"/>
    <w:rsid w:val="00A071E2"/>
    <w:rsid w:val="00A07353"/>
    <w:rsid w:val="00A073B5"/>
    <w:rsid w:val="00A07471"/>
    <w:rsid w:val="00A07667"/>
    <w:rsid w:val="00A076C0"/>
    <w:rsid w:val="00A07788"/>
    <w:rsid w:val="00A07821"/>
    <w:rsid w:val="00A0786C"/>
    <w:rsid w:val="00A07884"/>
    <w:rsid w:val="00A07931"/>
    <w:rsid w:val="00A07932"/>
    <w:rsid w:val="00A0795C"/>
    <w:rsid w:val="00A07A44"/>
    <w:rsid w:val="00A07A83"/>
    <w:rsid w:val="00A07A9A"/>
    <w:rsid w:val="00A07AF8"/>
    <w:rsid w:val="00A07CFD"/>
    <w:rsid w:val="00A07D25"/>
    <w:rsid w:val="00A07D36"/>
    <w:rsid w:val="00A07D4D"/>
    <w:rsid w:val="00A07D7A"/>
    <w:rsid w:val="00A07DAA"/>
    <w:rsid w:val="00A07DBF"/>
    <w:rsid w:val="00A07E1C"/>
    <w:rsid w:val="00A07E20"/>
    <w:rsid w:val="00A07F07"/>
    <w:rsid w:val="00A07F45"/>
    <w:rsid w:val="00A07F75"/>
    <w:rsid w:val="00A07FF9"/>
    <w:rsid w:val="00A10180"/>
    <w:rsid w:val="00A10193"/>
    <w:rsid w:val="00A10598"/>
    <w:rsid w:val="00A1059A"/>
    <w:rsid w:val="00A1069F"/>
    <w:rsid w:val="00A10746"/>
    <w:rsid w:val="00A107B5"/>
    <w:rsid w:val="00A10873"/>
    <w:rsid w:val="00A10ABC"/>
    <w:rsid w:val="00A10ACC"/>
    <w:rsid w:val="00A10B10"/>
    <w:rsid w:val="00A10C02"/>
    <w:rsid w:val="00A10C34"/>
    <w:rsid w:val="00A10C3C"/>
    <w:rsid w:val="00A10C65"/>
    <w:rsid w:val="00A10CD6"/>
    <w:rsid w:val="00A10EED"/>
    <w:rsid w:val="00A1102C"/>
    <w:rsid w:val="00A11113"/>
    <w:rsid w:val="00A11121"/>
    <w:rsid w:val="00A1119E"/>
    <w:rsid w:val="00A111B2"/>
    <w:rsid w:val="00A11254"/>
    <w:rsid w:val="00A112D5"/>
    <w:rsid w:val="00A1132D"/>
    <w:rsid w:val="00A113B6"/>
    <w:rsid w:val="00A113F1"/>
    <w:rsid w:val="00A11532"/>
    <w:rsid w:val="00A11548"/>
    <w:rsid w:val="00A115D5"/>
    <w:rsid w:val="00A11609"/>
    <w:rsid w:val="00A1171E"/>
    <w:rsid w:val="00A11807"/>
    <w:rsid w:val="00A1187E"/>
    <w:rsid w:val="00A1191D"/>
    <w:rsid w:val="00A1192F"/>
    <w:rsid w:val="00A11A92"/>
    <w:rsid w:val="00A11AA5"/>
    <w:rsid w:val="00A11B88"/>
    <w:rsid w:val="00A11CC4"/>
    <w:rsid w:val="00A11E58"/>
    <w:rsid w:val="00A11EEE"/>
    <w:rsid w:val="00A11F4F"/>
    <w:rsid w:val="00A12013"/>
    <w:rsid w:val="00A120D1"/>
    <w:rsid w:val="00A120E3"/>
    <w:rsid w:val="00A12128"/>
    <w:rsid w:val="00A12130"/>
    <w:rsid w:val="00A12176"/>
    <w:rsid w:val="00A12390"/>
    <w:rsid w:val="00A125A3"/>
    <w:rsid w:val="00A12656"/>
    <w:rsid w:val="00A12712"/>
    <w:rsid w:val="00A1285B"/>
    <w:rsid w:val="00A128E0"/>
    <w:rsid w:val="00A129CD"/>
    <w:rsid w:val="00A129D1"/>
    <w:rsid w:val="00A12B23"/>
    <w:rsid w:val="00A12B3B"/>
    <w:rsid w:val="00A12C7D"/>
    <w:rsid w:val="00A12CED"/>
    <w:rsid w:val="00A12D30"/>
    <w:rsid w:val="00A1307A"/>
    <w:rsid w:val="00A130C5"/>
    <w:rsid w:val="00A13150"/>
    <w:rsid w:val="00A13177"/>
    <w:rsid w:val="00A13187"/>
    <w:rsid w:val="00A131C8"/>
    <w:rsid w:val="00A13367"/>
    <w:rsid w:val="00A137E5"/>
    <w:rsid w:val="00A13988"/>
    <w:rsid w:val="00A139F2"/>
    <w:rsid w:val="00A13A69"/>
    <w:rsid w:val="00A13B7B"/>
    <w:rsid w:val="00A13B96"/>
    <w:rsid w:val="00A13C05"/>
    <w:rsid w:val="00A13C16"/>
    <w:rsid w:val="00A13D1E"/>
    <w:rsid w:val="00A13E04"/>
    <w:rsid w:val="00A13E6C"/>
    <w:rsid w:val="00A13EC4"/>
    <w:rsid w:val="00A13F12"/>
    <w:rsid w:val="00A13FED"/>
    <w:rsid w:val="00A14185"/>
    <w:rsid w:val="00A141E2"/>
    <w:rsid w:val="00A141ED"/>
    <w:rsid w:val="00A14344"/>
    <w:rsid w:val="00A143D9"/>
    <w:rsid w:val="00A144C7"/>
    <w:rsid w:val="00A14503"/>
    <w:rsid w:val="00A14560"/>
    <w:rsid w:val="00A14587"/>
    <w:rsid w:val="00A145AD"/>
    <w:rsid w:val="00A145F7"/>
    <w:rsid w:val="00A146FC"/>
    <w:rsid w:val="00A148E7"/>
    <w:rsid w:val="00A148ED"/>
    <w:rsid w:val="00A14A3C"/>
    <w:rsid w:val="00A14B01"/>
    <w:rsid w:val="00A14BF4"/>
    <w:rsid w:val="00A14CAB"/>
    <w:rsid w:val="00A14DFE"/>
    <w:rsid w:val="00A14E60"/>
    <w:rsid w:val="00A14EAD"/>
    <w:rsid w:val="00A15076"/>
    <w:rsid w:val="00A15155"/>
    <w:rsid w:val="00A151CD"/>
    <w:rsid w:val="00A151D0"/>
    <w:rsid w:val="00A152C8"/>
    <w:rsid w:val="00A15429"/>
    <w:rsid w:val="00A15474"/>
    <w:rsid w:val="00A1550D"/>
    <w:rsid w:val="00A155EC"/>
    <w:rsid w:val="00A15676"/>
    <w:rsid w:val="00A1569F"/>
    <w:rsid w:val="00A156FE"/>
    <w:rsid w:val="00A15717"/>
    <w:rsid w:val="00A15839"/>
    <w:rsid w:val="00A15928"/>
    <w:rsid w:val="00A15952"/>
    <w:rsid w:val="00A15A5D"/>
    <w:rsid w:val="00A15A6E"/>
    <w:rsid w:val="00A15B18"/>
    <w:rsid w:val="00A15B49"/>
    <w:rsid w:val="00A15C8C"/>
    <w:rsid w:val="00A15C9C"/>
    <w:rsid w:val="00A15CFC"/>
    <w:rsid w:val="00A15DB7"/>
    <w:rsid w:val="00A15DEB"/>
    <w:rsid w:val="00A15EA5"/>
    <w:rsid w:val="00A15F29"/>
    <w:rsid w:val="00A16108"/>
    <w:rsid w:val="00A16141"/>
    <w:rsid w:val="00A16145"/>
    <w:rsid w:val="00A16150"/>
    <w:rsid w:val="00A1617E"/>
    <w:rsid w:val="00A161D2"/>
    <w:rsid w:val="00A16209"/>
    <w:rsid w:val="00A16236"/>
    <w:rsid w:val="00A16244"/>
    <w:rsid w:val="00A16269"/>
    <w:rsid w:val="00A16398"/>
    <w:rsid w:val="00A165E1"/>
    <w:rsid w:val="00A16747"/>
    <w:rsid w:val="00A1699B"/>
    <w:rsid w:val="00A16B13"/>
    <w:rsid w:val="00A16B77"/>
    <w:rsid w:val="00A16C53"/>
    <w:rsid w:val="00A16C85"/>
    <w:rsid w:val="00A16DAC"/>
    <w:rsid w:val="00A16E34"/>
    <w:rsid w:val="00A16E8D"/>
    <w:rsid w:val="00A16EB8"/>
    <w:rsid w:val="00A16ED4"/>
    <w:rsid w:val="00A16F0B"/>
    <w:rsid w:val="00A16FB6"/>
    <w:rsid w:val="00A1702C"/>
    <w:rsid w:val="00A17047"/>
    <w:rsid w:val="00A170C6"/>
    <w:rsid w:val="00A17263"/>
    <w:rsid w:val="00A17362"/>
    <w:rsid w:val="00A173BC"/>
    <w:rsid w:val="00A1743F"/>
    <w:rsid w:val="00A174AD"/>
    <w:rsid w:val="00A17760"/>
    <w:rsid w:val="00A17909"/>
    <w:rsid w:val="00A17932"/>
    <w:rsid w:val="00A17A9F"/>
    <w:rsid w:val="00A17B13"/>
    <w:rsid w:val="00A17B5A"/>
    <w:rsid w:val="00A17BFD"/>
    <w:rsid w:val="00A17BFF"/>
    <w:rsid w:val="00A17F01"/>
    <w:rsid w:val="00A17F69"/>
    <w:rsid w:val="00A17FD4"/>
    <w:rsid w:val="00A2036B"/>
    <w:rsid w:val="00A203D3"/>
    <w:rsid w:val="00A20433"/>
    <w:rsid w:val="00A20446"/>
    <w:rsid w:val="00A20495"/>
    <w:rsid w:val="00A2050C"/>
    <w:rsid w:val="00A2054A"/>
    <w:rsid w:val="00A20558"/>
    <w:rsid w:val="00A2055D"/>
    <w:rsid w:val="00A2057A"/>
    <w:rsid w:val="00A205E6"/>
    <w:rsid w:val="00A206F7"/>
    <w:rsid w:val="00A2074F"/>
    <w:rsid w:val="00A207B3"/>
    <w:rsid w:val="00A2093F"/>
    <w:rsid w:val="00A20B62"/>
    <w:rsid w:val="00A20B87"/>
    <w:rsid w:val="00A20BE1"/>
    <w:rsid w:val="00A20DEC"/>
    <w:rsid w:val="00A20E58"/>
    <w:rsid w:val="00A20F00"/>
    <w:rsid w:val="00A20FCD"/>
    <w:rsid w:val="00A210F5"/>
    <w:rsid w:val="00A2118D"/>
    <w:rsid w:val="00A212DD"/>
    <w:rsid w:val="00A212F5"/>
    <w:rsid w:val="00A213E8"/>
    <w:rsid w:val="00A2140B"/>
    <w:rsid w:val="00A21591"/>
    <w:rsid w:val="00A215EC"/>
    <w:rsid w:val="00A2180F"/>
    <w:rsid w:val="00A21818"/>
    <w:rsid w:val="00A219F4"/>
    <w:rsid w:val="00A21AC0"/>
    <w:rsid w:val="00A21C14"/>
    <w:rsid w:val="00A21C57"/>
    <w:rsid w:val="00A21CB3"/>
    <w:rsid w:val="00A21D34"/>
    <w:rsid w:val="00A21DB7"/>
    <w:rsid w:val="00A21DBB"/>
    <w:rsid w:val="00A21E2C"/>
    <w:rsid w:val="00A21FEF"/>
    <w:rsid w:val="00A2207B"/>
    <w:rsid w:val="00A222B0"/>
    <w:rsid w:val="00A222C2"/>
    <w:rsid w:val="00A223CE"/>
    <w:rsid w:val="00A223D5"/>
    <w:rsid w:val="00A22454"/>
    <w:rsid w:val="00A22475"/>
    <w:rsid w:val="00A225D3"/>
    <w:rsid w:val="00A2270E"/>
    <w:rsid w:val="00A2274B"/>
    <w:rsid w:val="00A22766"/>
    <w:rsid w:val="00A228E1"/>
    <w:rsid w:val="00A228F8"/>
    <w:rsid w:val="00A22949"/>
    <w:rsid w:val="00A22B3C"/>
    <w:rsid w:val="00A22B54"/>
    <w:rsid w:val="00A22B6D"/>
    <w:rsid w:val="00A22F4D"/>
    <w:rsid w:val="00A22FD1"/>
    <w:rsid w:val="00A23039"/>
    <w:rsid w:val="00A2317A"/>
    <w:rsid w:val="00A23233"/>
    <w:rsid w:val="00A232F5"/>
    <w:rsid w:val="00A23429"/>
    <w:rsid w:val="00A2343C"/>
    <w:rsid w:val="00A23583"/>
    <w:rsid w:val="00A235A2"/>
    <w:rsid w:val="00A236C5"/>
    <w:rsid w:val="00A23702"/>
    <w:rsid w:val="00A23725"/>
    <w:rsid w:val="00A237A9"/>
    <w:rsid w:val="00A238BB"/>
    <w:rsid w:val="00A23A05"/>
    <w:rsid w:val="00A23A56"/>
    <w:rsid w:val="00A23C03"/>
    <w:rsid w:val="00A23CA3"/>
    <w:rsid w:val="00A23CF3"/>
    <w:rsid w:val="00A23D00"/>
    <w:rsid w:val="00A23D44"/>
    <w:rsid w:val="00A23F18"/>
    <w:rsid w:val="00A24001"/>
    <w:rsid w:val="00A240E4"/>
    <w:rsid w:val="00A24642"/>
    <w:rsid w:val="00A24649"/>
    <w:rsid w:val="00A24693"/>
    <w:rsid w:val="00A246C1"/>
    <w:rsid w:val="00A2476F"/>
    <w:rsid w:val="00A2494C"/>
    <w:rsid w:val="00A24A1B"/>
    <w:rsid w:val="00A24A76"/>
    <w:rsid w:val="00A24A8A"/>
    <w:rsid w:val="00A24B59"/>
    <w:rsid w:val="00A24BA2"/>
    <w:rsid w:val="00A24CF3"/>
    <w:rsid w:val="00A24DE8"/>
    <w:rsid w:val="00A2516D"/>
    <w:rsid w:val="00A251E7"/>
    <w:rsid w:val="00A255BB"/>
    <w:rsid w:val="00A256B8"/>
    <w:rsid w:val="00A257C8"/>
    <w:rsid w:val="00A258CA"/>
    <w:rsid w:val="00A25934"/>
    <w:rsid w:val="00A259EA"/>
    <w:rsid w:val="00A25A0E"/>
    <w:rsid w:val="00A25ACD"/>
    <w:rsid w:val="00A25B8A"/>
    <w:rsid w:val="00A25C83"/>
    <w:rsid w:val="00A25E19"/>
    <w:rsid w:val="00A25F7B"/>
    <w:rsid w:val="00A25FCA"/>
    <w:rsid w:val="00A2608F"/>
    <w:rsid w:val="00A2618D"/>
    <w:rsid w:val="00A26190"/>
    <w:rsid w:val="00A261AC"/>
    <w:rsid w:val="00A26201"/>
    <w:rsid w:val="00A26262"/>
    <w:rsid w:val="00A262F1"/>
    <w:rsid w:val="00A26376"/>
    <w:rsid w:val="00A26408"/>
    <w:rsid w:val="00A2648B"/>
    <w:rsid w:val="00A26534"/>
    <w:rsid w:val="00A265DB"/>
    <w:rsid w:val="00A2690B"/>
    <w:rsid w:val="00A26968"/>
    <w:rsid w:val="00A26A18"/>
    <w:rsid w:val="00A26C39"/>
    <w:rsid w:val="00A26D03"/>
    <w:rsid w:val="00A26D74"/>
    <w:rsid w:val="00A26DA4"/>
    <w:rsid w:val="00A26EE3"/>
    <w:rsid w:val="00A2708C"/>
    <w:rsid w:val="00A270E2"/>
    <w:rsid w:val="00A27219"/>
    <w:rsid w:val="00A27418"/>
    <w:rsid w:val="00A27534"/>
    <w:rsid w:val="00A276B9"/>
    <w:rsid w:val="00A276E3"/>
    <w:rsid w:val="00A277F9"/>
    <w:rsid w:val="00A2785F"/>
    <w:rsid w:val="00A2791E"/>
    <w:rsid w:val="00A279F7"/>
    <w:rsid w:val="00A27A17"/>
    <w:rsid w:val="00A27C39"/>
    <w:rsid w:val="00A27EE5"/>
    <w:rsid w:val="00A3015E"/>
    <w:rsid w:val="00A301D1"/>
    <w:rsid w:val="00A30432"/>
    <w:rsid w:val="00A30464"/>
    <w:rsid w:val="00A3049A"/>
    <w:rsid w:val="00A306C4"/>
    <w:rsid w:val="00A30836"/>
    <w:rsid w:val="00A3091F"/>
    <w:rsid w:val="00A3094A"/>
    <w:rsid w:val="00A30997"/>
    <w:rsid w:val="00A309DA"/>
    <w:rsid w:val="00A30A8C"/>
    <w:rsid w:val="00A30BEC"/>
    <w:rsid w:val="00A30CF8"/>
    <w:rsid w:val="00A30D9F"/>
    <w:rsid w:val="00A30DAE"/>
    <w:rsid w:val="00A30DB9"/>
    <w:rsid w:val="00A30DFD"/>
    <w:rsid w:val="00A30E83"/>
    <w:rsid w:val="00A30ED9"/>
    <w:rsid w:val="00A30FF3"/>
    <w:rsid w:val="00A3101F"/>
    <w:rsid w:val="00A311D0"/>
    <w:rsid w:val="00A31235"/>
    <w:rsid w:val="00A312C7"/>
    <w:rsid w:val="00A31387"/>
    <w:rsid w:val="00A314A6"/>
    <w:rsid w:val="00A317DB"/>
    <w:rsid w:val="00A318F7"/>
    <w:rsid w:val="00A31927"/>
    <w:rsid w:val="00A31A43"/>
    <w:rsid w:val="00A31B1A"/>
    <w:rsid w:val="00A31BC1"/>
    <w:rsid w:val="00A31BEA"/>
    <w:rsid w:val="00A31C3E"/>
    <w:rsid w:val="00A31D59"/>
    <w:rsid w:val="00A31D5C"/>
    <w:rsid w:val="00A31D64"/>
    <w:rsid w:val="00A31EB4"/>
    <w:rsid w:val="00A31ED6"/>
    <w:rsid w:val="00A31F70"/>
    <w:rsid w:val="00A31FE6"/>
    <w:rsid w:val="00A32112"/>
    <w:rsid w:val="00A32115"/>
    <w:rsid w:val="00A321CA"/>
    <w:rsid w:val="00A321E8"/>
    <w:rsid w:val="00A32214"/>
    <w:rsid w:val="00A32264"/>
    <w:rsid w:val="00A3237A"/>
    <w:rsid w:val="00A3258D"/>
    <w:rsid w:val="00A325F3"/>
    <w:rsid w:val="00A325F6"/>
    <w:rsid w:val="00A32656"/>
    <w:rsid w:val="00A32702"/>
    <w:rsid w:val="00A32756"/>
    <w:rsid w:val="00A32765"/>
    <w:rsid w:val="00A327BA"/>
    <w:rsid w:val="00A32876"/>
    <w:rsid w:val="00A3292F"/>
    <w:rsid w:val="00A329C5"/>
    <w:rsid w:val="00A32A0D"/>
    <w:rsid w:val="00A32A6F"/>
    <w:rsid w:val="00A32A91"/>
    <w:rsid w:val="00A32AD0"/>
    <w:rsid w:val="00A32C10"/>
    <w:rsid w:val="00A32C3E"/>
    <w:rsid w:val="00A32CCB"/>
    <w:rsid w:val="00A32CEC"/>
    <w:rsid w:val="00A32D72"/>
    <w:rsid w:val="00A32E4C"/>
    <w:rsid w:val="00A32F6A"/>
    <w:rsid w:val="00A330E2"/>
    <w:rsid w:val="00A33119"/>
    <w:rsid w:val="00A3336D"/>
    <w:rsid w:val="00A33374"/>
    <w:rsid w:val="00A333CA"/>
    <w:rsid w:val="00A335EB"/>
    <w:rsid w:val="00A33613"/>
    <w:rsid w:val="00A338AE"/>
    <w:rsid w:val="00A339A7"/>
    <w:rsid w:val="00A33A52"/>
    <w:rsid w:val="00A33B8E"/>
    <w:rsid w:val="00A33D52"/>
    <w:rsid w:val="00A33FB3"/>
    <w:rsid w:val="00A3401F"/>
    <w:rsid w:val="00A3406C"/>
    <w:rsid w:val="00A34174"/>
    <w:rsid w:val="00A3419A"/>
    <w:rsid w:val="00A34345"/>
    <w:rsid w:val="00A3434A"/>
    <w:rsid w:val="00A34360"/>
    <w:rsid w:val="00A3436F"/>
    <w:rsid w:val="00A343C0"/>
    <w:rsid w:val="00A3442D"/>
    <w:rsid w:val="00A3447C"/>
    <w:rsid w:val="00A346CD"/>
    <w:rsid w:val="00A346F8"/>
    <w:rsid w:val="00A3475A"/>
    <w:rsid w:val="00A3493B"/>
    <w:rsid w:val="00A34950"/>
    <w:rsid w:val="00A34991"/>
    <w:rsid w:val="00A34A1D"/>
    <w:rsid w:val="00A34AE4"/>
    <w:rsid w:val="00A34C87"/>
    <w:rsid w:val="00A34E0C"/>
    <w:rsid w:val="00A34E4E"/>
    <w:rsid w:val="00A34E7B"/>
    <w:rsid w:val="00A34EA8"/>
    <w:rsid w:val="00A34ED1"/>
    <w:rsid w:val="00A34F82"/>
    <w:rsid w:val="00A34FCE"/>
    <w:rsid w:val="00A3500B"/>
    <w:rsid w:val="00A35152"/>
    <w:rsid w:val="00A351FC"/>
    <w:rsid w:val="00A352CB"/>
    <w:rsid w:val="00A3533F"/>
    <w:rsid w:val="00A353F0"/>
    <w:rsid w:val="00A3543C"/>
    <w:rsid w:val="00A3548A"/>
    <w:rsid w:val="00A35506"/>
    <w:rsid w:val="00A35519"/>
    <w:rsid w:val="00A357FF"/>
    <w:rsid w:val="00A35892"/>
    <w:rsid w:val="00A35A58"/>
    <w:rsid w:val="00A35B42"/>
    <w:rsid w:val="00A35B61"/>
    <w:rsid w:val="00A35BAC"/>
    <w:rsid w:val="00A35D6C"/>
    <w:rsid w:val="00A35E8A"/>
    <w:rsid w:val="00A35F12"/>
    <w:rsid w:val="00A35F69"/>
    <w:rsid w:val="00A36008"/>
    <w:rsid w:val="00A3602B"/>
    <w:rsid w:val="00A360D9"/>
    <w:rsid w:val="00A360FF"/>
    <w:rsid w:val="00A36175"/>
    <w:rsid w:val="00A361D5"/>
    <w:rsid w:val="00A36268"/>
    <w:rsid w:val="00A362E0"/>
    <w:rsid w:val="00A3641D"/>
    <w:rsid w:val="00A364CC"/>
    <w:rsid w:val="00A365AA"/>
    <w:rsid w:val="00A3660B"/>
    <w:rsid w:val="00A3675D"/>
    <w:rsid w:val="00A36954"/>
    <w:rsid w:val="00A36AAB"/>
    <w:rsid w:val="00A36ACB"/>
    <w:rsid w:val="00A36ACF"/>
    <w:rsid w:val="00A36B8E"/>
    <w:rsid w:val="00A36BBE"/>
    <w:rsid w:val="00A36BE6"/>
    <w:rsid w:val="00A36BE9"/>
    <w:rsid w:val="00A36C43"/>
    <w:rsid w:val="00A36C7D"/>
    <w:rsid w:val="00A36CE7"/>
    <w:rsid w:val="00A36D30"/>
    <w:rsid w:val="00A36D9A"/>
    <w:rsid w:val="00A36DE8"/>
    <w:rsid w:val="00A36E0A"/>
    <w:rsid w:val="00A36ECC"/>
    <w:rsid w:val="00A36EFF"/>
    <w:rsid w:val="00A37029"/>
    <w:rsid w:val="00A37068"/>
    <w:rsid w:val="00A370FE"/>
    <w:rsid w:val="00A3727A"/>
    <w:rsid w:val="00A374E0"/>
    <w:rsid w:val="00A3752B"/>
    <w:rsid w:val="00A376B3"/>
    <w:rsid w:val="00A37759"/>
    <w:rsid w:val="00A377D6"/>
    <w:rsid w:val="00A37BAA"/>
    <w:rsid w:val="00A37D5E"/>
    <w:rsid w:val="00A37F03"/>
    <w:rsid w:val="00A37F1D"/>
    <w:rsid w:val="00A37FEB"/>
    <w:rsid w:val="00A40164"/>
    <w:rsid w:val="00A4017C"/>
    <w:rsid w:val="00A40292"/>
    <w:rsid w:val="00A403EC"/>
    <w:rsid w:val="00A40420"/>
    <w:rsid w:val="00A40443"/>
    <w:rsid w:val="00A40478"/>
    <w:rsid w:val="00A404AC"/>
    <w:rsid w:val="00A40547"/>
    <w:rsid w:val="00A4055D"/>
    <w:rsid w:val="00A405D5"/>
    <w:rsid w:val="00A4075E"/>
    <w:rsid w:val="00A407DE"/>
    <w:rsid w:val="00A408EF"/>
    <w:rsid w:val="00A4096B"/>
    <w:rsid w:val="00A40973"/>
    <w:rsid w:val="00A409B4"/>
    <w:rsid w:val="00A40AF0"/>
    <w:rsid w:val="00A40B72"/>
    <w:rsid w:val="00A40D63"/>
    <w:rsid w:val="00A40D9D"/>
    <w:rsid w:val="00A40E2C"/>
    <w:rsid w:val="00A40F50"/>
    <w:rsid w:val="00A40F73"/>
    <w:rsid w:val="00A40F94"/>
    <w:rsid w:val="00A4108A"/>
    <w:rsid w:val="00A411F6"/>
    <w:rsid w:val="00A41229"/>
    <w:rsid w:val="00A412FE"/>
    <w:rsid w:val="00A413F1"/>
    <w:rsid w:val="00A414E7"/>
    <w:rsid w:val="00A4152A"/>
    <w:rsid w:val="00A415A7"/>
    <w:rsid w:val="00A415CB"/>
    <w:rsid w:val="00A41730"/>
    <w:rsid w:val="00A4174D"/>
    <w:rsid w:val="00A41883"/>
    <w:rsid w:val="00A41A09"/>
    <w:rsid w:val="00A41AAE"/>
    <w:rsid w:val="00A41C9E"/>
    <w:rsid w:val="00A41E52"/>
    <w:rsid w:val="00A41F4A"/>
    <w:rsid w:val="00A42027"/>
    <w:rsid w:val="00A42068"/>
    <w:rsid w:val="00A42143"/>
    <w:rsid w:val="00A421D7"/>
    <w:rsid w:val="00A422A8"/>
    <w:rsid w:val="00A422E8"/>
    <w:rsid w:val="00A424A2"/>
    <w:rsid w:val="00A42715"/>
    <w:rsid w:val="00A42729"/>
    <w:rsid w:val="00A42795"/>
    <w:rsid w:val="00A428DA"/>
    <w:rsid w:val="00A42ADD"/>
    <w:rsid w:val="00A42BE9"/>
    <w:rsid w:val="00A42C8E"/>
    <w:rsid w:val="00A42D08"/>
    <w:rsid w:val="00A42EE5"/>
    <w:rsid w:val="00A42F18"/>
    <w:rsid w:val="00A42F62"/>
    <w:rsid w:val="00A432E0"/>
    <w:rsid w:val="00A432F2"/>
    <w:rsid w:val="00A4349E"/>
    <w:rsid w:val="00A434AC"/>
    <w:rsid w:val="00A434D7"/>
    <w:rsid w:val="00A43522"/>
    <w:rsid w:val="00A43577"/>
    <w:rsid w:val="00A43630"/>
    <w:rsid w:val="00A43654"/>
    <w:rsid w:val="00A43679"/>
    <w:rsid w:val="00A43743"/>
    <w:rsid w:val="00A43779"/>
    <w:rsid w:val="00A43788"/>
    <w:rsid w:val="00A437C0"/>
    <w:rsid w:val="00A43853"/>
    <w:rsid w:val="00A43981"/>
    <w:rsid w:val="00A43991"/>
    <w:rsid w:val="00A43A70"/>
    <w:rsid w:val="00A43CC9"/>
    <w:rsid w:val="00A43DE8"/>
    <w:rsid w:val="00A43E03"/>
    <w:rsid w:val="00A43E51"/>
    <w:rsid w:val="00A43EFC"/>
    <w:rsid w:val="00A43F9D"/>
    <w:rsid w:val="00A43FF3"/>
    <w:rsid w:val="00A440E6"/>
    <w:rsid w:val="00A440F1"/>
    <w:rsid w:val="00A4420F"/>
    <w:rsid w:val="00A4422E"/>
    <w:rsid w:val="00A44238"/>
    <w:rsid w:val="00A442A7"/>
    <w:rsid w:val="00A442F9"/>
    <w:rsid w:val="00A443E2"/>
    <w:rsid w:val="00A4440D"/>
    <w:rsid w:val="00A444F7"/>
    <w:rsid w:val="00A445FD"/>
    <w:rsid w:val="00A4468F"/>
    <w:rsid w:val="00A4475D"/>
    <w:rsid w:val="00A4476F"/>
    <w:rsid w:val="00A44870"/>
    <w:rsid w:val="00A448F2"/>
    <w:rsid w:val="00A4495A"/>
    <w:rsid w:val="00A44A57"/>
    <w:rsid w:val="00A44D20"/>
    <w:rsid w:val="00A44D34"/>
    <w:rsid w:val="00A44D52"/>
    <w:rsid w:val="00A44EE7"/>
    <w:rsid w:val="00A450A4"/>
    <w:rsid w:val="00A450F2"/>
    <w:rsid w:val="00A45225"/>
    <w:rsid w:val="00A452DF"/>
    <w:rsid w:val="00A45303"/>
    <w:rsid w:val="00A45363"/>
    <w:rsid w:val="00A454CD"/>
    <w:rsid w:val="00A45797"/>
    <w:rsid w:val="00A45856"/>
    <w:rsid w:val="00A458A0"/>
    <w:rsid w:val="00A459C3"/>
    <w:rsid w:val="00A45C30"/>
    <w:rsid w:val="00A45E7B"/>
    <w:rsid w:val="00A45FC8"/>
    <w:rsid w:val="00A46143"/>
    <w:rsid w:val="00A4620F"/>
    <w:rsid w:val="00A462E3"/>
    <w:rsid w:val="00A46327"/>
    <w:rsid w:val="00A464D8"/>
    <w:rsid w:val="00A4655F"/>
    <w:rsid w:val="00A465C8"/>
    <w:rsid w:val="00A46642"/>
    <w:rsid w:val="00A46661"/>
    <w:rsid w:val="00A467D1"/>
    <w:rsid w:val="00A467EC"/>
    <w:rsid w:val="00A4684D"/>
    <w:rsid w:val="00A469B0"/>
    <w:rsid w:val="00A469D7"/>
    <w:rsid w:val="00A46A99"/>
    <w:rsid w:val="00A46D4D"/>
    <w:rsid w:val="00A46D8C"/>
    <w:rsid w:val="00A47068"/>
    <w:rsid w:val="00A474CD"/>
    <w:rsid w:val="00A47587"/>
    <w:rsid w:val="00A475DA"/>
    <w:rsid w:val="00A475FA"/>
    <w:rsid w:val="00A47656"/>
    <w:rsid w:val="00A47673"/>
    <w:rsid w:val="00A476C6"/>
    <w:rsid w:val="00A4779C"/>
    <w:rsid w:val="00A4797D"/>
    <w:rsid w:val="00A47AD0"/>
    <w:rsid w:val="00A47BA0"/>
    <w:rsid w:val="00A47C53"/>
    <w:rsid w:val="00A47D7D"/>
    <w:rsid w:val="00A47D9D"/>
    <w:rsid w:val="00A47ED1"/>
    <w:rsid w:val="00A47F0E"/>
    <w:rsid w:val="00A47F21"/>
    <w:rsid w:val="00A500B1"/>
    <w:rsid w:val="00A501C6"/>
    <w:rsid w:val="00A50206"/>
    <w:rsid w:val="00A50355"/>
    <w:rsid w:val="00A505A3"/>
    <w:rsid w:val="00A505DA"/>
    <w:rsid w:val="00A506AF"/>
    <w:rsid w:val="00A508BD"/>
    <w:rsid w:val="00A50C3C"/>
    <w:rsid w:val="00A50D46"/>
    <w:rsid w:val="00A50D70"/>
    <w:rsid w:val="00A50F01"/>
    <w:rsid w:val="00A50F08"/>
    <w:rsid w:val="00A50F12"/>
    <w:rsid w:val="00A50F26"/>
    <w:rsid w:val="00A50F93"/>
    <w:rsid w:val="00A510A3"/>
    <w:rsid w:val="00A51260"/>
    <w:rsid w:val="00A5147E"/>
    <w:rsid w:val="00A51521"/>
    <w:rsid w:val="00A51602"/>
    <w:rsid w:val="00A51633"/>
    <w:rsid w:val="00A5173F"/>
    <w:rsid w:val="00A5189F"/>
    <w:rsid w:val="00A518F3"/>
    <w:rsid w:val="00A51ADF"/>
    <w:rsid w:val="00A51AF2"/>
    <w:rsid w:val="00A51B37"/>
    <w:rsid w:val="00A51B6F"/>
    <w:rsid w:val="00A51E4A"/>
    <w:rsid w:val="00A51F46"/>
    <w:rsid w:val="00A5205C"/>
    <w:rsid w:val="00A520CC"/>
    <w:rsid w:val="00A52403"/>
    <w:rsid w:val="00A524DF"/>
    <w:rsid w:val="00A5273B"/>
    <w:rsid w:val="00A52810"/>
    <w:rsid w:val="00A5283D"/>
    <w:rsid w:val="00A52844"/>
    <w:rsid w:val="00A528F1"/>
    <w:rsid w:val="00A529D0"/>
    <w:rsid w:val="00A52A5B"/>
    <w:rsid w:val="00A52BA4"/>
    <w:rsid w:val="00A52DC0"/>
    <w:rsid w:val="00A52E82"/>
    <w:rsid w:val="00A52EA3"/>
    <w:rsid w:val="00A531B6"/>
    <w:rsid w:val="00A53441"/>
    <w:rsid w:val="00A534A3"/>
    <w:rsid w:val="00A5354B"/>
    <w:rsid w:val="00A53772"/>
    <w:rsid w:val="00A5379F"/>
    <w:rsid w:val="00A537A2"/>
    <w:rsid w:val="00A53B20"/>
    <w:rsid w:val="00A53B6F"/>
    <w:rsid w:val="00A53BC5"/>
    <w:rsid w:val="00A53C14"/>
    <w:rsid w:val="00A53C71"/>
    <w:rsid w:val="00A53D61"/>
    <w:rsid w:val="00A53EB7"/>
    <w:rsid w:val="00A53F72"/>
    <w:rsid w:val="00A53FC0"/>
    <w:rsid w:val="00A53FD1"/>
    <w:rsid w:val="00A54003"/>
    <w:rsid w:val="00A5407C"/>
    <w:rsid w:val="00A540C3"/>
    <w:rsid w:val="00A540DA"/>
    <w:rsid w:val="00A54166"/>
    <w:rsid w:val="00A54290"/>
    <w:rsid w:val="00A542BD"/>
    <w:rsid w:val="00A542E3"/>
    <w:rsid w:val="00A5431A"/>
    <w:rsid w:val="00A5453E"/>
    <w:rsid w:val="00A545BA"/>
    <w:rsid w:val="00A54698"/>
    <w:rsid w:val="00A5469B"/>
    <w:rsid w:val="00A54711"/>
    <w:rsid w:val="00A5471A"/>
    <w:rsid w:val="00A54789"/>
    <w:rsid w:val="00A54837"/>
    <w:rsid w:val="00A548BE"/>
    <w:rsid w:val="00A5495D"/>
    <w:rsid w:val="00A54AE0"/>
    <w:rsid w:val="00A54B9A"/>
    <w:rsid w:val="00A54BDA"/>
    <w:rsid w:val="00A54F8C"/>
    <w:rsid w:val="00A551D7"/>
    <w:rsid w:val="00A5523A"/>
    <w:rsid w:val="00A553C1"/>
    <w:rsid w:val="00A5545F"/>
    <w:rsid w:val="00A55511"/>
    <w:rsid w:val="00A55750"/>
    <w:rsid w:val="00A5575F"/>
    <w:rsid w:val="00A55801"/>
    <w:rsid w:val="00A55A47"/>
    <w:rsid w:val="00A55A8B"/>
    <w:rsid w:val="00A55B47"/>
    <w:rsid w:val="00A55B57"/>
    <w:rsid w:val="00A55C3D"/>
    <w:rsid w:val="00A55DA6"/>
    <w:rsid w:val="00A55E08"/>
    <w:rsid w:val="00A55E5F"/>
    <w:rsid w:val="00A55EF0"/>
    <w:rsid w:val="00A55F0F"/>
    <w:rsid w:val="00A560F0"/>
    <w:rsid w:val="00A56114"/>
    <w:rsid w:val="00A5613C"/>
    <w:rsid w:val="00A5621E"/>
    <w:rsid w:val="00A5646E"/>
    <w:rsid w:val="00A56575"/>
    <w:rsid w:val="00A566BE"/>
    <w:rsid w:val="00A56734"/>
    <w:rsid w:val="00A56842"/>
    <w:rsid w:val="00A56C3E"/>
    <w:rsid w:val="00A56E06"/>
    <w:rsid w:val="00A56FDB"/>
    <w:rsid w:val="00A570E8"/>
    <w:rsid w:val="00A5714E"/>
    <w:rsid w:val="00A57156"/>
    <w:rsid w:val="00A57177"/>
    <w:rsid w:val="00A571F3"/>
    <w:rsid w:val="00A572B6"/>
    <w:rsid w:val="00A57453"/>
    <w:rsid w:val="00A576E4"/>
    <w:rsid w:val="00A57704"/>
    <w:rsid w:val="00A578DB"/>
    <w:rsid w:val="00A57931"/>
    <w:rsid w:val="00A57987"/>
    <w:rsid w:val="00A57D35"/>
    <w:rsid w:val="00A57E26"/>
    <w:rsid w:val="00A57F06"/>
    <w:rsid w:val="00A57F8F"/>
    <w:rsid w:val="00A57FD7"/>
    <w:rsid w:val="00A60331"/>
    <w:rsid w:val="00A60465"/>
    <w:rsid w:val="00A604DF"/>
    <w:rsid w:val="00A605D2"/>
    <w:rsid w:val="00A60688"/>
    <w:rsid w:val="00A60735"/>
    <w:rsid w:val="00A60923"/>
    <w:rsid w:val="00A609AF"/>
    <w:rsid w:val="00A60A46"/>
    <w:rsid w:val="00A60AD5"/>
    <w:rsid w:val="00A60CB5"/>
    <w:rsid w:val="00A60D09"/>
    <w:rsid w:val="00A60E0D"/>
    <w:rsid w:val="00A60E71"/>
    <w:rsid w:val="00A610F0"/>
    <w:rsid w:val="00A61181"/>
    <w:rsid w:val="00A611B9"/>
    <w:rsid w:val="00A61251"/>
    <w:rsid w:val="00A6126B"/>
    <w:rsid w:val="00A612EC"/>
    <w:rsid w:val="00A613ED"/>
    <w:rsid w:val="00A61407"/>
    <w:rsid w:val="00A61430"/>
    <w:rsid w:val="00A61616"/>
    <w:rsid w:val="00A61654"/>
    <w:rsid w:val="00A6182C"/>
    <w:rsid w:val="00A6196A"/>
    <w:rsid w:val="00A61981"/>
    <w:rsid w:val="00A619F2"/>
    <w:rsid w:val="00A619F3"/>
    <w:rsid w:val="00A61A08"/>
    <w:rsid w:val="00A61BF2"/>
    <w:rsid w:val="00A61D8A"/>
    <w:rsid w:val="00A61DD9"/>
    <w:rsid w:val="00A61E21"/>
    <w:rsid w:val="00A61E41"/>
    <w:rsid w:val="00A61EBC"/>
    <w:rsid w:val="00A61FF0"/>
    <w:rsid w:val="00A62098"/>
    <w:rsid w:val="00A621D7"/>
    <w:rsid w:val="00A6229F"/>
    <w:rsid w:val="00A6247D"/>
    <w:rsid w:val="00A627ED"/>
    <w:rsid w:val="00A62831"/>
    <w:rsid w:val="00A62899"/>
    <w:rsid w:val="00A62902"/>
    <w:rsid w:val="00A62911"/>
    <w:rsid w:val="00A62A50"/>
    <w:rsid w:val="00A62B72"/>
    <w:rsid w:val="00A62D8B"/>
    <w:rsid w:val="00A62DE2"/>
    <w:rsid w:val="00A62E3F"/>
    <w:rsid w:val="00A62F16"/>
    <w:rsid w:val="00A63271"/>
    <w:rsid w:val="00A63378"/>
    <w:rsid w:val="00A63487"/>
    <w:rsid w:val="00A634B4"/>
    <w:rsid w:val="00A635EE"/>
    <w:rsid w:val="00A63674"/>
    <w:rsid w:val="00A636CA"/>
    <w:rsid w:val="00A63722"/>
    <w:rsid w:val="00A63740"/>
    <w:rsid w:val="00A638D5"/>
    <w:rsid w:val="00A639B6"/>
    <w:rsid w:val="00A63A13"/>
    <w:rsid w:val="00A63A85"/>
    <w:rsid w:val="00A63AC9"/>
    <w:rsid w:val="00A63B6E"/>
    <w:rsid w:val="00A63BAB"/>
    <w:rsid w:val="00A63C4F"/>
    <w:rsid w:val="00A63CB8"/>
    <w:rsid w:val="00A63D19"/>
    <w:rsid w:val="00A63D59"/>
    <w:rsid w:val="00A63ED5"/>
    <w:rsid w:val="00A63EF3"/>
    <w:rsid w:val="00A63FD3"/>
    <w:rsid w:val="00A640BE"/>
    <w:rsid w:val="00A640C6"/>
    <w:rsid w:val="00A6436F"/>
    <w:rsid w:val="00A6449C"/>
    <w:rsid w:val="00A647F4"/>
    <w:rsid w:val="00A64824"/>
    <w:rsid w:val="00A648EB"/>
    <w:rsid w:val="00A64A66"/>
    <w:rsid w:val="00A64B34"/>
    <w:rsid w:val="00A64D3D"/>
    <w:rsid w:val="00A64D40"/>
    <w:rsid w:val="00A64D88"/>
    <w:rsid w:val="00A64DC5"/>
    <w:rsid w:val="00A64DEB"/>
    <w:rsid w:val="00A64DF7"/>
    <w:rsid w:val="00A64E38"/>
    <w:rsid w:val="00A64EB8"/>
    <w:rsid w:val="00A65021"/>
    <w:rsid w:val="00A6503B"/>
    <w:rsid w:val="00A65041"/>
    <w:rsid w:val="00A65269"/>
    <w:rsid w:val="00A65309"/>
    <w:rsid w:val="00A65333"/>
    <w:rsid w:val="00A653D0"/>
    <w:rsid w:val="00A653FE"/>
    <w:rsid w:val="00A6554A"/>
    <w:rsid w:val="00A656AA"/>
    <w:rsid w:val="00A657B3"/>
    <w:rsid w:val="00A657FE"/>
    <w:rsid w:val="00A658C3"/>
    <w:rsid w:val="00A658F0"/>
    <w:rsid w:val="00A6592A"/>
    <w:rsid w:val="00A65AC9"/>
    <w:rsid w:val="00A65B40"/>
    <w:rsid w:val="00A65C48"/>
    <w:rsid w:val="00A65C77"/>
    <w:rsid w:val="00A65CFD"/>
    <w:rsid w:val="00A65D95"/>
    <w:rsid w:val="00A65DB9"/>
    <w:rsid w:val="00A65F31"/>
    <w:rsid w:val="00A65FB8"/>
    <w:rsid w:val="00A65FCA"/>
    <w:rsid w:val="00A65FEE"/>
    <w:rsid w:val="00A6604D"/>
    <w:rsid w:val="00A6608E"/>
    <w:rsid w:val="00A661F1"/>
    <w:rsid w:val="00A66259"/>
    <w:rsid w:val="00A662FA"/>
    <w:rsid w:val="00A663AB"/>
    <w:rsid w:val="00A665F2"/>
    <w:rsid w:val="00A666C6"/>
    <w:rsid w:val="00A66760"/>
    <w:rsid w:val="00A66762"/>
    <w:rsid w:val="00A667E9"/>
    <w:rsid w:val="00A669D8"/>
    <w:rsid w:val="00A66A3E"/>
    <w:rsid w:val="00A66C11"/>
    <w:rsid w:val="00A66C54"/>
    <w:rsid w:val="00A66E61"/>
    <w:rsid w:val="00A67296"/>
    <w:rsid w:val="00A67466"/>
    <w:rsid w:val="00A6748F"/>
    <w:rsid w:val="00A674B8"/>
    <w:rsid w:val="00A6751D"/>
    <w:rsid w:val="00A6758C"/>
    <w:rsid w:val="00A67860"/>
    <w:rsid w:val="00A678A0"/>
    <w:rsid w:val="00A67A90"/>
    <w:rsid w:val="00A67BE7"/>
    <w:rsid w:val="00A67BE8"/>
    <w:rsid w:val="00A67BFF"/>
    <w:rsid w:val="00A67CC9"/>
    <w:rsid w:val="00A67E59"/>
    <w:rsid w:val="00A67F07"/>
    <w:rsid w:val="00A67F20"/>
    <w:rsid w:val="00A7011F"/>
    <w:rsid w:val="00A701CD"/>
    <w:rsid w:val="00A70206"/>
    <w:rsid w:val="00A70222"/>
    <w:rsid w:val="00A7025D"/>
    <w:rsid w:val="00A70345"/>
    <w:rsid w:val="00A7041C"/>
    <w:rsid w:val="00A70686"/>
    <w:rsid w:val="00A706EB"/>
    <w:rsid w:val="00A70713"/>
    <w:rsid w:val="00A70726"/>
    <w:rsid w:val="00A7078D"/>
    <w:rsid w:val="00A707F4"/>
    <w:rsid w:val="00A708DE"/>
    <w:rsid w:val="00A709B3"/>
    <w:rsid w:val="00A70A8F"/>
    <w:rsid w:val="00A70ABA"/>
    <w:rsid w:val="00A70B88"/>
    <w:rsid w:val="00A70C79"/>
    <w:rsid w:val="00A70CE6"/>
    <w:rsid w:val="00A70CF9"/>
    <w:rsid w:val="00A70DF2"/>
    <w:rsid w:val="00A70F84"/>
    <w:rsid w:val="00A71151"/>
    <w:rsid w:val="00A7117A"/>
    <w:rsid w:val="00A7118C"/>
    <w:rsid w:val="00A71227"/>
    <w:rsid w:val="00A712D4"/>
    <w:rsid w:val="00A712EE"/>
    <w:rsid w:val="00A7131E"/>
    <w:rsid w:val="00A71354"/>
    <w:rsid w:val="00A713AD"/>
    <w:rsid w:val="00A713B3"/>
    <w:rsid w:val="00A71403"/>
    <w:rsid w:val="00A714F7"/>
    <w:rsid w:val="00A7160A"/>
    <w:rsid w:val="00A716D0"/>
    <w:rsid w:val="00A71960"/>
    <w:rsid w:val="00A719C3"/>
    <w:rsid w:val="00A719E3"/>
    <w:rsid w:val="00A71BE4"/>
    <w:rsid w:val="00A71CE0"/>
    <w:rsid w:val="00A71E05"/>
    <w:rsid w:val="00A71E13"/>
    <w:rsid w:val="00A71ED7"/>
    <w:rsid w:val="00A71FC5"/>
    <w:rsid w:val="00A7209A"/>
    <w:rsid w:val="00A720B6"/>
    <w:rsid w:val="00A72152"/>
    <w:rsid w:val="00A7218F"/>
    <w:rsid w:val="00A7221B"/>
    <w:rsid w:val="00A72251"/>
    <w:rsid w:val="00A722F6"/>
    <w:rsid w:val="00A7230C"/>
    <w:rsid w:val="00A724A3"/>
    <w:rsid w:val="00A724E7"/>
    <w:rsid w:val="00A72516"/>
    <w:rsid w:val="00A726B6"/>
    <w:rsid w:val="00A726CC"/>
    <w:rsid w:val="00A726D2"/>
    <w:rsid w:val="00A72786"/>
    <w:rsid w:val="00A72A3F"/>
    <w:rsid w:val="00A72BA2"/>
    <w:rsid w:val="00A72C08"/>
    <w:rsid w:val="00A72C43"/>
    <w:rsid w:val="00A72C44"/>
    <w:rsid w:val="00A72D52"/>
    <w:rsid w:val="00A72DD2"/>
    <w:rsid w:val="00A72E82"/>
    <w:rsid w:val="00A72EB7"/>
    <w:rsid w:val="00A72F1A"/>
    <w:rsid w:val="00A72F47"/>
    <w:rsid w:val="00A72F94"/>
    <w:rsid w:val="00A730E1"/>
    <w:rsid w:val="00A73255"/>
    <w:rsid w:val="00A73299"/>
    <w:rsid w:val="00A7335A"/>
    <w:rsid w:val="00A733CA"/>
    <w:rsid w:val="00A733FF"/>
    <w:rsid w:val="00A7340C"/>
    <w:rsid w:val="00A7350A"/>
    <w:rsid w:val="00A73559"/>
    <w:rsid w:val="00A73573"/>
    <w:rsid w:val="00A735A7"/>
    <w:rsid w:val="00A7363B"/>
    <w:rsid w:val="00A7367A"/>
    <w:rsid w:val="00A736BD"/>
    <w:rsid w:val="00A73720"/>
    <w:rsid w:val="00A737DB"/>
    <w:rsid w:val="00A737FE"/>
    <w:rsid w:val="00A73819"/>
    <w:rsid w:val="00A73AA6"/>
    <w:rsid w:val="00A73B23"/>
    <w:rsid w:val="00A73B95"/>
    <w:rsid w:val="00A73CD9"/>
    <w:rsid w:val="00A73D6C"/>
    <w:rsid w:val="00A73D76"/>
    <w:rsid w:val="00A73D8D"/>
    <w:rsid w:val="00A73DC1"/>
    <w:rsid w:val="00A73E83"/>
    <w:rsid w:val="00A73EBA"/>
    <w:rsid w:val="00A74117"/>
    <w:rsid w:val="00A7411B"/>
    <w:rsid w:val="00A74176"/>
    <w:rsid w:val="00A74204"/>
    <w:rsid w:val="00A74282"/>
    <w:rsid w:val="00A743A8"/>
    <w:rsid w:val="00A743E4"/>
    <w:rsid w:val="00A74411"/>
    <w:rsid w:val="00A7445A"/>
    <w:rsid w:val="00A7452D"/>
    <w:rsid w:val="00A7471F"/>
    <w:rsid w:val="00A7496B"/>
    <w:rsid w:val="00A749DF"/>
    <w:rsid w:val="00A74BAF"/>
    <w:rsid w:val="00A74BD5"/>
    <w:rsid w:val="00A74DC2"/>
    <w:rsid w:val="00A74E04"/>
    <w:rsid w:val="00A74E2F"/>
    <w:rsid w:val="00A74F76"/>
    <w:rsid w:val="00A750CE"/>
    <w:rsid w:val="00A751C0"/>
    <w:rsid w:val="00A75216"/>
    <w:rsid w:val="00A75235"/>
    <w:rsid w:val="00A75319"/>
    <w:rsid w:val="00A755CC"/>
    <w:rsid w:val="00A755CF"/>
    <w:rsid w:val="00A755E7"/>
    <w:rsid w:val="00A757BA"/>
    <w:rsid w:val="00A75A90"/>
    <w:rsid w:val="00A75AF6"/>
    <w:rsid w:val="00A75CD4"/>
    <w:rsid w:val="00A75D36"/>
    <w:rsid w:val="00A75E55"/>
    <w:rsid w:val="00A75F36"/>
    <w:rsid w:val="00A75F55"/>
    <w:rsid w:val="00A75F7A"/>
    <w:rsid w:val="00A75F85"/>
    <w:rsid w:val="00A75FA4"/>
    <w:rsid w:val="00A75FB0"/>
    <w:rsid w:val="00A760B3"/>
    <w:rsid w:val="00A76234"/>
    <w:rsid w:val="00A7626C"/>
    <w:rsid w:val="00A76270"/>
    <w:rsid w:val="00A762B7"/>
    <w:rsid w:val="00A763BC"/>
    <w:rsid w:val="00A763FA"/>
    <w:rsid w:val="00A764C9"/>
    <w:rsid w:val="00A76557"/>
    <w:rsid w:val="00A7672B"/>
    <w:rsid w:val="00A76866"/>
    <w:rsid w:val="00A76980"/>
    <w:rsid w:val="00A76A74"/>
    <w:rsid w:val="00A76AF5"/>
    <w:rsid w:val="00A76B05"/>
    <w:rsid w:val="00A76C21"/>
    <w:rsid w:val="00A76DBF"/>
    <w:rsid w:val="00A76E34"/>
    <w:rsid w:val="00A76E3B"/>
    <w:rsid w:val="00A76E8E"/>
    <w:rsid w:val="00A76EEA"/>
    <w:rsid w:val="00A76F42"/>
    <w:rsid w:val="00A7709D"/>
    <w:rsid w:val="00A7737C"/>
    <w:rsid w:val="00A77390"/>
    <w:rsid w:val="00A773C0"/>
    <w:rsid w:val="00A77449"/>
    <w:rsid w:val="00A7746A"/>
    <w:rsid w:val="00A77553"/>
    <w:rsid w:val="00A7755B"/>
    <w:rsid w:val="00A775EE"/>
    <w:rsid w:val="00A77726"/>
    <w:rsid w:val="00A77817"/>
    <w:rsid w:val="00A77A39"/>
    <w:rsid w:val="00A77A49"/>
    <w:rsid w:val="00A77A72"/>
    <w:rsid w:val="00A77C7E"/>
    <w:rsid w:val="00A77CED"/>
    <w:rsid w:val="00A77D29"/>
    <w:rsid w:val="00A77D54"/>
    <w:rsid w:val="00A77E60"/>
    <w:rsid w:val="00A77E71"/>
    <w:rsid w:val="00A77E86"/>
    <w:rsid w:val="00A77E9E"/>
    <w:rsid w:val="00A77EB9"/>
    <w:rsid w:val="00A77F65"/>
    <w:rsid w:val="00A8004E"/>
    <w:rsid w:val="00A800A1"/>
    <w:rsid w:val="00A800FC"/>
    <w:rsid w:val="00A801C8"/>
    <w:rsid w:val="00A801CA"/>
    <w:rsid w:val="00A802F3"/>
    <w:rsid w:val="00A80323"/>
    <w:rsid w:val="00A80410"/>
    <w:rsid w:val="00A8050A"/>
    <w:rsid w:val="00A80608"/>
    <w:rsid w:val="00A806E4"/>
    <w:rsid w:val="00A80808"/>
    <w:rsid w:val="00A8084D"/>
    <w:rsid w:val="00A80A71"/>
    <w:rsid w:val="00A80A7A"/>
    <w:rsid w:val="00A80AA8"/>
    <w:rsid w:val="00A80B0B"/>
    <w:rsid w:val="00A80B14"/>
    <w:rsid w:val="00A80B32"/>
    <w:rsid w:val="00A80B45"/>
    <w:rsid w:val="00A80BA4"/>
    <w:rsid w:val="00A80C59"/>
    <w:rsid w:val="00A80C80"/>
    <w:rsid w:val="00A80D10"/>
    <w:rsid w:val="00A80DA6"/>
    <w:rsid w:val="00A80DE6"/>
    <w:rsid w:val="00A80EEA"/>
    <w:rsid w:val="00A81154"/>
    <w:rsid w:val="00A812E9"/>
    <w:rsid w:val="00A812EF"/>
    <w:rsid w:val="00A8133A"/>
    <w:rsid w:val="00A814FB"/>
    <w:rsid w:val="00A815D4"/>
    <w:rsid w:val="00A8165D"/>
    <w:rsid w:val="00A81713"/>
    <w:rsid w:val="00A8197C"/>
    <w:rsid w:val="00A819A4"/>
    <w:rsid w:val="00A819D9"/>
    <w:rsid w:val="00A81A0E"/>
    <w:rsid w:val="00A81A2D"/>
    <w:rsid w:val="00A81AC2"/>
    <w:rsid w:val="00A81B5F"/>
    <w:rsid w:val="00A81C23"/>
    <w:rsid w:val="00A81D4A"/>
    <w:rsid w:val="00A81D93"/>
    <w:rsid w:val="00A81E3D"/>
    <w:rsid w:val="00A81E44"/>
    <w:rsid w:val="00A81E8D"/>
    <w:rsid w:val="00A81F45"/>
    <w:rsid w:val="00A81F60"/>
    <w:rsid w:val="00A8209D"/>
    <w:rsid w:val="00A820C6"/>
    <w:rsid w:val="00A8213A"/>
    <w:rsid w:val="00A82166"/>
    <w:rsid w:val="00A823A6"/>
    <w:rsid w:val="00A8251A"/>
    <w:rsid w:val="00A82716"/>
    <w:rsid w:val="00A82755"/>
    <w:rsid w:val="00A8282A"/>
    <w:rsid w:val="00A8282E"/>
    <w:rsid w:val="00A828D8"/>
    <w:rsid w:val="00A8295D"/>
    <w:rsid w:val="00A829B8"/>
    <w:rsid w:val="00A829D3"/>
    <w:rsid w:val="00A82A00"/>
    <w:rsid w:val="00A82A3D"/>
    <w:rsid w:val="00A82CC6"/>
    <w:rsid w:val="00A82DEF"/>
    <w:rsid w:val="00A82FF4"/>
    <w:rsid w:val="00A830E3"/>
    <w:rsid w:val="00A833A8"/>
    <w:rsid w:val="00A834B0"/>
    <w:rsid w:val="00A83540"/>
    <w:rsid w:val="00A83585"/>
    <w:rsid w:val="00A836B0"/>
    <w:rsid w:val="00A83724"/>
    <w:rsid w:val="00A8379C"/>
    <w:rsid w:val="00A8383F"/>
    <w:rsid w:val="00A83890"/>
    <w:rsid w:val="00A839D5"/>
    <w:rsid w:val="00A83A32"/>
    <w:rsid w:val="00A83B04"/>
    <w:rsid w:val="00A83B2A"/>
    <w:rsid w:val="00A83B88"/>
    <w:rsid w:val="00A83C02"/>
    <w:rsid w:val="00A83C4C"/>
    <w:rsid w:val="00A83D44"/>
    <w:rsid w:val="00A83DBC"/>
    <w:rsid w:val="00A83E1C"/>
    <w:rsid w:val="00A83F40"/>
    <w:rsid w:val="00A84001"/>
    <w:rsid w:val="00A84118"/>
    <w:rsid w:val="00A84124"/>
    <w:rsid w:val="00A8414D"/>
    <w:rsid w:val="00A842AF"/>
    <w:rsid w:val="00A8431F"/>
    <w:rsid w:val="00A84406"/>
    <w:rsid w:val="00A84443"/>
    <w:rsid w:val="00A84461"/>
    <w:rsid w:val="00A844E6"/>
    <w:rsid w:val="00A84546"/>
    <w:rsid w:val="00A84648"/>
    <w:rsid w:val="00A84662"/>
    <w:rsid w:val="00A84682"/>
    <w:rsid w:val="00A84754"/>
    <w:rsid w:val="00A84790"/>
    <w:rsid w:val="00A847BF"/>
    <w:rsid w:val="00A849B4"/>
    <w:rsid w:val="00A84AAC"/>
    <w:rsid w:val="00A84B38"/>
    <w:rsid w:val="00A84BBC"/>
    <w:rsid w:val="00A84C55"/>
    <w:rsid w:val="00A84CD2"/>
    <w:rsid w:val="00A84E63"/>
    <w:rsid w:val="00A84EE7"/>
    <w:rsid w:val="00A85215"/>
    <w:rsid w:val="00A85231"/>
    <w:rsid w:val="00A852FD"/>
    <w:rsid w:val="00A85327"/>
    <w:rsid w:val="00A85493"/>
    <w:rsid w:val="00A85640"/>
    <w:rsid w:val="00A85677"/>
    <w:rsid w:val="00A8568B"/>
    <w:rsid w:val="00A8571B"/>
    <w:rsid w:val="00A85735"/>
    <w:rsid w:val="00A85743"/>
    <w:rsid w:val="00A8576C"/>
    <w:rsid w:val="00A857AA"/>
    <w:rsid w:val="00A857B1"/>
    <w:rsid w:val="00A858A3"/>
    <w:rsid w:val="00A859BF"/>
    <w:rsid w:val="00A85B46"/>
    <w:rsid w:val="00A85BF2"/>
    <w:rsid w:val="00A85D54"/>
    <w:rsid w:val="00A85E67"/>
    <w:rsid w:val="00A85EF4"/>
    <w:rsid w:val="00A85F58"/>
    <w:rsid w:val="00A860B2"/>
    <w:rsid w:val="00A860F1"/>
    <w:rsid w:val="00A861AE"/>
    <w:rsid w:val="00A8627B"/>
    <w:rsid w:val="00A862BE"/>
    <w:rsid w:val="00A862EC"/>
    <w:rsid w:val="00A86377"/>
    <w:rsid w:val="00A8640B"/>
    <w:rsid w:val="00A86536"/>
    <w:rsid w:val="00A86597"/>
    <w:rsid w:val="00A865C1"/>
    <w:rsid w:val="00A86657"/>
    <w:rsid w:val="00A86752"/>
    <w:rsid w:val="00A86768"/>
    <w:rsid w:val="00A867C3"/>
    <w:rsid w:val="00A867DB"/>
    <w:rsid w:val="00A86938"/>
    <w:rsid w:val="00A869DD"/>
    <w:rsid w:val="00A86AFE"/>
    <w:rsid w:val="00A86B14"/>
    <w:rsid w:val="00A86B50"/>
    <w:rsid w:val="00A86DE9"/>
    <w:rsid w:val="00A86F11"/>
    <w:rsid w:val="00A86FF7"/>
    <w:rsid w:val="00A87057"/>
    <w:rsid w:val="00A8709D"/>
    <w:rsid w:val="00A871A6"/>
    <w:rsid w:val="00A87203"/>
    <w:rsid w:val="00A87243"/>
    <w:rsid w:val="00A87277"/>
    <w:rsid w:val="00A875B8"/>
    <w:rsid w:val="00A877AD"/>
    <w:rsid w:val="00A87883"/>
    <w:rsid w:val="00A878E9"/>
    <w:rsid w:val="00A879BC"/>
    <w:rsid w:val="00A87A40"/>
    <w:rsid w:val="00A87ACF"/>
    <w:rsid w:val="00A87B0E"/>
    <w:rsid w:val="00A87B83"/>
    <w:rsid w:val="00A87C21"/>
    <w:rsid w:val="00A87C2A"/>
    <w:rsid w:val="00A87D4F"/>
    <w:rsid w:val="00A87D65"/>
    <w:rsid w:val="00A87DCA"/>
    <w:rsid w:val="00A87DE3"/>
    <w:rsid w:val="00A87E7A"/>
    <w:rsid w:val="00A87F9A"/>
    <w:rsid w:val="00A90016"/>
    <w:rsid w:val="00A9020F"/>
    <w:rsid w:val="00A90223"/>
    <w:rsid w:val="00A9027A"/>
    <w:rsid w:val="00A903C2"/>
    <w:rsid w:val="00A904C2"/>
    <w:rsid w:val="00A9052D"/>
    <w:rsid w:val="00A905A2"/>
    <w:rsid w:val="00A90639"/>
    <w:rsid w:val="00A906E5"/>
    <w:rsid w:val="00A90868"/>
    <w:rsid w:val="00A90912"/>
    <w:rsid w:val="00A90919"/>
    <w:rsid w:val="00A90B63"/>
    <w:rsid w:val="00A90CD0"/>
    <w:rsid w:val="00A90DB9"/>
    <w:rsid w:val="00A90DD1"/>
    <w:rsid w:val="00A90DDA"/>
    <w:rsid w:val="00A90E1F"/>
    <w:rsid w:val="00A90E6F"/>
    <w:rsid w:val="00A90E86"/>
    <w:rsid w:val="00A90F4D"/>
    <w:rsid w:val="00A90FC0"/>
    <w:rsid w:val="00A91012"/>
    <w:rsid w:val="00A9116F"/>
    <w:rsid w:val="00A9131C"/>
    <w:rsid w:val="00A91352"/>
    <w:rsid w:val="00A913E7"/>
    <w:rsid w:val="00A91490"/>
    <w:rsid w:val="00A9158C"/>
    <w:rsid w:val="00A9166D"/>
    <w:rsid w:val="00A91961"/>
    <w:rsid w:val="00A91BC8"/>
    <w:rsid w:val="00A91C2F"/>
    <w:rsid w:val="00A91C89"/>
    <w:rsid w:val="00A91D14"/>
    <w:rsid w:val="00A91D2F"/>
    <w:rsid w:val="00A91DA3"/>
    <w:rsid w:val="00A91E61"/>
    <w:rsid w:val="00A91ED5"/>
    <w:rsid w:val="00A91FA2"/>
    <w:rsid w:val="00A91FED"/>
    <w:rsid w:val="00A92043"/>
    <w:rsid w:val="00A920E7"/>
    <w:rsid w:val="00A92119"/>
    <w:rsid w:val="00A92313"/>
    <w:rsid w:val="00A92320"/>
    <w:rsid w:val="00A92380"/>
    <w:rsid w:val="00A9238A"/>
    <w:rsid w:val="00A9239F"/>
    <w:rsid w:val="00A924E0"/>
    <w:rsid w:val="00A92637"/>
    <w:rsid w:val="00A926B1"/>
    <w:rsid w:val="00A926E9"/>
    <w:rsid w:val="00A927E8"/>
    <w:rsid w:val="00A92866"/>
    <w:rsid w:val="00A9290A"/>
    <w:rsid w:val="00A92AA4"/>
    <w:rsid w:val="00A92B39"/>
    <w:rsid w:val="00A92BAC"/>
    <w:rsid w:val="00A92D0F"/>
    <w:rsid w:val="00A92D36"/>
    <w:rsid w:val="00A92D3D"/>
    <w:rsid w:val="00A92D40"/>
    <w:rsid w:val="00A92D85"/>
    <w:rsid w:val="00A92E4D"/>
    <w:rsid w:val="00A92F2D"/>
    <w:rsid w:val="00A92F51"/>
    <w:rsid w:val="00A9317B"/>
    <w:rsid w:val="00A933C8"/>
    <w:rsid w:val="00A93440"/>
    <w:rsid w:val="00A935A9"/>
    <w:rsid w:val="00A935DF"/>
    <w:rsid w:val="00A937FB"/>
    <w:rsid w:val="00A9382C"/>
    <w:rsid w:val="00A938FA"/>
    <w:rsid w:val="00A9394C"/>
    <w:rsid w:val="00A939B9"/>
    <w:rsid w:val="00A93ADC"/>
    <w:rsid w:val="00A93B50"/>
    <w:rsid w:val="00A93BDC"/>
    <w:rsid w:val="00A93C1F"/>
    <w:rsid w:val="00A93D1C"/>
    <w:rsid w:val="00A93E61"/>
    <w:rsid w:val="00A93F84"/>
    <w:rsid w:val="00A93F94"/>
    <w:rsid w:val="00A93FF4"/>
    <w:rsid w:val="00A9407C"/>
    <w:rsid w:val="00A9414D"/>
    <w:rsid w:val="00A94160"/>
    <w:rsid w:val="00A94198"/>
    <w:rsid w:val="00A941FD"/>
    <w:rsid w:val="00A94423"/>
    <w:rsid w:val="00A9447F"/>
    <w:rsid w:val="00A944E5"/>
    <w:rsid w:val="00A94569"/>
    <w:rsid w:val="00A945BE"/>
    <w:rsid w:val="00A94604"/>
    <w:rsid w:val="00A94738"/>
    <w:rsid w:val="00A947BB"/>
    <w:rsid w:val="00A9498A"/>
    <w:rsid w:val="00A949A5"/>
    <w:rsid w:val="00A949B5"/>
    <w:rsid w:val="00A94A14"/>
    <w:rsid w:val="00A94A47"/>
    <w:rsid w:val="00A94AA9"/>
    <w:rsid w:val="00A94BC0"/>
    <w:rsid w:val="00A94BD9"/>
    <w:rsid w:val="00A94D1F"/>
    <w:rsid w:val="00A94D30"/>
    <w:rsid w:val="00A94D52"/>
    <w:rsid w:val="00A94D7E"/>
    <w:rsid w:val="00A94DAC"/>
    <w:rsid w:val="00A94DE6"/>
    <w:rsid w:val="00A94E4A"/>
    <w:rsid w:val="00A94E94"/>
    <w:rsid w:val="00A94F1C"/>
    <w:rsid w:val="00A94F4B"/>
    <w:rsid w:val="00A94F78"/>
    <w:rsid w:val="00A95126"/>
    <w:rsid w:val="00A95364"/>
    <w:rsid w:val="00A9540B"/>
    <w:rsid w:val="00A95483"/>
    <w:rsid w:val="00A954F9"/>
    <w:rsid w:val="00A95595"/>
    <w:rsid w:val="00A955FC"/>
    <w:rsid w:val="00A95718"/>
    <w:rsid w:val="00A95752"/>
    <w:rsid w:val="00A95B5D"/>
    <w:rsid w:val="00A95B66"/>
    <w:rsid w:val="00A95B98"/>
    <w:rsid w:val="00A95CBD"/>
    <w:rsid w:val="00A95DA5"/>
    <w:rsid w:val="00A95DBB"/>
    <w:rsid w:val="00A95DC3"/>
    <w:rsid w:val="00A95E36"/>
    <w:rsid w:val="00A95E49"/>
    <w:rsid w:val="00A95E4F"/>
    <w:rsid w:val="00A95ECE"/>
    <w:rsid w:val="00A95F8E"/>
    <w:rsid w:val="00A96084"/>
    <w:rsid w:val="00A960BB"/>
    <w:rsid w:val="00A96342"/>
    <w:rsid w:val="00A963BD"/>
    <w:rsid w:val="00A963DD"/>
    <w:rsid w:val="00A96495"/>
    <w:rsid w:val="00A96516"/>
    <w:rsid w:val="00A965FD"/>
    <w:rsid w:val="00A966C2"/>
    <w:rsid w:val="00A9675D"/>
    <w:rsid w:val="00A967B3"/>
    <w:rsid w:val="00A967C3"/>
    <w:rsid w:val="00A968CD"/>
    <w:rsid w:val="00A968EE"/>
    <w:rsid w:val="00A969DB"/>
    <w:rsid w:val="00A96A1B"/>
    <w:rsid w:val="00A96AF8"/>
    <w:rsid w:val="00A96D16"/>
    <w:rsid w:val="00A96D61"/>
    <w:rsid w:val="00A96F1F"/>
    <w:rsid w:val="00A96F6B"/>
    <w:rsid w:val="00A97081"/>
    <w:rsid w:val="00A970A2"/>
    <w:rsid w:val="00A9715B"/>
    <w:rsid w:val="00A9717A"/>
    <w:rsid w:val="00A9718E"/>
    <w:rsid w:val="00A9722B"/>
    <w:rsid w:val="00A974E5"/>
    <w:rsid w:val="00A9765D"/>
    <w:rsid w:val="00A976B2"/>
    <w:rsid w:val="00A976E3"/>
    <w:rsid w:val="00A9773A"/>
    <w:rsid w:val="00A97745"/>
    <w:rsid w:val="00A977F6"/>
    <w:rsid w:val="00A97854"/>
    <w:rsid w:val="00A97918"/>
    <w:rsid w:val="00A97A77"/>
    <w:rsid w:val="00A97B05"/>
    <w:rsid w:val="00A97B26"/>
    <w:rsid w:val="00A97CC4"/>
    <w:rsid w:val="00A97DB4"/>
    <w:rsid w:val="00A97EFB"/>
    <w:rsid w:val="00A97FA4"/>
    <w:rsid w:val="00AA0070"/>
    <w:rsid w:val="00AA009A"/>
    <w:rsid w:val="00AA00D9"/>
    <w:rsid w:val="00AA0264"/>
    <w:rsid w:val="00AA0377"/>
    <w:rsid w:val="00AA04E8"/>
    <w:rsid w:val="00AA0521"/>
    <w:rsid w:val="00AA05CD"/>
    <w:rsid w:val="00AA063C"/>
    <w:rsid w:val="00AA069F"/>
    <w:rsid w:val="00AA07EA"/>
    <w:rsid w:val="00AA0956"/>
    <w:rsid w:val="00AA09B0"/>
    <w:rsid w:val="00AA0B26"/>
    <w:rsid w:val="00AA0CCB"/>
    <w:rsid w:val="00AA0EE5"/>
    <w:rsid w:val="00AA0F3D"/>
    <w:rsid w:val="00AA11B5"/>
    <w:rsid w:val="00AA1205"/>
    <w:rsid w:val="00AA128C"/>
    <w:rsid w:val="00AA12B4"/>
    <w:rsid w:val="00AA148D"/>
    <w:rsid w:val="00AA1607"/>
    <w:rsid w:val="00AA1734"/>
    <w:rsid w:val="00AA17A9"/>
    <w:rsid w:val="00AA1808"/>
    <w:rsid w:val="00AA1888"/>
    <w:rsid w:val="00AA18DA"/>
    <w:rsid w:val="00AA1919"/>
    <w:rsid w:val="00AA1953"/>
    <w:rsid w:val="00AA19CE"/>
    <w:rsid w:val="00AA19E0"/>
    <w:rsid w:val="00AA1AA3"/>
    <w:rsid w:val="00AA1C7C"/>
    <w:rsid w:val="00AA1C95"/>
    <w:rsid w:val="00AA1CDC"/>
    <w:rsid w:val="00AA1DE6"/>
    <w:rsid w:val="00AA1E17"/>
    <w:rsid w:val="00AA1E4C"/>
    <w:rsid w:val="00AA1EA8"/>
    <w:rsid w:val="00AA1FD1"/>
    <w:rsid w:val="00AA21FF"/>
    <w:rsid w:val="00AA2240"/>
    <w:rsid w:val="00AA22BD"/>
    <w:rsid w:val="00AA230D"/>
    <w:rsid w:val="00AA249A"/>
    <w:rsid w:val="00AA251B"/>
    <w:rsid w:val="00AA25B2"/>
    <w:rsid w:val="00AA2753"/>
    <w:rsid w:val="00AA27A8"/>
    <w:rsid w:val="00AA27D5"/>
    <w:rsid w:val="00AA27E6"/>
    <w:rsid w:val="00AA29A4"/>
    <w:rsid w:val="00AA29CF"/>
    <w:rsid w:val="00AA29DE"/>
    <w:rsid w:val="00AA2A53"/>
    <w:rsid w:val="00AA2ABA"/>
    <w:rsid w:val="00AA2B78"/>
    <w:rsid w:val="00AA2BEA"/>
    <w:rsid w:val="00AA2C03"/>
    <w:rsid w:val="00AA2D35"/>
    <w:rsid w:val="00AA2EB5"/>
    <w:rsid w:val="00AA2F3C"/>
    <w:rsid w:val="00AA2FE2"/>
    <w:rsid w:val="00AA3129"/>
    <w:rsid w:val="00AA3175"/>
    <w:rsid w:val="00AA31F3"/>
    <w:rsid w:val="00AA31F5"/>
    <w:rsid w:val="00AA31FD"/>
    <w:rsid w:val="00AA32C4"/>
    <w:rsid w:val="00AA32D5"/>
    <w:rsid w:val="00AA330E"/>
    <w:rsid w:val="00AA3317"/>
    <w:rsid w:val="00AA333A"/>
    <w:rsid w:val="00AA34AC"/>
    <w:rsid w:val="00AA358B"/>
    <w:rsid w:val="00AA35F8"/>
    <w:rsid w:val="00AA361C"/>
    <w:rsid w:val="00AA3665"/>
    <w:rsid w:val="00AA36B7"/>
    <w:rsid w:val="00AA36D2"/>
    <w:rsid w:val="00AA36E6"/>
    <w:rsid w:val="00AA37BA"/>
    <w:rsid w:val="00AA38BF"/>
    <w:rsid w:val="00AA3913"/>
    <w:rsid w:val="00AA397A"/>
    <w:rsid w:val="00AA3BB5"/>
    <w:rsid w:val="00AA3C57"/>
    <w:rsid w:val="00AA3D0B"/>
    <w:rsid w:val="00AA3D21"/>
    <w:rsid w:val="00AA3E0B"/>
    <w:rsid w:val="00AA3E76"/>
    <w:rsid w:val="00AA4060"/>
    <w:rsid w:val="00AA4184"/>
    <w:rsid w:val="00AA4286"/>
    <w:rsid w:val="00AA438B"/>
    <w:rsid w:val="00AA4397"/>
    <w:rsid w:val="00AA43A8"/>
    <w:rsid w:val="00AA44AE"/>
    <w:rsid w:val="00AA44C2"/>
    <w:rsid w:val="00AA4501"/>
    <w:rsid w:val="00AA459D"/>
    <w:rsid w:val="00AA45AB"/>
    <w:rsid w:val="00AA45AF"/>
    <w:rsid w:val="00AA4646"/>
    <w:rsid w:val="00AA4656"/>
    <w:rsid w:val="00AA484A"/>
    <w:rsid w:val="00AA4853"/>
    <w:rsid w:val="00AA4912"/>
    <w:rsid w:val="00AA4A0F"/>
    <w:rsid w:val="00AA4A48"/>
    <w:rsid w:val="00AA4DBE"/>
    <w:rsid w:val="00AA4F56"/>
    <w:rsid w:val="00AA4F68"/>
    <w:rsid w:val="00AA4F6C"/>
    <w:rsid w:val="00AA5040"/>
    <w:rsid w:val="00AA52EF"/>
    <w:rsid w:val="00AA5532"/>
    <w:rsid w:val="00AA587E"/>
    <w:rsid w:val="00AA5896"/>
    <w:rsid w:val="00AA5927"/>
    <w:rsid w:val="00AA5A32"/>
    <w:rsid w:val="00AA5D23"/>
    <w:rsid w:val="00AA5DA3"/>
    <w:rsid w:val="00AA5DC7"/>
    <w:rsid w:val="00AA5EC0"/>
    <w:rsid w:val="00AA5FCC"/>
    <w:rsid w:val="00AA6015"/>
    <w:rsid w:val="00AA6272"/>
    <w:rsid w:val="00AA629B"/>
    <w:rsid w:val="00AA633E"/>
    <w:rsid w:val="00AA63D2"/>
    <w:rsid w:val="00AA6485"/>
    <w:rsid w:val="00AA6517"/>
    <w:rsid w:val="00AA65F8"/>
    <w:rsid w:val="00AA6700"/>
    <w:rsid w:val="00AA687B"/>
    <w:rsid w:val="00AA689C"/>
    <w:rsid w:val="00AA68E1"/>
    <w:rsid w:val="00AA6B0F"/>
    <w:rsid w:val="00AA6C53"/>
    <w:rsid w:val="00AA6CED"/>
    <w:rsid w:val="00AA6D40"/>
    <w:rsid w:val="00AA6E10"/>
    <w:rsid w:val="00AA6E80"/>
    <w:rsid w:val="00AA6EEA"/>
    <w:rsid w:val="00AA7097"/>
    <w:rsid w:val="00AA7110"/>
    <w:rsid w:val="00AA7320"/>
    <w:rsid w:val="00AA7495"/>
    <w:rsid w:val="00AA754E"/>
    <w:rsid w:val="00AA7662"/>
    <w:rsid w:val="00AA7667"/>
    <w:rsid w:val="00AA76AB"/>
    <w:rsid w:val="00AA76CA"/>
    <w:rsid w:val="00AA775A"/>
    <w:rsid w:val="00AA77F5"/>
    <w:rsid w:val="00AA7817"/>
    <w:rsid w:val="00AA78A0"/>
    <w:rsid w:val="00AA7953"/>
    <w:rsid w:val="00AA7A03"/>
    <w:rsid w:val="00AA7B35"/>
    <w:rsid w:val="00AA7BE4"/>
    <w:rsid w:val="00AA7D8D"/>
    <w:rsid w:val="00AA7F93"/>
    <w:rsid w:val="00AA7FA7"/>
    <w:rsid w:val="00AB0012"/>
    <w:rsid w:val="00AB022B"/>
    <w:rsid w:val="00AB02D6"/>
    <w:rsid w:val="00AB02D8"/>
    <w:rsid w:val="00AB03FD"/>
    <w:rsid w:val="00AB0427"/>
    <w:rsid w:val="00AB04A7"/>
    <w:rsid w:val="00AB04D9"/>
    <w:rsid w:val="00AB04EA"/>
    <w:rsid w:val="00AB04F7"/>
    <w:rsid w:val="00AB06A3"/>
    <w:rsid w:val="00AB0826"/>
    <w:rsid w:val="00AB0888"/>
    <w:rsid w:val="00AB0B59"/>
    <w:rsid w:val="00AB0D27"/>
    <w:rsid w:val="00AB0F24"/>
    <w:rsid w:val="00AB0FBF"/>
    <w:rsid w:val="00AB10F8"/>
    <w:rsid w:val="00AB1232"/>
    <w:rsid w:val="00AB1340"/>
    <w:rsid w:val="00AB16BB"/>
    <w:rsid w:val="00AB174D"/>
    <w:rsid w:val="00AB17CE"/>
    <w:rsid w:val="00AB1825"/>
    <w:rsid w:val="00AB1868"/>
    <w:rsid w:val="00AB19E2"/>
    <w:rsid w:val="00AB1A2E"/>
    <w:rsid w:val="00AB1A40"/>
    <w:rsid w:val="00AB1AD4"/>
    <w:rsid w:val="00AB1B03"/>
    <w:rsid w:val="00AB1BA6"/>
    <w:rsid w:val="00AB1BE4"/>
    <w:rsid w:val="00AB1C5C"/>
    <w:rsid w:val="00AB1CB5"/>
    <w:rsid w:val="00AB1E43"/>
    <w:rsid w:val="00AB204B"/>
    <w:rsid w:val="00AB216C"/>
    <w:rsid w:val="00AB21B1"/>
    <w:rsid w:val="00AB232A"/>
    <w:rsid w:val="00AB2461"/>
    <w:rsid w:val="00AB2465"/>
    <w:rsid w:val="00AB24E2"/>
    <w:rsid w:val="00AB25F8"/>
    <w:rsid w:val="00AB2753"/>
    <w:rsid w:val="00AB2755"/>
    <w:rsid w:val="00AB27FE"/>
    <w:rsid w:val="00AB2866"/>
    <w:rsid w:val="00AB292B"/>
    <w:rsid w:val="00AB2940"/>
    <w:rsid w:val="00AB2CF0"/>
    <w:rsid w:val="00AB2D05"/>
    <w:rsid w:val="00AB2D1C"/>
    <w:rsid w:val="00AB2D2F"/>
    <w:rsid w:val="00AB2F33"/>
    <w:rsid w:val="00AB306D"/>
    <w:rsid w:val="00AB306E"/>
    <w:rsid w:val="00AB311E"/>
    <w:rsid w:val="00AB32F5"/>
    <w:rsid w:val="00AB3312"/>
    <w:rsid w:val="00AB3465"/>
    <w:rsid w:val="00AB347F"/>
    <w:rsid w:val="00AB3496"/>
    <w:rsid w:val="00AB35A0"/>
    <w:rsid w:val="00AB35CB"/>
    <w:rsid w:val="00AB35EA"/>
    <w:rsid w:val="00AB35F7"/>
    <w:rsid w:val="00AB3613"/>
    <w:rsid w:val="00AB365C"/>
    <w:rsid w:val="00AB369D"/>
    <w:rsid w:val="00AB36AA"/>
    <w:rsid w:val="00AB36C5"/>
    <w:rsid w:val="00AB37E5"/>
    <w:rsid w:val="00AB3814"/>
    <w:rsid w:val="00AB38B2"/>
    <w:rsid w:val="00AB38E7"/>
    <w:rsid w:val="00AB3930"/>
    <w:rsid w:val="00AB3999"/>
    <w:rsid w:val="00AB39EE"/>
    <w:rsid w:val="00AB3A1A"/>
    <w:rsid w:val="00AB3A2F"/>
    <w:rsid w:val="00AB3B54"/>
    <w:rsid w:val="00AB3B64"/>
    <w:rsid w:val="00AB3BB1"/>
    <w:rsid w:val="00AB3BF9"/>
    <w:rsid w:val="00AB3BFC"/>
    <w:rsid w:val="00AB3C66"/>
    <w:rsid w:val="00AB3D52"/>
    <w:rsid w:val="00AB3DDA"/>
    <w:rsid w:val="00AB3E44"/>
    <w:rsid w:val="00AB3F1C"/>
    <w:rsid w:val="00AB3F43"/>
    <w:rsid w:val="00AB40BD"/>
    <w:rsid w:val="00AB417D"/>
    <w:rsid w:val="00AB41B8"/>
    <w:rsid w:val="00AB41D5"/>
    <w:rsid w:val="00AB428F"/>
    <w:rsid w:val="00AB42C5"/>
    <w:rsid w:val="00AB437F"/>
    <w:rsid w:val="00AB45FE"/>
    <w:rsid w:val="00AB4688"/>
    <w:rsid w:val="00AB46DF"/>
    <w:rsid w:val="00AB4890"/>
    <w:rsid w:val="00AB49A6"/>
    <w:rsid w:val="00AB4A28"/>
    <w:rsid w:val="00AB4A2F"/>
    <w:rsid w:val="00AB4AC8"/>
    <w:rsid w:val="00AB4B1B"/>
    <w:rsid w:val="00AB4C61"/>
    <w:rsid w:val="00AB4F11"/>
    <w:rsid w:val="00AB506A"/>
    <w:rsid w:val="00AB5190"/>
    <w:rsid w:val="00AB5201"/>
    <w:rsid w:val="00AB555C"/>
    <w:rsid w:val="00AB5736"/>
    <w:rsid w:val="00AB5738"/>
    <w:rsid w:val="00AB57BB"/>
    <w:rsid w:val="00AB596C"/>
    <w:rsid w:val="00AB5990"/>
    <w:rsid w:val="00AB5C73"/>
    <w:rsid w:val="00AB5CC7"/>
    <w:rsid w:val="00AB5E97"/>
    <w:rsid w:val="00AB5EBC"/>
    <w:rsid w:val="00AB5EC0"/>
    <w:rsid w:val="00AB5EF2"/>
    <w:rsid w:val="00AB5F89"/>
    <w:rsid w:val="00AB5F8C"/>
    <w:rsid w:val="00AB61AC"/>
    <w:rsid w:val="00AB61DB"/>
    <w:rsid w:val="00AB61EE"/>
    <w:rsid w:val="00AB62F7"/>
    <w:rsid w:val="00AB64CD"/>
    <w:rsid w:val="00AB669E"/>
    <w:rsid w:val="00AB66D3"/>
    <w:rsid w:val="00AB6759"/>
    <w:rsid w:val="00AB67A6"/>
    <w:rsid w:val="00AB67F6"/>
    <w:rsid w:val="00AB68AC"/>
    <w:rsid w:val="00AB68F6"/>
    <w:rsid w:val="00AB6A18"/>
    <w:rsid w:val="00AB6BE4"/>
    <w:rsid w:val="00AB6C7F"/>
    <w:rsid w:val="00AB6E84"/>
    <w:rsid w:val="00AB6F9A"/>
    <w:rsid w:val="00AB6FD7"/>
    <w:rsid w:val="00AB7122"/>
    <w:rsid w:val="00AB719C"/>
    <w:rsid w:val="00AB7303"/>
    <w:rsid w:val="00AB739E"/>
    <w:rsid w:val="00AB7436"/>
    <w:rsid w:val="00AB747F"/>
    <w:rsid w:val="00AB75E2"/>
    <w:rsid w:val="00AB78D2"/>
    <w:rsid w:val="00AB7A27"/>
    <w:rsid w:val="00AB7A96"/>
    <w:rsid w:val="00AB7ADC"/>
    <w:rsid w:val="00AB7B36"/>
    <w:rsid w:val="00AB7C0E"/>
    <w:rsid w:val="00AB7C56"/>
    <w:rsid w:val="00AB7E3E"/>
    <w:rsid w:val="00AB7EE5"/>
    <w:rsid w:val="00AB7FAC"/>
    <w:rsid w:val="00AC010D"/>
    <w:rsid w:val="00AC0139"/>
    <w:rsid w:val="00AC01AD"/>
    <w:rsid w:val="00AC01B7"/>
    <w:rsid w:val="00AC0266"/>
    <w:rsid w:val="00AC027C"/>
    <w:rsid w:val="00AC0388"/>
    <w:rsid w:val="00AC04D4"/>
    <w:rsid w:val="00AC05BE"/>
    <w:rsid w:val="00AC08D9"/>
    <w:rsid w:val="00AC0934"/>
    <w:rsid w:val="00AC0949"/>
    <w:rsid w:val="00AC095E"/>
    <w:rsid w:val="00AC0C08"/>
    <w:rsid w:val="00AC0C67"/>
    <w:rsid w:val="00AC0C72"/>
    <w:rsid w:val="00AC0CAC"/>
    <w:rsid w:val="00AC0D44"/>
    <w:rsid w:val="00AC0D82"/>
    <w:rsid w:val="00AC0D8A"/>
    <w:rsid w:val="00AC0D8F"/>
    <w:rsid w:val="00AC0E40"/>
    <w:rsid w:val="00AC0EFC"/>
    <w:rsid w:val="00AC0F0A"/>
    <w:rsid w:val="00AC0F89"/>
    <w:rsid w:val="00AC1086"/>
    <w:rsid w:val="00AC10A2"/>
    <w:rsid w:val="00AC11D4"/>
    <w:rsid w:val="00AC1230"/>
    <w:rsid w:val="00AC1256"/>
    <w:rsid w:val="00AC13A1"/>
    <w:rsid w:val="00AC1496"/>
    <w:rsid w:val="00AC14DC"/>
    <w:rsid w:val="00AC1520"/>
    <w:rsid w:val="00AC1555"/>
    <w:rsid w:val="00AC16BD"/>
    <w:rsid w:val="00AC17A0"/>
    <w:rsid w:val="00AC1808"/>
    <w:rsid w:val="00AC1865"/>
    <w:rsid w:val="00AC189C"/>
    <w:rsid w:val="00AC18DA"/>
    <w:rsid w:val="00AC193A"/>
    <w:rsid w:val="00AC1958"/>
    <w:rsid w:val="00AC1A0B"/>
    <w:rsid w:val="00AC1A61"/>
    <w:rsid w:val="00AC1ACC"/>
    <w:rsid w:val="00AC1AEB"/>
    <w:rsid w:val="00AC1B61"/>
    <w:rsid w:val="00AC1D14"/>
    <w:rsid w:val="00AC1D4C"/>
    <w:rsid w:val="00AC1D83"/>
    <w:rsid w:val="00AC1DD2"/>
    <w:rsid w:val="00AC1E75"/>
    <w:rsid w:val="00AC1EBF"/>
    <w:rsid w:val="00AC2105"/>
    <w:rsid w:val="00AC2236"/>
    <w:rsid w:val="00AC227C"/>
    <w:rsid w:val="00AC2444"/>
    <w:rsid w:val="00AC245F"/>
    <w:rsid w:val="00AC256F"/>
    <w:rsid w:val="00AC267B"/>
    <w:rsid w:val="00AC27FE"/>
    <w:rsid w:val="00AC287E"/>
    <w:rsid w:val="00AC28D5"/>
    <w:rsid w:val="00AC2990"/>
    <w:rsid w:val="00AC29C7"/>
    <w:rsid w:val="00AC2B31"/>
    <w:rsid w:val="00AC2BC5"/>
    <w:rsid w:val="00AC2D35"/>
    <w:rsid w:val="00AC2D9C"/>
    <w:rsid w:val="00AC30AD"/>
    <w:rsid w:val="00AC31FF"/>
    <w:rsid w:val="00AC32D6"/>
    <w:rsid w:val="00AC336A"/>
    <w:rsid w:val="00AC35E5"/>
    <w:rsid w:val="00AC38DD"/>
    <w:rsid w:val="00AC3A11"/>
    <w:rsid w:val="00AC3AFB"/>
    <w:rsid w:val="00AC3C0D"/>
    <w:rsid w:val="00AC3C92"/>
    <w:rsid w:val="00AC3CD5"/>
    <w:rsid w:val="00AC3CE0"/>
    <w:rsid w:val="00AC3CF1"/>
    <w:rsid w:val="00AC3CF4"/>
    <w:rsid w:val="00AC3E66"/>
    <w:rsid w:val="00AC3ED6"/>
    <w:rsid w:val="00AC3F14"/>
    <w:rsid w:val="00AC3F2F"/>
    <w:rsid w:val="00AC405C"/>
    <w:rsid w:val="00AC4146"/>
    <w:rsid w:val="00AC41A2"/>
    <w:rsid w:val="00AC41A6"/>
    <w:rsid w:val="00AC41DC"/>
    <w:rsid w:val="00AC41F2"/>
    <w:rsid w:val="00AC4241"/>
    <w:rsid w:val="00AC4417"/>
    <w:rsid w:val="00AC4649"/>
    <w:rsid w:val="00AC46C3"/>
    <w:rsid w:val="00AC46EA"/>
    <w:rsid w:val="00AC4702"/>
    <w:rsid w:val="00AC4721"/>
    <w:rsid w:val="00AC47DF"/>
    <w:rsid w:val="00AC4900"/>
    <w:rsid w:val="00AC4959"/>
    <w:rsid w:val="00AC49FC"/>
    <w:rsid w:val="00AC4A40"/>
    <w:rsid w:val="00AC4A5B"/>
    <w:rsid w:val="00AC4BD6"/>
    <w:rsid w:val="00AC4C8C"/>
    <w:rsid w:val="00AC4D46"/>
    <w:rsid w:val="00AC4E22"/>
    <w:rsid w:val="00AC4E51"/>
    <w:rsid w:val="00AC4EE2"/>
    <w:rsid w:val="00AC4F79"/>
    <w:rsid w:val="00AC4F98"/>
    <w:rsid w:val="00AC5099"/>
    <w:rsid w:val="00AC50DF"/>
    <w:rsid w:val="00AC5155"/>
    <w:rsid w:val="00AC51B6"/>
    <w:rsid w:val="00AC5206"/>
    <w:rsid w:val="00AC527B"/>
    <w:rsid w:val="00AC52BD"/>
    <w:rsid w:val="00AC52CE"/>
    <w:rsid w:val="00AC5316"/>
    <w:rsid w:val="00AC5485"/>
    <w:rsid w:val="00AC5564"/>
    <w:rsid w:val="00AC56CE"/>
    <w:rsid w:val="00AC56FC"/>
    <w:rsid w:val="00AC5744"/>
    <w:rsid w:val="00AC58B7"/>
    <w:rsid w:val="00AC5924"/>
    <w:rsid w:val="00AC5A81"/>
    <w:rsid w:val="00AC5AB6"/>
    <w:rsid w:val="00AC5C0B"/>
    <w:rsid w:val="00AC5F9E"/>
    <w:rsid w:val="00AC612F"/>
    <w:rsid w:val="00AC6199"/>
    <w:rsid w:val="00AC6233"/>
    <w:rsid w:val="00AC62EB"/>
    <w:rsid w:val="00AC633C"/>
    <w:rsid w:val="00AC6371"/>
    <w:rsid w:val="00AC63EE"/>
    <w:rsid w:val="00AC646B"/>
    <w:rsid w:val="00AC646C"/>
    <w:rsid w:val="00AC646D"/>
    <w:rsid w:val="00AC6557"/>
    <w:rsid w:val="00AC6567"/>
    <w:rsid w:val="00AC6938"/>
    <w:rsid w:val="00AC695B"/>
    <w:rsid w:val="00AC6D2D"/>
    <w:rsid w:val="00AC6D49"/>
    <w:rsid w:val="00AC6D92"/>
    <w:rsid w:val="00AC6E0D"/>
    <w:rsid w:val="00AC709E"/>
    <w:rsid w:val="00AC70CD"/>
    <w:rsid w:val="00AC717D"/>
    <w:rsid w:val="00AC7226"/>
    <w:rsid w:val="00AC7277"/>
    <w:rsid w:val="00AC7334"/>
    <w:rsid w:val="00AC73B2"/>
    <w:rsid w:val="00AC7423"/>
    <w:rsid w:val="00AC74B5"/>
    <w:rsid w:val="00AC759F"/>
    <w:rsid w:val="00AC75C4"/>
    <w:rsid w:val="00AC76C9"/>
    <w:rsid w:val="00AC7773"/>
    <w:rsid w:val="00AC77F9"/>
    <w:rsid w:val="00AC78C4"/>
    <w:rsid w:val="00AC7A4E"/>
    <w:rsid w:val="00AC7C8D"/>
    <w:rsid w:val="00AC7CFA"/>
    <w:rsid w:val="00AC7E8E"/>
    <w:rsid w:val="00AC7F41"/>
    <w:rsid w:val="00AC7F81"/>
    <w:rsid w:val="00AD00A5"/>
    <w:rsid w:val="00AD00BA"/>
    <w:rsid w:val="00AD0116"/>
    <w:rsid w:val="00AD01E9"/>
    <w:rsid w:val="00AD023F"/>
    <w:rsid w:val="00AD03DC"/>
    <w:rsid w:val="00AD03FF"/>
    <w:rsid w:val="00AD04E3"/>
    <w:rsid w:val="00AD0515"/>
    <w:rsid w:val="00AD0576"/>
    <w:rsid w:val="00AD0703"/>
    <w:rsid w:val="00AD0760"/>
    <w:rsid w:val="00AD0848"/>
    <w:rsid w:val="00AD084A"/>
    <w:rsid w:val="00AD089B"/>
    <w:rsid w:val="00AD09E9"/>
    <w:rsid w:val="00AD0A10"/>
    <w:rsid w:val="00AD0B0B"/>
    <w:rsid w:val="00AD0B74"/>
    <w:rsid w:val="00AD0C4D"/>
    <w:rsid w:val="00AD0CBC"/>
    <w:rsid w:val="00AD0D36"/>
    <w:rsid w:val="00AD0DD2"/>
    <w:rsid w:val="00AD0E40"/>
    <w:rsid w:val="00AD0E42"/>
    <w:rsid w:val="00AD0E5C"/>
    <w:rsid w:val="00AD0F64"/>
    <w:rsid w:val="00AD1103"/>
    <w:rsid w:val="00AD1209"/>
    <w:rsid w:val="00AD1253"/>
    <w:rsid w:val="00AD1276"/>
    <w:rsid w:val="00AD12AE"/>
    <w:rsid w:val="00AD12B4"/>
    <w:rsid w:val="00AD132A"/>
    <w:rsid w:val="00AD13F4"/>
    <w:rsid w:val="00AD142A"/>
    <w:rsid w:val="00AD1431"/>
    <w:rsid w:val="00AD1530"/>
    <w:rsid w:val="00AD15A2"/>
    <w:rsid w:val="00AD15AA"/>
    <w:rsid w:val="00AD1646"/>
    <w:rsid w:val="00AD1984"/>
    <w:rsid w:val="00AD199C"/>
    <w:rsid w:val="00AD19D0"/>
    <w:rsid w:val="00AD1BAB"/>
    <w:rsid w:val="00AD1D41"/>
    <w:rsid w:val="00AD1D47"/>
    <w:rsid w:val="00AD1E1E"/>
    <w:rsid w:val="00AD1E4E"/>
    <w:rsid w:val="00AD1EC6"/>
    <w:rsid w:val="00AD20B7"/>
    <w:rsid w:val="00AD22E3"/>
    <w:rsid w:val="00AD23B4"/>
    <w:rsid w:val="00AD23B9"/>
    <w:rsid w:val="00AD2463"/>
    <w:rsid w:val="00AD24C2"/>
    <w:rsid w:val="00AD25D2"/>
    <w:rsid w:val="00AD262A"/>
    <w:rsid w:val="00AD264F"/>
    <w:rsid w:val="00AD2771"/>
    <w:rsid w:val="00AD27B4"/>
    <w:rsid w:val="00AD27C5"/>
    <w:rsid w:val="00AD2818"/>
    <w:rsid w:val="00AD28A9"/>
    <w:rsid w:val="00AD297F"/>
    <w:rsid w:val="00AD298F"/>
    <w:rsid w:val="00AD2B29"/>
    <w:rsid w:val="00AD2BB0"/>
    <w:rsid w:val="00AD2CED"/>
    <w:rsid w:val="00AD2D37"/>
    <w:rsid w:val="00AD2D53"/>
    <w:rsid w:val="00AD2D74"/>
    <w:rsid w:val="00AD2D75"/>
    <w:rsid w:val="00AD2D79"/>
    <w:rsid w:val="00AD3047"/>
    <w:rsid w:val="00AD30C9"/>
    <w:rsid w:val="00AD34B0"/>
    <w:rsid w:val="00AD356F"/>
    <w:rsid w:val="00AD35A1"/>
    <w:rsid w:val="00AD3669"/>
    <w:rsid w:val="00AD3721"/>
    <w:rsid w:val="00AD38B6"/>
    <w:rsid w:val="00AD3CDB"/>
    <w:rsid w:val="00AD3CFC"/>
    <w:rsid w:val="00AD3D42"/>
    <w:rsid w:val="00AD3F5B"/>
    <w:rsid w:val="00AD3FD1"/>
    <w:rsid w:val="00AD405D"/>
    <w:rsid w:val="00AD41A5"/>
    <w:rsid w:val="00AD427B"/>
    <w:rsid w:val="00AD42E7"/>
    <w:rsid w:val="00AD4305"/>
    <w:rsid w:val="00AD431D"/>
    <w:rsid w:val="00AD44AB"/>
    <w:rsid w:val="00AD47A0"/>
    <w:rsid w:val="00AD4841"/>
    <w:rsid w:val="00AD493E"/>
    <w:rsid w:val="00AD4997"/>
    <w:rsid w:val="00AD49DB"/>
    <w:rsid w:val="00AD4A24"/>
    <w:rsid w:val="00AD4BD0"/>
    <w:rsid w:val="00AD4BE1"/>
    <w:rsid w:val="00AD4C32"/>
    <w:rsid w:val="00AD4C6F"/>
    <w:rsid w:val="00AD4E05"/>
    <w:rsid w:val="00AD4E0C"/>
    <w:rsid w:val="00AD4ED2"/>
    <w:rsid w:val="00AD50D2"/>
    <w:rsid w:val="00AD5148"/>
    <w:rsid w:val="00AD5154"/>
    <w:rsid w:val="00AD528E"/>
    <w:rsid w:val="00AD5404"/>
    <w:rsid w:val="00AD550C"/>
    <w:rsid w:val="00AD5597"/>
    <w:rsid w:val="00AD568A"/>
    <w:rsid w:val="00AD56DE"/>
    <w:rsid w:val="00AD5763"/>
    <w:rsid w:val="00AD5874"/>
    <w:rsid w:val="00AD58BC"/>
    <w:rsid w:val="00AD5906"/>
    <w:rsid w:val="00AD59AC"/>
    <w:rsid w:val="00AD5AE0"/>
    <w:rsid w:val="00AD5B86"/>
    <w:rsid w:val="00AD5CF1"/>
    <w:rsid w:val="00AD5D64"/>
    <w:rsid w:val="00AD5D9C"/>
    <w:rsid w:val="00AD6076"/>
    <w:rsid w:val="00AD6149"/>
    <w:rsid w:val="00AD6171"/>
    <w:rsid w:val="00AD6215"/>
    <w:rsid w:val="00AD622B"/>
    <w:rsid w:val="00AD627C"/>
    <w:rsid w:val="00AD6315"/>
    <w:rsid w:val="00AD6547"/>
    <w:rsid w:val="00AD6651"/>
    <w:rsid w:val="00AD6926"/>
    <w:rsid w:val="00AD694B"/>
    <w:rsid w:val="00AD6995"/>
    <w:rsid w:val="00AD6CE6"/>
    <w:rsid w:val="00AD6DCA"/>
    <w:rsid w:val="00AD6E4C"/>
    <w:rsid w:val="00AD6EFA"/>
    <w:rsid w:val="00AD6F8E"/>
    <w:rsid w:val="00AD6F9F"/>
    <w:rsid w:val="00AD7107"/>
    <w:rsid w:val="00AD7337"/>
    <w:rsid w:val="00AD7386"/>
    <w:rsid w:val="00AD746C"/>
    <w:rsid w:val="00AD7493"/>
    <w:rsid w:val="00AD74FD"/>
    <w:rsid w:val="00AD7505"/>
    <w:rsid w:val="00AD75AF"/>
    <w:rsid w:val="00AD762C"/>
    <w:rsid w:val="00AD7780"/>
    <w:rsid w:val="00AD77F1"/>
    <w:rsid w:val="00AD784D"/>
    <w:rsid w:val="00AD78FE"/>
    <w:rsid w:val="00AD79F4"/>
    <w:rsid w:val="00AD7A15"/>
    <w:rsid w:val="00AD7A22"/>
    <w:rsid w:val="00AD7ADA"/>
    <w:rsid w:val="00AD7B00"/>
    <w:rsid w:val="00AD7B14"/>
    <w:rsid w:val="00AD7BFF"/>
    <w:rsid w:val="00AD7C52"/>
    <w:rsid w:val="00AE047B"/>
    <w:rsid w:val="00AE04E9"/>
    <w:rsid w:val="00AE055F"/>
    <w:rsid w:val="00AE0625"/>
    <w:rsid w:val="00AE071C"/>
    <w:rsid w:val="00AE07B6"/>
    <w:rsid w:val="00AE085C"/>
    <w:rsid w:val="00AE0870"/>
    <w:rsid w:val="00AE0942"/>
    <w:rsid w:val="00AE0B3F"/>
    <w:rsid w:val="00AE0B61"/>
    <w:rsid w:val="00AE0B7F"/>
    <w:rsid w:val="00AE0B92"/>
    <w:rsid w:val="00AE0C32"/>
    <w:rsid w:val="00AE0C7B"/>
    <w:rsid w:val="00AE0CCC"/>
    <w:rsid w:val="00AE0DA3"/>
    <w:rsid w:val="00AE0E14"/>
    <w:rsid w:val="00AE0E26"/>
    <w:rsid w:val="00AE0FBC"/>
    <w:rsid w:val="00AE100D"/>
    <w:rsid w:val="00AE101D"/>
    <w:rsid w:val="00AE1032"/>
    <w:rsid w:val="00AE10EE"/>
    <w:rsid w:val="00AE1205"/>
    <w:rsid w:val="00AE1229"/>
    <w:rsid w:val="00AE143E"/>
    <w:rsid w:val="00AE145B"/>
    <w:rsid w:val="00AE14AF"/>
    <w:rsid w:val="00AE1502"/>
    <w:rsid w:val="00AE1602"/>
    <w:rsid w:val="00AE169D"/>
    <w:rsid w:val="00AE1742"/>
    <w:rsid w:val="00AE1763"/>
    <w:rsid w:val="00AE17ED"/>
    <w:rsid w:val="00AE19A4"/>
    <w:rsid w:val="00AE1A01"/>
    <w:rsid w:val="00AE1B90"/>
    <w:rsid w:val="00AE1D32"/>
    <w:rsid w:val="00AE1D9A"/>
    <w:rsid w:val="00AE1DEA"/>
    <w:rsid w:val="00AE1E55"/>
    <w:rsid w:val="00AE1ED4"/>
    <w:rsid w:val="00AE2023"/>
    <w:rsid w:val="00AE2029"/>
    <w:rsid w:val="00AE206A"/>
    <w:rsid w:val="00AE20E6"/>
    <w:rsid w:val="00AE21D9"/>
    <w:rsid w:val="00AE21F3"/>
    <w:rsid w:val="00AE2208"/>
    <w:rsid w:val="00AE22A0"/>
    <w:rsid w:val="00AE22F8"/>
    <w:rsid w:val="00AE2383"/>
    <w:rsid w:val="00AE241A"/>
    <w:rsid w:val="00AE24E5"/>
    <w:rsid w:val="00AE252D"/>
    <w:rsid w:val="00AE268F"/>
    <w:rsid w:val="00AE2732"/>
    <w:rsid w:val="00AE28F0"/>
    <w:rsid w:val="00AE28F1"/>
    <w:rsid w:val="00AE2A0D"/>
    <w:rsid w:val="00AE2A9F"/>
    <w:rsid w:val="00AE2C73"/>
    <w:rsid w:val="00AE2D1A"/>
    <w:rsid w:val="00AE2D50"/>
    <w:rsid w:val="00AE2DC1"/>
    <w:rsid w:val="00AE2E15"/>
    <w:rsid w:val="00AE2E2E"/>
    <w:rsid w:val="00AE30E1"/>
    <w:rsid w:val="00AE334B"/>
    <w:rsid w:val="00AE345E"/>
    <w:rsid w:val="00AE358F"/>
    <w:rsid w:val="00AE361B"/>
    <w:rsid w:val="00AE3716"/>
    <w:rsid w:val="00AE3764"/>
    <w:rsid w:val="00AE3866"/>
    <w:rsid w:val="00AE3896"/>
    <w:rsid w:val="00AE38B7"/>
    <w:rsid w:val="00AE3C0B"/>
    <w:rsid w:val="00AE3C84"/>
    <w:rsid w:val="00AE3CC8"/>
    <w:rsid w:val="00AE3D63"/>
    <w:rsid w:val="00AE3F89"/>
    <w:rsid w:val="00AE3FC3"/>
    <w:rsid w:val="00AE40D4"/>
    <w:rsid w:val="00AE41AE"/>
    <w:rsid w:val="00AE41DC"/>
    <w:rsid w:val="00AE4667"/>
    <w:rsid w:val="00AE474C"/>
    <w:rsid w:val="00AE476A"/>
    <w:rsid w:val="00AE4775"/>
    <w:rsid w:val="00AE47D8"/>
    <w:rsid w:val="00AE4838"/>
    <w:rsid w:val="00AE489D"/>
    <w:rsid w:val="00AE48DE"/>
    <w:rsid w:val="00AE4910"/>
    <w:rsid w:val="00AE4922"/>
    <w:rsid w:val="00AE4A68"/>
    <w:rsid w:val="00AE4A83"/>
    <w:rsid w:val="00AE4A85"/>
    <w:rsid w:val="00AE4A9D"/>
    <w:rsid w:val="00AE4CC9"/>
    <w:rsid w:val="00AE4E14"/>
    <w:rsid w:val="00AE4F62"/>
    <w:rsid w:val="00AE4FD3"/>
    <w:rsid w:val="00AE4FDD"/>
    <w:rsid w:val="00AE50E5"/>
    <w:rsid w:val="00AE51E5"/>
    <w:rsid w:val="00AE527B"/>
    <w:rsid w:val="00AE52B2"/>
    <w:rsid w:val="00AE52D8"/>
    <w:rsid w:val="00AE5324"/>
    <w:rsid w:val="00AE547C"/>
    <w:rsid w:val="00AE5497"/>
    <w:rsid w:val="00AE55DE"/>
    <w:rsid w:val="00AE566B"/>
    <w:rsid w:val="00AE5853"/>
    <w:rsid w:val="00AE58AD"/>
    <w:rsid w:val="00AE5A2C"/>
    <w:rsid w:val="00AE5A3A"/>
    <w:rsid w:val="00AE5A93"/>
    <w:rsid w:val="00AE5ADF"/>
    <w:rsid w:val="00AE5BD0"/>
    <w:rsid w:val="00AE5D0F"/>
    <w:rsid w:val="00AE5DDA"/>
    <w:rsid w:val="00AE5E12"/>
    <w:rsid w:val="00AE5FA0"/>
    <w:rsid w:val="00AE5FE0"/>
    <w:rsid w:val="00AE5FEA"/>
    <w:rsid w:val="00AE602F"/>
    <w:rsid w:val="00AE604D"/>
    <w:rsid w:val="00AE606B"/>
    <w:rsid w:val="00AE6148"/>
    <w:rsid w:val="00AE6187"/>
    <w:rsid w:val="00AE61B5"/>
    <w:rsid w:val="00AE622F"/>
    <w:rsid w:val="00AE64EB"/>
    <w:rsid w:val="00AE66A6"/>
    <w:rsid w:val="00AE66D4"/>
    <w:rsid w:val="00AE694F"/>
    <w:rsid w:val="00AE6981"/>
    <w:rsid w:val="00AE69D9"/>
    <w:rsid w:val="00AE6A3D"/>
    <w:rsid w:val="00AE6AAC"/>
    <w:rsid w:val="00AE6B9E"/>
    <w:rsid w:val="00AE6C00"/>
    <w:rsid w:val="00AE6C59"/>
    <w:rsid w:val="00AE6C5A"/>
    <w:rsid w:val="00AE6D4F"/>
    <w:rsid w:val="00AE6EFD"/>
    <w:rsid w:val="00AE724E"/>
    <w:rsid w:val="00AE7313"/>
    <w:rsid w:val="00AE75AA"/>
    <w:rsid w:val="00AE75B2"/>
    <w:rsid w:val="00AE76A8"/>
    <w:rsid w:val="00AE775A"/>
    <w:rsid w:val="00AE7796"/>
    <w:rsid w:val="00AE77CC"/>
    <w:rsid w:val="00AE77E4"/>
    <w:rsid w:val="00AE78C8"/>
    <w:rsid w:val="00AE79AD"/>
    <w:rsid w:val="00AE7C72"/>
    <w:rsid w:val="00AE7DAA"/>
    <w:rsid w:val="00AE7DAD"/>
    <w:rsid w:val="00AE7DB4"/>
    <w:rsid w:val="00AF00AE"/>
    <w:rsid w:val="00AF02C5"/>
    <w:rsid w:val="00AF02CB"/>
    <w:rsid w:val="00AF02F7"/>
    <w:rsid w:val="00AF036E"/>
    <w:rsid w:val="00AF03BB"/>
    <w:rsid w:val="00AF0497"/>
    <w:rsid w:val="00AF04D6"/>
    <w:rsid w:val="00AF0652"/>
    <w:rsid w:val="00AF06F7"/>
    <w:rsid w:val="00AF072A"/>
    <w:rsid w:val="00AF0895"/>
    <w:rsid w:val="00AF08F1"/>
    <w:rsid w:val="00AF0948"/>
    <w:rsid w:val="00AF0A29"/>
    <w:rsid w:val="00AF0A3B"/>
    <w:rsid w:val="00AF0C21"/>
    <w:rsid w:val="00AF0DC8"/>
    <w:rsid w:val="00AF0DE9"/>
    <w:rsid w:val="00AF0EE1"/>
    <w:rsid w:val="00AF1052"/>
    <w:rsid w:val="00AF108A"/>
    <w:rsid w:val="00AF122B"/>
    <w:rsid w:val="00AF1285"/>
    <w:rsid w:val="00AF1349"/>
    <w:rsid w:val="00AF135A"/>
    <w:rsid w:val="00AF1456"/>
    <w:rsid w:val="00AF147C"/>
    <w:rsid w:val="00AF15A3"/>
    <w:rsid w:val="00AF164E"/>
    <w:rsid w:val="00AF16B5"/>
    <w:rsid w:val="00AF1827"/>
    <w:rsid w:val="00AF192B"/>
    <w:rsid w:val="00AF1955"/>
    <w:rsid w:val="00AF195A"/>
    <w:rsid w:val="00AF19C0"/>
    <w:rsid w:val="00AF1A56"/>
    <w:rsid w:val="00AF1B21"/>
    <w:rsid w:val="00AF1D6C"/>
    <w:rsid w:val="00AF1EC4"/>
    <w:rsid w:val="00AF1F17"/>
    <w:rsid w:val="00AF2236"/>
    <w:rsid w:val="00AF22A8"/>
    <w:rsid w:val="00AF234A"/>
    <w:rsid w:val="00AF23F8"/>
    <w:rsid w:val="00AF248E"/>
    <w:rsid w:val="00AF253E"/>
    <w:rsid w:val="00AF2604"/>
    <w:rsid w:val="00AF26D8"/>
    <w:rsid w:val="00AF281A"/>
    <w:rsid w:val="00AF285F"/>
    <w:rsid w:val="00AF2891"/>
    <w:rsid w:val="00AF28EC"/>
    <w:rsid w:val="00AF2922"/>
    <w:rsid w:val="00AF2A92"/>
    <w:rsid w:val="00AF2AC3"/>
    <w:rsid w:val="00AF2BC2"/>
    <w:rsid w:val="00AF2C1E"/>
    <w:rsid w:val="00AF2C20"/>
    <w:rsid w:val="00AF2CE1"/>
    <w:rsid w:val="00AF2D1C"/>
    <w:rsid w:val="00AF2D2D"/>
    <w:rsid w:val="00AF2E42"/>
    <w:rsid w:val="00AF2EF2"/>
    <w:rsid w:val="00AF2FC0"/>
    <w:rsid w:val="00AF31A2"/>
    <w:rsid w:val="00AF31DA"/>
    <w:rsid w:val="00AF328C"/>
    <w:rsid w:val="00AF3292"/>
    <w:rsid w:val="00AF32EF"/>
    <w:rsid w:val="00AF3380"/>
    <w:rsid w:val="00AF353A"/>
    <w:rsid w:val="00AF3546"/>
    <w:rsid w:val="00AF37A0"/>
    <w:rsid w:val="00AF380C"/>
    <w:rsid w:val="00AF386F"/>
    <w:rsid w:val="00AF389B"/>
    <w:rsid w:val="00AF3A00"/>
    <w:rsid w:val="00AF3A59"/>
    <w:rsid w:val="00AF3AAB"/>
    <w:rsid w:val="00AF3C15"/>
    <w:rsid w:val="00AF3C6E"/>
    <w:rsid w:val="00AF3DD6"/>
    <w:rsid w:val="00AF3E97"/>
    <w:rsid w:val="00AF3EA5"/>
    <w:rsid w:val="00AF3FD8"/>
    <w:rsid w:val="00AF3FE7"/>
    <w:rsid w:val="00AF40CE"/>
    <w:rsid w:val="00AF411A"/>
    <w:rsid w:val="00AF41CF"/>
    <w:rsid w:val="00AF42D2"/>
    <w:rsid w:val="00AF42FB"/>
    <w:rsid w:val="00AF45CF"/>
    <w:rsid w:val="00AF4623"/>
    <w:rsid w:val="00AF46BF"/>
    <w:rsid w:val="00AF481D"/>
    <w:rsid w:val="00AF49F1"/>
    <w:rsid w:val="00AF4A94"/>
    <w:rsid w:val="00AF4AAC"/>
    <w:rsid w:val="00AF4BCE"/>
    <w:rsid w:val="00AF4CB1"/>
    <w:rsid w:val="00AF4D68"/>
    <w:rsid w:val="00AF4E31"/>
    <w:rsid w:val="00AF4E33"/>
    <w:rsid w:val="00AF4EB1"/>
    <w:rsid w:val="00AF4EF4"/>
    <w:rsid w:val="00AF51C7"/>
    <w:rsid w:val="00AF528F"/>
    <w:rsid w:val="00AF52D5"/>
    <w:rsid w:val="00AF5307"/>
    <w:rsid w:val="00AF5431"/>
    <w:rsid w:val="00AF5487"/>
    <w:rsid w:val="00AF5497"/>
    <w:rsid w:val="00AF5525"/>
    <w:rsid w:val="00AF56D1"/>
    <w:rsid w:val="00AF57DE"/>
    <w:rsid w:val="00AF5874"/>
    <w:rsid w:val="00AF5A29"/>
    <w:rsid w:val="00AF5A6A"/>
    <w:rsid w:val="00AF5BFB"/>
    <w:rsid w:val="00AF5C13"/>
    <w:rsid w:val="00AF5C69"/>
    <w:rsid w:val="00AF608A"/>
    <w:rsid w:val="00AF616C"/>
    <w:rsid w:val="00AF618C"/>
    <w:rsid w:val="00AF63A4"/>
    <w:rsid w:val="00AF646C"/>
    <w:rsid w:val="00AF6519"/>
    <w:rsid w:val="00AF656F"/>
    <w:rsid w:val="00AF65F4"/>
    <w:rsid w:val="00AF65FF"/>
    <w:rsid w:val="00AF6719"/>
    <w:rsid w:val="00AF6743"/>
    <w:rsid w:val="00AF674B"/>
    <w:rsid w:val="00AF6796"/>
    <w:rsid w:val="00AF699D"/>
    <w:rsid w:val="00AF6A21"/>
    <w:rsid w:val="00AF6AED"/>
    <w:rsid w:val="00AF6C58"/>
    <w:rsid w:val="00AF6D13"/>
    <w:rsid w:val="00AF6D83"/>
    <w:rsid w:val="00AF6F08"/>
    <w:rsid w:val="00AF70A4"/>
    <w:rsid w:val="00AF70D0"/>
    <w:rsid w:val="00AF7116"/>
    <w:rsid w:val="00AF7386"/>
    <w:rsid w:val="00AF73C0"/>
    <w:rsid w:val="00AF73C1"/>
    <w:rsid w:val="00AF745D"/>
    <w:rsid w:val="00AF7496"/>
    <w:rsid w:val="00AF74D1"/>
    <w:rsid w:val="00AF7527"/>
    <w:rsid w:val="00AF753A"/>
    <w:rsid w:val="00AF75AB"/>
    <w:rsid w:val="00AF75F2"/>
    <w:rsid w:val="00AF77A0"/>
    <w:rsid w:val="00AF788E"/>
    <w:rsid w:val="00AF7A4A"/>
    <w:rsid w:val="00AF7B1A"/>
    <w:rsid w:val="00AF7BCE"/>
    <w:rsid w:val="00AF7C88"/>
    <w:rsid w:val="00AF7CA4"/>
    <w:rsid w:val="00AF7DB1"/>
    <w:rsid w:val="00AF7E16"/>
    <w:rsid w:val="00AF7ED8"/>
    <w:rsid w:val="00B0019A"/>
    <w:rsid w:val="00B00303"/>
    <w:rsid w:val="00B00309"/>
    <w:rsid w:val="00B00417"/>
    <w:rsid w:val="00B00516"/>
    <w:rsid w:val="00B00526"/>
    <w:rsid w:val="00B0053C"/>
    <w:rsid w:val="00B0055A"/>
    <w:rsid w:val="00B0067A"/>
    <w:rsid w:val="00B007BC"/>
    <w:rsid w:val="00B007C1"/>
    <w:rsid w:val="00B007E9"/>
    <w:rsid w:val="00B008CC"/>
    <w:rsid w:val="00B009AC"/>
    <w:rsid w:val="00B00BE5"/>
    <w:rsid w:val="00B00BF4"/>
    <w:rsid w:val="00B00C41"/>
    <w:rsid w:val="00B00E2F"/>
    <w:rsid w:val="00B00E84"/>
    <w:rsid w:val="00B00E90"/>
    <w:rsid w:val="00B00ED1"/>
    <w:rsid w:val="00B00EE2"/>
    <w:rsid w:val="00B00F5F"/>
    <w:rsid w:val="00B00F67"/>
    <w:rsid w:val="00B01090"/>
    <w:rsid w:val="00B0116F"/>
    <w:rsid w:val="00B0123C"/>
    <w:rsid w:val="00B01322"/>
    <w:rsid w:val="00B01351"/>
    <w:rsid w:val="00B01406"/>
    <w:rsid w:val="00B0144E"/>
    <w:rsid w:val="00B014EA"/>
    <w:rsid w:val="00B01522"/>
    <w:rsid w:val="00B01567"/>
    <w:rsid w:val="00B01659"/>
    <w:rsid w:val="00B016B4"/>
    <w:rsid w:val="00B0180A"/>
    <w:rsid w:val="00B0198D"/>
    <w:rsid w:val="00B01A94"/>
    <w:rsid w:val="00B01B75"/>
    <w:rsid w:val="00B01BBB"/>
    <w:rsid w:val="00B01BD5"/>
    <w:rsid w:val="00B01E33"/>
    <w:rsid w:val="00B01E5D"/>
    <w:rsid w:val="00B01F3E"/>
    <w:rsid w:val="00B0211E"/>
    <w:rsid w:val="00B021BE"/>
    <w:rsid w:val="00B021C3"/>
    <w:rsid w:val="00B0233C"/>
    <w:rsid w:val="00B023D0"/>
    <w:rsid w:val="00B02471"/>
    <w:rsid w:val="00B024D4"/>
    <w:rsid w:val="00B024E2"/>
    <w:rsid w:val="00B0254A"/>
    <w:rsid w:val="00B028B2"/>
    <w:rsid w:val="00B0295C"/>
    <w:rsid w:val="00B0302D"/>
    <w:rsid w:val="00B03039"/>
    <w:rsid w:val="00B0303E"/>
    <w:rsid w:val="00B030AB"/>
    <w:rsid w:val="00B030BC"/>
    <w:rsid w:val="00B0323A"/>
    <w:rsid w:val="00B032B6"/>
    <w:rsid w:val="00B033BA"/>
    <w:rsid w:val="00B03538"/>
    <w:rsid w:val="00B0357D"/>
    <w:rsid w:val="00B03754"/>
    <w:rsid w:val="00B03786"/>
    <w:rsid w:val="00B037C8"/>
    <w:rsid w:val="00B0381B"/>
    <w:rsid w:val="00B038B8"/>
    <w:rsid w:val="00B03A0B"/>
    <w:rsid w:val="00B03B1A"/>
    <w:rsid w:val="00B03C4E"/>
    <w:rsid w:val="00B03E04"/>
    <w:rsid w:val="00B03EA1"/>
    <w:rsid w:val="00B04006"/>
    <w:rsid w:val="00B0412A"/>
    <w:rsid w:val="00B04255"/>
    <w:rsid w:val="00B0431F"/>
    <w:rsid w:val="00B04379"/>
    <w:rsid w:val="00B043BB"/>
    <w:rsid w:val="00B0458A"/>
    <w:rsid w:val="00B04594"/>
    <w:rsid w:val="00B045D6"/>
    <w:rsid w:val="00B04855"/>
    <w:rsid w:val="00B048C8"/>
    <w:rsid w:val="00B048D4"/>
    <w:rsid w:val="00B0492F"/>
    <w:rsid w:val="00B04950"/>
    <w:rsid w:val="00B04955"/>
    <w:rsid w:val="00B04B81"/>
    <w:rsid w:val="00B04D78"/>
    <w:rsid w:val="00B04FD6"/>
    <w:rsid w:val="00B0507D"/>
    <w:rsid w:val="00B0512C"/>
    <w:rsid w:val="00B0517F"/>
    <w:rsid w:val="00B05194"/>
    <w:rsid w:val="00B052DC"/>
    <w:rsid w:val="00B05381"/>
    <w:rsid w:val="00B053F1"/>
    <w:rsid w:val="00B0540B"/>
    <w:rsid w:val="00B0545B"/>
    <w:rsid w:val="00B05586"/>
    <w:rsid w:val="00B0561E"/>
    <w:rsid w:val="00B056F7"/>
    <w:rsid w:val="00B05872"/>
    <w:rsid w:val="00B05944"/>
    <w:rsid w:val="00B0596D"/>
    <w:rsid w:val="00B059B5"/>
    <w:rsid w:val="00B05A18"/>
    <w:rsid w:val="00B05A3A"/>
    <w:rsid w:val="00B05AB7"/>
    <w:rsid w:val="00B05B99"/>
    <w:rsid w:val="00B05DEC"/>
    <w:rsid w:val="00B05FD5"/>
    <w:rsid w:val="00B0616E"/>
    <w:rsid w:val="00B061C7"/>
    <w:rsid w:val="00B0621E"/>
    <w:rsid w:val="00B0640A"/>
    <w:rsid w:val="00B0649D"/>
    <w:rsid w:val="00B06594"/>
    <w:rsid w:val="00B066C6"/>
    <w:rsid w:val="00B068CD"/>
    <w:rsid w:val="00B06989"/>
    <w:rsid w:val="00B06993"/>
    <w:rsid w:val="00B069AB"/>
    <w:rsid w:val="00B069BD"/>
    <w:rsid w:val="00B06BE1"/>
    <w:rsid w:val="00B06BF4"/>
    <w:rsid w:val="00B06C6B"/>
    <w:rsid w:val="00B06CAC"/>
    <w:rsid w:val="00B06D21"/>
    <w:rsid w:val="00B070CC"/>
    <w:rsid w:val="00B072A4"/>
    <w:rsid w:val="00B07395"/>
    <w:rsid w:val="00B0747E"/>
    <w:rsid w:val="00B075A0"/>
    <w:rsid w:val="00B075E5"/>
    <w:rsid w:val="00B076C2"/>
    <w:rsid w:val="00B076D0"/>
    <w:rsid w:val="00B0770F"/>
    <w:rsid w:val="00B0781F"/>
    <w:rsid w:val="00B07A05"/>
    <w:rsid w:val="00B07ABA"/>
    <w:rsid w:val="00B07ADC"/>
    <w:rsid w:val="00B07B19"/>
    <w:rsid w:val="00B07BE5"/>
    <w:rsid w:val="00B07C1B"/>
    <w:rsid w:val="00B07D6B"/>
    <w:rsid w:val="00B07D94"/>
    <w:rsid w:val="00B07EC5"/>
    <w:rsid w:val="00B07F09"/>
    <w:rsid w:val="00B10080"/>
    <w:rsid w:val="00B10092"/>
    <w:rsid w:val="00B100E7"/>
    <w:rsid w:val="00B10116"/>
    <w:rsid w:val="00B1025C"/>
    <w:rsid w:val="00B102DD"/>
    <w:rsid w:val="00B10445"/>
    <w:rsid w:val="00B1048D"/>
    <w:rsid w:val="00B10514"/>
    <w:rsid w:val="00B105A4"/>
    <w:rsid w:val="00B10615"/>
    <w:rsid w:val="00B106CF"/>
    <w:rsid w:val="00B106D2"/>
    <w:rsid w:val="00B106D8"/>
    <w:rsid w:val="00B1070D"/>
    <w:rsid w:val="00B10711"/>
    <w:rsid w:val="00B1090F"/>
    <w:rsid w:val="00B1096C"/>
    <w:rsid w:val="00B10A95"/>
    <w:rsid w:val="00B10B77"/>
    <w:rsid w:val="00B10B94"/>
    <w:rsid w:val="00B10BEA"/>
    <w:rsid w:val="00B10DC4"/>
    <w:rsid w:val="00B10E01"/>
    <w:rsid w:val="00B10F9E"/>
    <w:rsid w:val="00B10FC1"/>
    <w:rsid w:val="00B11003"/>
    <w:rsid w:val="00B1107B"/>
    <w:rsid w:val="00B110AB"/>
    <w:rsid w:val="00B1110E"/>
    <w:rsid w:val="00B111D2"/>
    <w:rsid w:val="00B11236"/>
    <w:rsid w:val="00B112B6"/>
    <w:rsid w:val="00B113A9"/>
    <w:rsid w:val="00B113F6"/>
    <w:rsid w:val="00B11500"/>
    <w:rsid w:val="00B11556"/>
    <w:rsid w:val="00B11577"/>
    <w:rsid w:val="00B1162A"/>
    <w:rsid w:val="00B116D1"/>
    <w:rsid w:val="00B117EE"/>
    <w:rsid w:val="00B1182E"/>
    <w:rsid w:val="00B11856"/>
    <w:rsid w:val="00B11D68"/>
    <w:rsid w:val="00B11F77"/>
    <w:rsid w:val="00B11FB5"/>
    <w:rsid w:val="00B11FDE"/>
    <w:rsid w:val="00B12011"/>
    <w:rsid w:val="00B12150"/>
    <w:rsid w:val="00B122F3"/>
    <w:rsid w:val="00B1237E"/>
    <w:rsid w:val="00B1239E"/>
    <w:rsid w:val="00B1240C"/>
    <w:rsid w:val="00B1244A"/>
    <w:rsid w:val="00B12738"/>
    <w:rsid w:val="00B128BF"/>
    <w:rsid w:val="00B12A03"/>
    <w:rsid w:val="00B12A4B"/>
    <w:rsid w:val="00B12A7C"/>
    <w:rsid w:val="00B12AC9"/>
    <w:rsid w:val="00B12B85"/>
    <w:rsid w:val="00B12C23"/>
    <w:rsid w:val="00B12C30"/>
    <w:rsid w:val="00B12C8A"/>
    <w:rsid w:val="00B12CAE"/>
    <w:rsid w:val="00B12D24"/>
    <w:rsid w:val="00B12F89"/>
    <w:rsid w:val="00B1321F"/>
    <w:rsid w:val="00B13259"/>
    <w:rsid w:val="00B1330D"/>
    <w:rsid w:val="00B13421"/>
    <w:rsid w:val="00B13464"/>
    <w:rsid w:val="00B13484"/>
    <w:rsid w:val="00B134F8"/>
    <w:rsid w:val="00B135B0"/>
    <w:rsid w:val="00B135DC"/>
    <w:rsid w:val="00B1376D"/>
    <w:rsid w:val="00B13883"/>
    <w:rsid w:val="00B139B6"/>
    <w:rsid w:val="00B13C96"/>
    <w:rsid w:val="00B13D56"/>
    <w:rsid w:val="00B13DA5"/>
    <w:rsid w:val="00B13EA5"/>
    <w:rsid w:val="00B13F5C"/>
    <w:rsid w:val="00B1401A"/>
    <w:rsid w:val="00B14124"/>
    <w:rsid w:val="00B1415E"/>
    <w:rsid w:val="00B14244"/>
    <w:rsid w:val="00B142D7"/>
    <w:rsid w:val="00B142F2"/>
    <w:rsid w:val="00B14370"/>
    <w:rsid w:val="00B14396"/>
    <w:rsid w:val="00B14426"/>
    <w:rsid w:val="00B144EE"/>
    <w:rsid w:val="00B14862"/>
    <w:rsid w:val="00B148D5"/>
    <w:rsid w:val="00B1495D"/>
    <w:rsid w:val="00B1498E"/>
    <w:rsid w:val="00B14A99"/>
    <w:rsid w:val="00B14B3E"/>
    <w:rsid w:val="00B14B82"/>
    <w:rsid w:val="00B14B93"/>
    <w:rsid w:val="00B14BBF"/>
    <w:rsid w:val="00B14DE9"/>
    <w:rsid w:val="00B14F08"/>
    <w:rsid w:val="00B14F63"/>
    <w:rsid w:val="00B15038"/>
    <w:rsid w:val="00B15083"/>
    <w:rsid w:val="00B152DE"/>
    <w:rsid w:val="00B15344"/>
    <w:rsid w:val="00B15355"/>
    <w:rsid w:val="00B1536D"/>
    <w:rsid w:val="00B1543B"/>
    <w:rsid w:val="00B154E5"/>
    <w:rsid w:val="00B154F7"/>
    <w:rsid w:val="00B15532"/>
    <w:rsid w:val="00B15572"/>
    <w:rsid w:val="00B155B0"/>
    <w:rsid w:val="00B156CA"/>
    <w:rsid w:val="00B157B2"/>
    <w:rsid w:val="00B15879"/>
    <w:rsid w:val="00B1591E"/>
    <w:rsid w:val="00B15931"/>
    <w:rsid w:val="00B15AAC"/>
    <w:rsid w:val="00B15B24"/>
    <w:rsid w:val="00B15B26"/>
    <w:rsid w:val="00B15B2E"/>
    <w:rsid w:val="00B15C0F"/>
    <w:rsid w:val="00B15C55"/>
    <w:rsid w:val="00B15CC1"/>
    <w:rsid w:val="00B15E0C"/>
    <w:rsid w:val="00B15F19"/>
    <w:rsid w:val="00B15F33"/>
    <w:rsid w:val="00B16047"/>
    <w:rsid w:val="00B160B3"/>
    <w:rsid w:val="00B161ED"/>
    <w:rsid w:val="00B16226"/>
    <w:rsid w:val="00B1625F"/>
    <w:rsid w:val="00B1630F"/>
    <w:rsid w:val="00B1632B"/>
    <w:rsid w:val="00B1634E"/>
    <w:rsid w:val="00B16352"/>
    <w:rsid w:val="00B163EE"/>
    <w:rsid w:val="00B164AD"/>
    <w:rsid w:val="00B164ED"/>
    <w:rsid w:val="00B1651C"/>
    <w:rsid w:val="00B165B3"/>
    <w:rsid w:val="00B166E6"/>
    <w:rsid w:val="00B167EC"/>
    <w:rsid w:val="00B168CD"/>
    <w:rsid w:val="00B169C8"/>
    <w:rsid w:val="00B16A36"/>
    <w:rsid w:val="00B16A94"/>
    <w:rsid w:val="00B16AEF"/>
    <w:rsid w:val="00B16B3E"/>
    <w:rsid w:val="00B16BE4"/>
    <w:rsid w:val="00B16CA6"/>
    <w:rsid w:val="00B16D80"/>
    <w:rsid w:val="00B16DDA"/>
    <w:rsid w:val="00B16E42"/>
    <w:rsid w:val="00B16FEF"/>
    <w:rsid w:val="00B170BB"/>
    <w:rsid w:val="00B17106"/>
    <w:rsid w:val="00B17163"/>
    <w:rsid w:val="00B17166"/>
    <w:rsid w:val="00B172E0"/>
    <w:rsid w:val="00B1754F"/>
    <w:rsid w:val="00B175D6"/>
    <w:rsid w:val="00B176F4"/>
    <w:rsid w:val="00B17709"/>
    <w:rsid w:val="00B17714"/>
    <w:rsid w:val="00B17719"/>
    <w:rsid w:val="00B17736"/>
    <w:rsid w:val="00B177C5"/>
    <w:rsid w:val="00B17948"/>
    <w:rsid w:val="00B179A3"/>
    <w:rsid w:val="00B17A78"/>
    <w:rsid w:val="00B17A93"/>
    <w:rsid w:val="00B17C85"/>
    <w:rsid w:val="00B17CF5"/>
    <w:rsid w:val="00B17DF8"/>
    <w:rsid w:val="00B17E04"/>
    <w:rsid w:val="00B17F36"/>
    <w:rsid w:val="00B20112"/>
    <w:rsid w:val="00B201D5"/>
    <w:rsid w:val="00B202AA"/>
    <w:rsid w:val="00B20381"/>
    <w:rsid w:val="00B203EE"/>
    <w:rsid w:val="00B204AC"/>
    <w:rsid w:val="00B20503"/>
    <w:rsid w:val="00B206E2"/>
    <w:rsid w:val="00B206F7"/>
    <w:rsid w:val="00B20740"/>
    <w:rsid w:val="00B20891"/>
    <w:rsid w:val="00B208B3"/>
    <w:rsid w:val="00B208D9"/>
    <w:rsid w:val="00B20926"/>
    <w:rsid w:val="00B20930"/>
    <w:rsid w:val="00B20ABD"/>
    <w:rsid w:val="00B20D80"/>
    <w:rsid w:val="00B20E69"/>
    <w:rsid w:val="00B20EB2"/>
    <w:rsid w:val="00B2105A"/>
    <w:rsid w:val="00B2114F"/>
    <w:rsid w:val="00B2116B"/>
    <w:rsid w:val="00B21245"/>
    <w:rsid w:val="00B2144F"/>
    <w:rsid w:val="00B2149B"/>
    <w:rsid w:val="00B2152B"/>
    <w:rsid w:val="00B2162B"/>
    <w:rsid w:val="00B21633"/>
    <w:rsid w:val="00B217D4"/>
    <w:rsid w:val="00B2180A"/>
    <w:rsid w:val="00B218A3"/>
    <w:rsid w:val="00B21954"/>
    <w:rsid w:val="00B21A44"/>
    <w:rsid w:val="00B21A71"/>
    <w:rsid w:val="00B21C0A"/>
    <w:rsid w:val="00B21CA3"/>
    <w:rsid w:val="00B21CD3"/>
    <w:rsid w:val="00B21CFD"/>
    <w:rsid w:val="00B21D8C"/>
    <w:rsid w:val="00B21E61"/>
    <w:rsid w:val="00B21E78"/>
    <w:rsid w:val="00B21ECB"/>
    <w:rsid w:val="00B21F46"/>
    <w:rsid w:val="00B22015"/>
    <w:rsid w:val="00B220AD"/>
    <w:rsid w:val="00B2225B"/>
    <w:rsid w:val="00B2230C"/>
    <w:rsid w:val="00B224A8"/>
    <w:rsid w:val="00B226AE"/>
    <w:rsid w:val="00B226BC"/>
    <w:rsid w:val="00B228A9"/>
    <w:rsid w:val="00B228BB"/>
    <w:rsid w:val="00B229EB"/>
    <w:rsid w:val="00B22A9D"/>
    <w:rsid w:val="00B22AE7"/>
    <w:rsid w:val="00B22BE7"/>
    <w:rsid w:val="00B22C3E"/>
    <w:rsid w:val="00B22CD3"/>
    <w:rsid w:val="00B22E39"/>
    <w:rsid w:val="00B22EA7"/>
    <w:rsid w:val="00B2315E"/>
    <w:rsid w:val="00B23182"/>
    <w:rsid w:val="00B232F0"/>
    <w:rsid w:val="00B232FD"/>
    <w:rsid w:val="00B23353"/>
    <w:rsid w:val="00B2340D"/>
    <w:rsid w:val="00B23415"/>
    <w:rsid w:val="00B2343E"/>
    <w:rsid w:val="00B234A9"/>
    <w:rsid w:val="00B234FB"/>
    <w:rsid w:val="00B2381F"/>
    <w:rsid w:val="00B238B7"/>
    <w:rsid w:val="00B23998"/>
    <w:rsid w:val="00B239F1"/>
    <w:rsid w:val="00B23AEF"/>
    <w:rsid w:val="00B23B13"/>
    <w:rsid w:val="00B23B48"/>
    <w:rsid w:val="00B23BEA"/>
    <w:rsid w:val="00B23C43"/>
    <w:rsid w:val="00B23CCD"/>
    <w:rsid w:val="00B23D60"/>
    <w:rsid w:val="00B23EBE"/>
    <w:rsid w:val="00B23F17"/>
    <w:rsid w:val="00B24020"/>
    <w:rsid w:val="00B240A5"/>
    <w:rsid w:val="00B240F3"/>
    <w:rsid w:val="00B24199"/>
    <w:rsid w:val="00B24298"/>
    <w:rsid w:val="00B242E6"/>
    <w:rsid w:val="00B24359"/>
    <w:rsid w:val="00B243F7"/>
    <w:rsid w:val="00B2451B"/>
    <w:rsid w:val="00B2454E"/>
    <w:rsid w:val="00B24613"/>
    <w:rsid w:val="00B246B3"/>
    <w:rsid w:val="00B2472F"/>
    <w:rsid w:val="00B24848"/>
    <w:rsid w:val="00B2486E"/>
    <w:rsid w:val="00B24889"/>
    <w:rsid w:val="00B248ED"/>
    <w:rsid w:val="00B248F7"/>
    <w:rsid w:val="00B24A93"/>
    <w:rsid w:val="00B24B87"/>
    <w:rsid w:val="00B24B94"/>
    <w:rsid w:val="00B24BCA"/>
    <w:rsid w:val="00B24BF6"/>
    <w:rsid w:val="00B24DAA"/>
    <w:rsid w:val="00B24E6F"/>
    <w:rsid w:val="00B25032"/>
    <w:rsid w:val="00B2526D"/>
    <w:rsid w:val="00B2529B"/>
    <w:rsid w:val="00B2530A"/>
    <w:rsid w:val="00B253EF"/>
    <w:rsid w:val="00B25559"/>
    <w:rsid w:val="00B255B2"/>
    <w:rsid w:val="00B25737"/>
    <w:rsid w:val="00B2574E"/>
    <w:rsid w:val="00B25ACC"/>
    <w:rsid w:val="00B25CB0"/>
    <w:rsid w:val="00B25D89"/>
    <w:rsid w:val="00B25E4A"/>
    <w:rsid w:val="00B25E5D"/>
    <w:rsid w:val="00B25E9D"/>
    <w:rsid w:val="00B25EBA"/>
    <w:rsid w:val="00B25EC8"/>
    <w:rsid w:val="00B25EF4"/>
    <w:rsid w:val="00B25F10"/>
    <w:rsid w:val="00B25F21"/>
    <w:rsid w:val="00B25F5B"/>
    <w:rsid w:val="00B25F66"/>
    <w:rsid w:val="00B25F7D"/>
    <w:rsid w:val="00B2609C"/>
    <w:rsid w:val="00B2622F"/>
    <w:rsid w:val="00B263D7"/>
    <w:rsid w:val="00B264D5"/>
    <w:rsid w:val="00B264DF"/>
    <w:rsid w:val="00B265B8"/>
    <w:rsid w:val="00B267D1"/>
    <w:rsid w:val="00B2684B"/>
    <w:rsid w:val="00B269D2"/>
    <w:rsid w:val="00B26A90"/>
    <w:rsid w:val="00B26B17"/>
    <w:rsid w:val="00B26B19"/>
    <w:rsid w:val="00B26BD7"/>
    <w:rsid w:val="00B26C47"/>
    <w:rsid w:val="00B26C99"/>
    <w:rsid w:val="00B26EBA"/>
    <w:rsid w:val="00B26F1E"/>
    <w:rsid w:val="00B26FE0"/>
    <w:rsid w:val="00B27012"/>
    <w:rsid w:val="00B272EB"/>
    <w:rsid w:val="00B272F8"/>
    <w:rsid w:val="00B27388"/>
    <w:rsid w:val="00B27514"/>
    <w:rsid w:val="00B2756C"/>
    <w:rsid w:val="00B275F6"/>
    <w:rsid w:val="00B2766E"/>
    <w:rsid w:val="00B276D7"/>
    <w:rsid w:val="00B276FA"/>
    <w:rsid w:val="00B2788F"/>
    <w:rsid w:val="00B27950"/>
    <w:rsid w:val="00B27965"/>
    <w:rsid w:val="00B279B1"/>
    <w:rsid w:val="00B27B47"/>
    <w:rsid w:val="00B27D0B"/>
    <w:rsid w:val="00B27D9E"/>
    <w:rsid w:val="00B27E2B"/>
    <w:rsid w:val="00B27EC1"/>
    <w:rsid w:val="00B27F73"/>
    <w:rsid w:val="00B3007F"/>
    <w:rsid w:val="00B300B0"/>
    <w:rsid w:val="00B30201"/>
    <w:rsid w:val="00B3023C"/>
    <w:rsid w:val="00B302EC"/>
    <w:rsid w:val="00B30314"/>
    <w:rsid w:val="00B3063B"/>
    <w:rsid w:val="00B30646"/>
    <w:rsid w:val="00B30669"/>
    <w:rsid w:val="00B30751"/>
    <w:rsid w:val="00B30759"/>
    <w:rsid w:val="00B3099D"/>
    <w:rsid w:val="00B309B1"/>
    <w:rsid w:val="00B30ADA"/>
    <w:rsid w:val="00B30DF9"/>
    <w:rsid w:val="00B30EF1"/>
    <w:rsid w:val="00B30F1E"/>
    <w:rsid w:val="00B30FCB"/>
    <w:rsid w:val="00B31091"/>
    <w:rsid w:val="00B31173"/>
    <w:rsid w:val="00B311AB"/>
    <w:rsid w:val="00B311F6"/>
    <w:rsid w:val="00B31208"/>
    <w:rsid w:val="00B312DC"/>
    <w:rsid w:val="00B31494"/>
    <w:rsid w:val="00B31630"/>
    <w:rsid w:val="00B317BC"/>
    <w:rsid w:val="00B3189D"/>
    <w:rsid w:val="00B318BE"/>
    <w:rsid w:val="00B31CCA"/>
    <w:rsid w:val="00B31D48"/>
    <w:rsid w:val="00B31D5E"/>
    <w:rsid w:val="00B31D6A"/>
    <w:rsid w:val="00B31DAC"/>
    <w:rsid w:val="00B31DD3"/>
    <w:rsid w:val="00B31E3D"/>
    <w:rsid w:val="00B31FF7"/>
    <w:rsid w:val="00B3205B"/>
    <w:rsid w:val="00B32286"/>
    <w:rsid w:val="00B322CD"/>
    <w:rsid w:val="00B324E4"/>
    <w:rsid w:val="00B3256E"/>
    <w:rsid w:val="00B32813"/>
    <w:rsid w:val="00B3293F"/>
    <w:rsid w:val="00B32959"/>
    <w:rsid w:val="00B329C9"/>
    <w:rsid w:val="00B32ABD"/>
    <w:rsid w:val="00B32ADA"/>
    <w:rsid w:val="00B32BDB"/>
    <w:rsid w:val="00B32BE2"/>
    <w:rsid w:val="00B32C43"/>
    <w:rsid w:val="00B32D03"/>
    <w:rsid w:val="00B32D17"/>
    <w:rsid w:val="00B32D53"/>
    <w:rsid w:val="00B32DA6"/>
    <w:rsid w:val="00B32EA5"/>
    <w:rsid w:val="00B32F27"/>
    <w:rsid w:val="00B32F5B"/>
    <w:rsid w:val="00B32FE3"/>
    <w:rsid w:val="00B331AF"/>
    <w:rsid w:val="00B331D7"/>
    <w:rsid w:val="00B33289"/>
    <w:rsid w:val="00B3329E"/>
    <w:rsid w:val="00B33558"/>
    <w:rsid w:val="00B3362C"/>
    <w:rsid w:val="00B3369A"/>
    <w:rsid w:val="00B336E8"/>
    <w:rsid w:val="00B3375A"/>
    <w:rsid w:val="00B337B3"/>
    <w:rsid w:val="00B337DD"/>
    <w:rsid w:val="00B337EB"/>
    <w:rsid w:val="00B338BE"/>
    <w:rsid w:val="00B339E5"/>
    <w:rsid w:val="00B33A1C"/>
    <w:rsid w:val="00B33A3A"/>
    <w:rsid w:val="00B33A5E"/>
    <w:rsid w:val="00B33A78"/>
    <w:rsid w:val="00B33AD5"/>
    <w:rsid w:val="00B33BB1"/>
    <w:rsid w:val="00B33D99"/>
    <w:rsid w:val="00B340CC"/>
    <w:rsid w:val="00B340ED"/>
    <w:rsid w:val="00B3419F"/>
    <w:rsid w:val="00B34266"/>
    <w:rsid w:val="00B342BA"/>
    <w:rsid w:val="00B3433D"/>
    <w:rsid w:val="00B3437D"/>
    <w:rsid w:val="00B343C3"/>
    <w:rsid w:val="00B343FB"/>
    <w:rsid w:val="00B34688"/>
    <w:rsid w:val="00B34830"/>
    <w:rsid w:val="00B348CD"/>
    <w:rsid w:val="00B349A0"/>
    <w:rsid w:val="00B34B30"/>
    <w:rsid w:val="00B34C0F"/>
    <w:rsid w:val="00B34F57"/>
    <w:rsid w:val="00B34F8C"/>
    <w:rsid w:val="00B34F9C"/>
    <w:rsid w:val="00B34FDF"/>
    <w:rsid w:val="00B35080"/>
    <w:rsid w:val="00B352C1"/>
    <w:rsid w:val="00B352F4"/>
    <w:rsid w:val="00B35384"/>
    <w:rsid w:val="00B355D8"/>
    <w:rsid w:val="00B356D9"/>
    <w:rsid w:val="00B3575F"/>
    <w:rsid w:val="00B3576B"/>
    <w:rsid w:val="00B3578D"/>
    <w:rsid w:val="00B357A8"/>
    <w:rsid w:val="00B35800"/>
    <w:rsid w:val="00B35828"/>
    <w:rsid w:val="00B35A07"/>
    <w:rsid w:val="00B35AD4"/>
    <w:rsid w:val="00B35B20"/>
    <w:rsid w:val="00B35B7C"/>
    <w:rsid w:val="00B35D0F"/>
    <w:rsid w:val="00B35DB9"/>
    <w:rsid w:val="00B35F4D"/>
    <w:rsid w:val="00B35FEB"/>
    <w:rsid w:val="00B36056"/>
    <w:rsid w:val="00B361EA"/>
    <w:rsid w:val="00B3642D"/>
    <w:rsid w:val="00B3656A"/>
    <w:rsid w:val="00B365EC"/>
    <w:rsid w:val="00B366E9"/>
    <w:rsid w:val="00B3675F"/>
    <w:rsid w:val="00B36790"/>
    <w:rsid w:val="00B367C5"/>
    <w:rsid w:val="00B367F7"/>
    <w:rsid w:val="00B3691A"/>
    <w:rsid w:val="00B369F8"/>
    <w:rsid w:val="00B36D8A"/>
    <w:rsid w:val="00B36DAF"/>
    <w:rsid w:val="00B36DDD"/>
    <w:rsid w:val="00B36F68"/>
    <w:rsid w:val="00B36FC0"/>
    <w:rsid w:val="00B37034"/>
    <w:rsid w:val="00B370BC"/>
    <w:rsid w:val="00B3724C"/>
    <w:rsid w:val="00B37274"/>
    <w:rsid w:val="00B37327"/>
    <w:rsid w:val="00B3739B"/>
    <w:rsid w:val="00B3739D"/>
    <w:rsid w:val="00B373E0"/>
    <w:rsid w:val="00B374AA"/>
    <w:rsid w:val="00B3762F"/>
    <w:rsid w:val="00B37690"/>
    <w:rsid w:val="00B3771F"/>
    <w:rsid w:val="00B37724"/>
    <w:rsid w:val="00B37963"/>
    <w:rsid w:val="00B37A6B"/>
    <w:rsid w:val="00B37A6F"/>
    <w:rsid w:val="00B37B74"/>
    <w:rsid w:val="00B37BB4"/>
    <w:rsid w:val="00B37C07"/>
    <w:rsid w:val="00B37C48"/>
    <w:rsid w:val="00B37C76"/>
    <w:rsid w:val="00B37C87"/>
    <w:rsid w:val="00B37C97"/>
    <w:rsid w:val="00B37DBF"/>
    <w:rsid w:val="00B37E2E"/>
    <w:rsid w:val="00B37E70"/>
    <w:rsid w:val="00B37ED3"/>
    <w:rsid w:val="00B40047"/>
    <w:rsid w:val="00B4009A"/>
    <w:rsid w:val="00B4021C"/>
    <w:rsid w:val="00B402A3"/>
    <w:rsid w:val="00B40427"/>
    <w:rsid w:val="00B404E4"/>
    <w:rsid w:val="00B40533"/>
    <w:rsid w:val="00B4064D"/>
    <w:rsid w:val="00B406E6"/>
    <w:rsid w:val="00B4084B"/>
    <w:rsid w:val="00B40A77"/>
    <w:rsid w:val="00B40B1C"/>
    <w:rsid w:val="00B40CC7"/>
    <w:rsid w:val="00B40D13"/>
    <w:rsid w:val="00B40DDD"/>
    <w:rsid w:val="00B40E7B"/>
    <w:rsid w:val="00B40FF4"/>
    <w:rsid w:val="00B41050"/>
    <w:rsid w:val="00B4118E"/>
    <w:rsid w:val="00B411CD"/>
    <w:rsid w:val="00B4158B"/>
    <w:rsid w:val="00B41702"/>
    <w:rsid w:val="00B4171B"/>
    <w:rsid w:val="00B41753"/>
    <w:rsid w:val="00B41949"/>
    <w:rsid w:val="00B41970"/>
    <w:rsid w:val="00B419A5"/>
    <w:rsid w:val="00B41C73"/>
    <w:rsid w:val="00B41D8F"/>
    <w:rsid w:val="00B41DC1"/>
    <w:rsid w:val="00B41E07"/>
    <w:rsid w:val="00B41EE9"/>
    <w:rsid w:val="00B41F65"/>
    <w:rsid w:val="00B42044"/>
    <w:rsid w:val="00B42093"/>
    <w:rsid w:val="00B4217C"/>
    <w:rsid w:val="00B42214"/>
    <w:rsid w:val="00B42419"/>
    <w:rsid w:val="00B4259F"/>
    <w:rsid w:val="00B425BB"/>
    <w:rsid w:val="00B425F3"/>
    <w:rsid w:val="00B426E0"/>
    <w:rsid w:val="00B42712"/>
    <w:rsid w:val="00B42885"/>
    <w:rsid w:val="00B42915"/>
    <w:rsid w:val="00B42B29"/>
    <w:rsid w:val="00B42BEE"/>
    <w:rsid w:val="00B42BF5"/>
    <w:rsid w:val="00B42C16"/>
    <w:rsid w:val="00B42CC7"/>
    <w:rsid w:val="00B42DC4"/>
    <w:rsid w:val="00B42E2E"/>
    <w:rsid w:val="00B42E36"/>
    <w:rsid w:val="00B42EBD"/>
    <w:rsid w:val="00B42F0A"/>
    <w:rsid w:val="00B42F18"/>
    <w:rsid w:val="00B42F6D"/>
    <w:rsid w:val="00B42FDE"/>
    <w:rsid w:val="00B42FFF"/>
    <w:rsid w:val="00B431BB"/>
    <w:rsid w:val="00B43285"/>
    <w:rsid w:val="00B4347F"/>
    <w:rsid w:val="00B434F0"/>
    <w:rsid w:val="00B43657"/>
    <w:rsid w:val="00B43766"/>
    <w:rsid w:val="00B43844"/>
    <w:rsid w:val="00B43845"/>
    <w:rsid w:val="00B438A5"/>
    <w:rsid w:val="00B43990"/>
    <w:rsid w:val="00B43A3D"/>
    <w:rsid w:val="00B43B6B"/>
    <w:rsid w:val="00B43BAF"/>
    <w:rsid w:val="00B43CEF"/>
    <w:rsid w:val="00B43D0A"/>
    <w:rsid w:val="00B43D78"/>
    <w:rsid w:val="00B43DD4"/>
    <w:rsid w:val="00B43E15"/>
    <w:rsid w:val="00B43E57"/>
    <w:rsid w:val="00B440BF"/>
    <w:rsid w:val="00B441EA"/>
    <w:rsid w:val="00B44278"/>
    <w:rsid w:val="00B44295"/>
    <w:rsid w:val="00B442B6"/>
    <w:rsid w:val="00B442E8"/>
    <w:rsid w:val="00B4433E"/>
    <w:rsid w:val="00B4437B"/>
    <w:rsid w:val="00B443F9"/>
    <w:rsid w:val="00B44455"/>
    <w:rsid w:val="00B444B2"/>
    <w:rsid w:val="00B446B7"/>
    <w:rsid w:val="00B446CB"/>
    <w:rsid w:val="00B447DF"/>
    <w:rsid w:val="00B448FA"/>
    <w:rsid w:val="00B44937"/>
    <w:rsid w:val="00B44AA6"/>
    <w:rsid w:val="00B44B4C"/>
    <w:rsid w:val="00B44D68"/>
    <w:rsid w:val="00B44FE8"/>
    <w:rsid w:val="00B4501C"/>
    <w:rsid w:val="00B45064"/>
    <w:rsid w:val="00B4509E"/>
    <w:rsid w:val="00B4519D"/>
    <w:rsid w:val="00B451A8"/>
    <w:rsid w:val="00B45260"/>
    <w:rsid w:val="00B45439"/>
    <w:rsid w:val="00B4544D"/>
    <w:rsid w:val="00B45457"/>
    <w:rsid w:val="00B4554C"/>
    <w:rsid w:val="00B456DF"/>
    <w:rsid w:val="00B456FE"/>
    <w:rsid w:val="00B45773"/>
    <w:rsid w:val="00B45997"/>
    <w:rsid w:val="00B45A6F"/>
    <w:rsid w:val="00B45B26"/>
    <w:rsid w:val="00B45C0E"/>
    <w:rsid w:val="00B45D9A"/>
    <w:rsid w:val="00B45E8B"/>
    <w:rsid w:val="00B460B7"/>
    <w:rsid w:val="00B46131"/>
    <w:rsid w:val="00B46240"/>
    <w:rsid w:val="00B463E0"/>
    <w:rsid w:val="00B464EF"/>
    <w:rsid w:val="00B464F3"/>
    <w:rsid w:val="00B464FC"/>
    <w:rsid w:val="00B46512"/>
    <w:rsid w:val="00B465C4"/>
    <w:rsid w:val="00B46642"/>
    <w:rsid w:val="00B46880"/>
    <w:rsid w:val="00B468E1"/>
    <w:rsid w:val="00B46A37"/>
    <w:rsid w:val="00B46B65"/>
    <w:rsid w:val="00B46BE3"/>
    <w:rsid w:val="00B46C03"/>
    <w:rsid w:val="00B46C98"/>
    <w:rsid w:val="00B46CB5"/>
    <w:rsid w:val="00B46CCA"/>
    <w:rsid w:val="00B46D30"/>
    <w:rsid w:val="00B46D82"/>
    <w:rsid w:val="00B470B7"/>
    <w:rsid w:val="00B47282"/>
    <w:rsid w:val="00B4734D"/>
    <w:rsid w:val="00B47390"/>
    <w:rsid w:val="00B47501"/>
    <w:rsid w:val="00B47521"/>
    <w:rsid w:val="00B476A4"/>
    <w:rsid w:val="00B4772D"/>
    <w:rsid w:val="00B47841"/>
    <w:rsid w:val="00B47A0E"/>
    <w:rsid w:val="00B47A52"/>
    <w:rsid w:val="00B47B2A"/>
    <w:rsid w:val="00B47BEF"/>
    <w:rsid w:val="00B47EDE"/>
    <w:rsid w:val="00B47FB9"/>
    <w:rsid w:val="00B47FD4"/>
    <w:rsid w:val="00B50045"/>
    <w:rsid w:val="00B5020B"/>
    <w:rsid w:val="00B5029B"/>
    <w:rsid w:val="00B50328"/>
    <w:rsid w:val="00B503EA"/>
    <w:rsid w:val="00B50420"/>
    <w:rsid w:val="00B50493"/>
    <w:rsid w:val="00B50662"/>
    <w:rsid w:val="00B506EF"/>
    <w:rsid w:val="00B507D8"/>
    <w:rsid w:val="00B5089B"/>
    <w:rsid w:val="00B50925"/>
    <w:rsid w:val="00B50975"/>
    <w:rsid w:val="00B50983"/>
    <w:rsid w:val="00B50984"/>
    <w:rsid w:val="00B5098F"/>
    <w:rsid w:val="00B50DCF"/>
    <w:rsid w:val="00B50E3E"/>
    <w:rsid w:val="00B50FA2"/>
    <w:rsid w:val="00B50FFE"/>
    <w:rsid w:val="00B51048"/>
    <w:rsid w:val="00B51084"/>
    <w:rsid w:val="00B510A8"/>
    <w:rsid w:val="00B51123"/>
    <w:rsid w:val="00B51156"/>
    <w:rsid w:val="00B511B6"/>
    <w:rsid w:val="00B511C1"/>
    <w:rsid w:val="00B51226"/>
    <w:rsid w:val="00B5130D"/>
    <w:rsid w:val="00B5133E"/>
    <w:rsid w:val="00B5136B"/>
    <w:rsid w:val="00B514C4"/>
    <w:rsid w:val="00B514D1"/>
    <w:rsid w:val="00B51515"/>
    <w:rsid w:val="00B517CC"/>
    <w:rsid w:val="00B51962"/>
    <w:rsid w:val="00B51AB8"/>
    <w:rsid w:val="00B51B46"/>
    <w:rsid w:val="00B51B51"/>
    <w:rsid w:val="00B51CC4"/>
    <w:rsid w:val="00B51D06"/>
    <w:rsid w:val="00B51DD0"/>
    <w:rsid w:val="00B52011"/>
    <w:rsid w:val="00B5211C"/>
    <w:rsid w:val="00B52121"/>
    <w:rsid w:val="00B52124"/>
    <w:rsid w:val="00B52139"/>
    <w:rsid w:val="00B521EC"/>
    <w:rsid w:val="00B5236A"/>
    <w:rsid w:val="00B5242D"/>
    <w:rsid w:val="00B52499"/>
    <w:rsid w:val="00B52599"/>
    <w:rsid w:val="00B525E7"/>
    <w:rsid w:val="00B525F2"/>
    <w:rsid w:val="00B52600"/>
    <w:rsid w:val="00B526AF"/>
    <w:rsid w:val="00B527D3"/>
    <w:rsid w:val="00B52ACE"/>
    <w:rsid w:val="00B52ACF"/>
    <w:rsid w:val="00B52E99"/>
    <w:rsid w:val="00B52EEA"/>
    <w:rsid w:val="00B52F4B"/>
    <w:rsid w:val="00B53019"/>
    <w:rsid w:val="00B530B0"/>
    <w:rsid w:val="00B5311E"/>
    <w:rsid w:val="00B533CF"/>
    <w:rsid w:val="00B534E2"/>
    <w:rsid w:val="00B535A2"/>
    <w:rsid w:val="00B53618"/>
    <w:rsid w:val="00B536AD"/>
    <w:rsid w:val="00B536D7"/>
    <w:rsid w:val="00B53797"/>
    <w:rsid w:val="00B537A0"/>
    <w:rsid w:val="00B5388F"/>
    <w:rsid w:val="00B539CC"/>
    <w:rsid w:val="00B53A75"/>
    <w:rsid w:val="00B53AC0"/>
    <w:rsid w:val="00B53AE0"/>
    <w:rsid w:val="00B53AEB"/>
    <w:rsid w:val="00B53AEC"/>
    <w:rsid w:val="00B53C57"/>
    <w:rsid w:val="00B53CCB"/>
    <w:rsid w:val="00B53DF1"/>
    <w:rsid w:val="00B53EB5"/>
    <w:rsid w:val="00B53ED1"/>
    <w:rsid w:val="00B53F52"/>
    <w:rsid w:val="00B53F7A"/>
    <w:rsid w:val="00B54013"/>
    <w:rsid w:val="00B540AF"/>
    <w:rsid w:val="00B54211"/>
    <w:rsid w:val="00B542C0"/>
    <w:rsid w:val="00B5437C"/>
    <w:rsid w:val="00B543A0"/>
    <w:rsid w:val="00B543CA"/>
    <w:rsid w:val="00B54484"/>
    <w:rsid w:val="00B544EB"/>
    <w:rsid w:val="00B545EA"/>
    <w:rsid w:val="00B546A7"/>
    <w:rsid w:val="00B546B5"/>
    <w:rsid w:val="00B54703"/>
    <w:rsid w:val="00B5472A"/>
    <w:rsid w:val="00B547F9"/>
    <w:rsid w:val="00B549C6"/>
    <w:rsid w:val="00B54BF7"/>
    <w:rsid w:val="00B553DF"/>
    <w:rsid w:val="00B554AA"/>
    <w:rsid w:val="00B55521"/>
    <w:rsid w:val="00B55649"/>
    <w:rsid w:val="00B55730"/>
    <w:rsid w:val="00B55A8A"/>
    <w:rsid w:val="00B55A8D"/>
    <w:rsid w:val="00B55BCF"/>
    <w:rsid w:val="00B55D9A"/>
    <w:rsid w:val="00B55DEB"/>
    <w:rsid w:val="00B55E6A"/>
    <w:rsid w:val="00B55FA4"/>
    <w:rsid w:val="00B55FDD"/>
    <w:rsid w:val="00B560FF"/>
    <w:rsid w:val="00B56170"/>
    <w:rsid w:val="00B56346"/>
    <w:rsid w:val="00B5636A"/>
    <w:rsid w:val="00B56518"/>
    <w:rsid w:val="00B5651F"/>
    <w:rsid w:val="00B566D8"/>
    <w:rsid w:val="00B567C5"/>
    <w:rsid w:val="00B567F3"/>
    <w:rsid w:val="00B568B5"/>
    <w:rsid w:val="00B56919"/>
    <w:rsid w:val="00B56B4F"/>
    <w:rsid w:val="00B56BDC"/>
    <w:rsid w:val="00B56C78"/>
    <w:rsid w:val="00B56D85"/>
    <w:rsid w:val="00B56DA4"/>
    <w:rsid w:val="00B56DB3"/>
    <w:rsid w:val="00B56E34"/>
    <w:rsid w:val="00B56E64"/>
    <w:rsid w:val="00B56E9F"/>
    <w:rsid w:val="00B56F06"/>
    <w:rsid w:val="00B57036"/>
    <w:rsid w:val="00B5705C"/>
    <w:rsid w:val="00B57070"/>
    <w:rsid w:val="00B571AF"/>
    <w:rsid w:val="00B571FA"/>
    <w:rsid w:val="00B57213"/>
    <w:rsid w:val="00B57425"/>
    <w:rsid w:val="00B574BA"/>
    <w:rsid w:val="00B574C9"/>
    <w:rsid w:val="00B57568"/>
    <w:rsid w:val="00B575C3"/>
    <w:rsid w:val="00B5760B"/>
    <w:rsid w:val="00B57629"/>
    <w:rsid w:val="00B576B6"/>
    <w:rsid w:val="00B57733"/>
    <w:rsid w:val="00B577A0"/>
    <w:rsid w:val="00B577D4"/>
    <w:rsid w:val="00B578A3"/>
    <w:rsid w:val="00B578E7"/>
    <w:rsid w:val="00B57A1E"/>
    <w:rsid w:val="00B57A73"/>
    <w:rsid w:val="00B57B6D"/>
    <w:rsid w:val="00B57BED"/>
    <w:rsid w:val="00B57C4F"/>
    <w:rsid w:val="00B57D84"/>
    <w:rsid w:val="00B57D86"/>
    <w:rsid w:val="00B57DBF"/>
    <w:rsid w:val="00B57DEE"/>
    <w:rsid w:val="00B57E6C"/>
    <w:rsid w:val="00B57EDA"/>
    <w:rsid w:val="00B57EDE"/>
    <w:rsid w:val="00B57EF9"/>
    <w:rsid w:val="00B57F0F"/>
    <w:rsid w:val="00B57F8C"/>
    <w:rsid w:val="00B57FFB"/>
    <w:rsid w:val="00B60043"/>
    <w:rsid w:val="00B600F4"/>
    <w:rsid w:val="00B602A8"/>
    <w:rsid w:val="00B60342"/>
    <w:rsid w:val="00B60575"/>
    <w:rsid w:val="00B605A8"/>
    <w:rsid w:val="00B6068D"/>
    <w:rsid w:val="00B60821"/>
    <w:rsid w:val="00B6084C"/>
    <w:rsid w:val="00B6084F"/>
    <w:rsid w:val="00B608B4"/>
    <w:rsid w:val="00B60993"/>
    <w:rsid w:val="00B60A5E"/>
    <w:rsid w:val="00B60ADE"/>
    <w:rsid w:val="00B60BC7"/>
    <w:rsid w:val="00B60C1E"/>
    <w:rsid w:val="00B60CED"/>
    <w:rsid w:val="00B60D96"/>
    <w:rsid w:val="00B60E22"/>
    <w:rsid w:val="00B60EE2"/>
    <w:rsid w:val="00B60EF2"/>
    <w:rsid w:val="00B60F51"/>
    <w:rsid w:val="00B610D5"/>
    <w:rsid w:val="00B611D6"/>
    <w:rsid w:val="00B61226"/>
    <w:rsid w:val="00B61248"/>
    <w:rsid w:val="00B61281"/>
    <w:rsid w:val="00B612C8"/>
    <w:rsid w:val="00B61300"/>
    <w:rsid w:val="00B61334"/>
    <w:rsid w:val="00B613A8"/>
    <w:rsid w:val="00B61456"/>
    <w:rsid w:val="00B615DF"/>
    <w:rsid w:val="00B61648"/>
    <w:rsid w:val="00B618C1"/>
    <w:rsid w:val="00B618E5"/>
    <w:rsid w:val="00B61ACE"/>
    <w:rsid w:val="00B61C12"/>
    <w:rsid w:val="00B61E63"/>
    <w:rsid w:val="00B61F6D"/>
    <w:rsid w:val="00B62094"/>
    <w:rsid w:val="00B62215"/>
    <w:rsid w:val="00B62216"/>
    <w:rsid w:val="00B622D2"/>
    <w:rsid w:val="00B62327"/>
    <w:rsid w:val="00B623C7"/>
    <w:rsid w:val="00B623FC"/>
    <w:rsid w:val="00B624FD"/>
    <w:rsid w:val="00B6255B"/>
    <w:rsid w:val="00B6256C"/>
    <w:rsid w:val="00B625CF"/>
    <w:rsid w:val="00B626F3"/>
    <w:rsid w:val="00B62868"/>
    <w:rsid w:val="00B62A05"/>
    <w:rsid w:val="00B62B1C"/>
    <w:rsid w:val="00B62C66"/>
    <w:rsid w:val="00B62DF0"/>
    <w:rsid w:val="00B62DFD"/>
    <w:rsid w:val="00B62E9C"/>
    <w:rsid w:val="00B630A6"/>
    <w:rsid w:val="00B63118"/>
    <w:rsid w:val="00B6311E"/>
    <w:rsid w:val="00B63258"/>
    <w:rsid w:val="00B633CE"/>
    <w:rsid w:val="00B635BD"/>
    <w:rsid w:val="00B63730"/>
    <w:rsid w:val="00B638E7"/>
    <w:rsid w:val="00B63924"/>
    <w:rsid w:val="00B63944"/>
    <w:rsid w:val="00B63A4D"/>
    <w:rsid w:val="00B63B01"/>
    <w:rsid w:val="00B63C27"/>
    <w:rsid w:val="00B63D74"/>
    <w:rsid w:val="00B63F2D"/>
    <w:rsid w:val="00B63F50"/>
    <w:rsid w:val="00B63F97"/>
    <w:rsid w:val="00B63FFD"/>
    <w:rsid w:val="00B6400B"/>
    <w:rsid w:val="00B642D8"/>
    <w:rsid w:val="00B6433A"/>
    <w:rsid w:val="00B644A9"/>
    <w:rsid w:val="00B644AB"/>
    <w:rsid w:val="00B64538"/>
    <w:rsid w:val="00B6462E"/>
    <w:rsid w:val="00B64697"/>
    <w:rsid w:val="00B64903"/>
    <w:rsid w:val="00B64A7B"/>
    <w:rsid w:val="00B64B01"/>
    <w:rsid w:val="00B64B78"/>
    <w:rsid w:val="00B64B80"/>
    <w:rsid w:val="00B64DB0"/>
    <w:rsid w:val="00B64F22"/>
    <w:rsid w:val="00B64F56"/>
    <w:rsid w:val="00B65043"/>
    <w:rsid w:val="00B65045"/>
    <w:rsid w:val="00B65161"/>
    <w:rsid w:val="00B651BC"/>
    <w:rsid w:val="00B651DE"/>
    <w:rsid w:val="00B653F4"/>
    <w:rsid w:val="00B654A2"/>
    <w:rsid w:val="00B655A1"/>
    <w:rsid w:val="00B65604"/>
    <w:rsid w:val="00B656EF"/>
    <w:rsid w:val="00B657D4"/>
    <w:rsid w:val="00B658F3"/>
    <w:rsid w:val="00B65916"/>
    <w:rsid w:val="00B659A7"/>
    <w:rsid w:val="00B659E2"/>
    <w:rsid w:val="00B65A8C"/>
    <w:rsid w:val="00B65B3D"/>
    <w:rsid w:val="00B65BC6"/>
    <w:rsid w:val="00B65C42"/>
    <w:rsid w:val="00B65D5A"/>
    <w:rsid w:val="00B65D69"/>
    <w:rsid w:val="00B65DF1"/>
    <w:rsid w:val="00B65FD8"/>
    <w:rsid w:val="00B6605E"/>
    <w:rsid w:val="00B6638F"/>
    <w:rsid w:val="00B66489"/>
    <w:rsid w:val="00B66539"/>
    <w:rsid w:val="00B6656B"/>
    <w:rsid w:val="00B66621"/>
    <w:rsid w:val="00B6668D"/>
    <w:rsid w:val="00B666E4"/>
    <w:rsid w:val="00B6686B"/>
    <w:rsid w:val="00B66990"/>
    <w:rsid w:val="00B66AD5"/>
    <w:rsid w:val="00B66C46"/>
    <w:rsid w:val="00B66D8B"/>
    <w:rsid w:val="00B66DC0"/>
    <w:rsid w:val="00B66E81"/>
    <w:rsid w:val="00B66FD5"/>
    <w:rsid w:val="00B670D3"/>
    <w:rsid w:val="00B67113"/>
    <w:rsid w:val="00B67133"/>
    <w:rsid w:val="00B671D0"/>
    <w:rsid w:val="00B672E7"/>
    <w:rsid w:val="00B67382"/>
    <w:rsid w:val="00B67430"/>
    <w:rsid w:val="00B6769C"/>
    <w:rsid w:val="00B67702"/>
    <w:rsid w:val="00B67822"/>
    <w:rsid w:val="00B6783D"/>
    <w:rsid w:val="00B67900"/>
    <w:rsid w:val="00B67A2E"/>
    <w:rsid w:val="00B67C41"/>
    <w:rsid w:val="00B67CE4"/>
    <w:rsid w:val="00B67F82"/>
    <w:rsid w:val="00B70012"/>
    <w:rsid w:val="00B701A9"/>
    <w:rsid w:val="00B70399"/>
    <w:rsid w:val="00B70409"/>
    <w:rsid w:val="00B70506"/>
    <w:rsid w:val="00B70565"/>
    <w:rsid w:val="00B706F5"/>
    <w:rsid w:val="00B70710"/>
    <w:rsid w:val="00B7073C"/>
    <w:rsid w:val="00B7084D"/>
    <w:rsid w:val="00B7099B"/>
    <w:rsid w:val="00B709D0"/>
    <w:rsid w:val="00B709EA"/>
    <w:rsid w:val="00B70A04"/>
    <w:rsid w:val="00B70A54"/>
    <w:rsid w:val="00B70B33"/>
    <w:rsid w:val="00B70C53"/>
    <w:rsid w:val="00B70D84"/>
    <w:rsid w:val="00B70DCE"/>
    <w:rsid w:val="00B70E4F"/>
    <w:rsid w:val="00B70EBF"/>
    <w:rsid w:val="00B70F62"/>
    <w:rsid w:val="00B710B3"/>
    <w:rsid w:val="00B71442"/>
    <w:rsid w:val="00B714BF"/>
    <w:rsid w:val="00B71560"/>
    <w:rsid w:val="00B715AC"/>
    <w:rsid w:val="00B71661"/>
    <w:rsid w:val="00B716F3"/>
    <w:rsid w:val="00B71740"/>
    <w:rsid w:val="00B71777"/>
    <w:rsid w:val="00B717DD"/>
    <w:rsid w:val="00B717E1"/>
    <w:rsid w:val="00B7187E"/>
    <w:rsid w:val="00B718F8"/>
    <w:rsid w:val="00B7190A"/>
    <w:rsid w:val="00B71940"/>
    <w:rsid w:val="00B719DA"/>
    <w:rsid w:val="00B71A68"/>
    <w:rsid w:val="00B71ABA"/>
    <w:rsid w:val="00B71B0E"/>
    <w:rsid w:val="00B71C02"/>
    <w:rsid w:val="00B71C7A"/>
    <w:rsid w:val="00B71DB8"/>
    <w:rsid w:val="00B71FCC"/>
    <w:rsid w:val="00B722C8"/>
    <w:rsid w:val="00B72351"/>
    <w:rsid w:val="00B723B5"/>
    <w:rsid w:val="00B723F8"/>
    <w:rsid w:val="00B72597"/>
    <w:rsid w:val="00B725C6"/>
    <w:rsid w:val="00B726A2"/>
    <w:rsid w:val="00B72855"/>
    <w:rsid w:val="00B72883"/>
    <w:rsid w:val="00B72897"/>
    <w:rsid w:val="00B728EB"/>
    <w:rsid w:val="00B72956"/>
    <w:rsid w:val="00B72A48"/>
    <w:rsid w:val="00B72AB8"/>
    <w:rsid w:val="00B72B02"/>
    <w:rsid w:val="00B72BB3"/>
    <w:rsid w:val="00B72C99"/>
    <w:rsid w:val="00B72D1C"/>
    <w:rsid w:val="00B72E4A"/>
    <w:rsid w:val="00B72E57"/>
    <w:rsid w:val="00B72E97"/>
    <w:rsid w:val="00B72F70"/>
    <w:rsid w:val="00B72F7E"/>
    <w:rsid w:val="00B73022"/>
    <w:rsid w:val="00B730BC"/>
    <w:rsid w:val="00B731DF"/>
    <w:rsid w:val="00B73310"/>
    <w:rsid w:val="00B7348B"/>
    <w:rsid w:val="00B7352D"/>
    <w:rsid w:val="00B735E0"/>
    <w:rsid w:val="00B736BF"/>
    <w:rsid w:val="00B736FD"/>
    <w:rsid w:val="00B73736"/>
    <w:rsid w:val="00B73849"/>
    <w:rsid w:val="00B73946"/>
    <w:rsid w:val="00B73A53"/>
    <w:rsid w:val="00B73AED"/>
    <w:rsid w:val="00B73B73"/>
    <w:rsid w:val="00B73C63"/>
    <w:rsid w:val="00B73C8D"/>
    <w:rsid w:val="00B73E87"/>
    <w:rsid w:val="00B73F17"/>
    <w:rsid w:val="00B74047"/>
    <w:rsid w:val="00B741A7"/>
    <w:rsid w:val="00B742AE"/>
    <w:rsid w:val="00B742E1"/>
    <w:rsid w:val="00B743BF"/>
    <w:rsid w:val="00B744B5"/>
    <w:rsid w:val="00B744FB"/>
    <w:rsid w:val="00B745B4"/>
    <w:rsid w:val="00B745BD"/>
    <w:rsid w:val="00B74697"/>
    <w:rsid w:val="00B746AE"/>
    <w:rsid w:val="00B74737"/>
    <w:rsid w:val="00B74768"/>
    <w:rsid w:val="00B74793"/>
    <w:rsid w:val="00B747D9"/>
    <w:rsid w:val="00B7481D"/>
    <w:rsid w:val="00B7483C"/>
    <w:rsid w:val="00B74874"/>
    <w:rsid w:val="00B74D36"/>
    <w:rsid w:val="00B74D4D"/>
    <w:rsid w:val="00B74DF3"/>
    <w:rsid w:val="00B74E78"/>
    <w:rsid w:val="00B74F86"/>
    <w:rsid w:val="00B75002"/>
    <w:rsid w:val="00B75174"/>
    <w:rsid w:val="00B751B2"/>
    <w:rsid w:val="00B751EA"/>
    <w:rsid w:val="00B7528D"/>
    <w:rsid w:val="00B75337"/>
    <w:rsid w:val="00B7533F"/>
    <w:rsid w:val="00B753DC"/>
    <w:rsid w:val="00B75481"/>
    <w:rsid w:val="00B75483"/>
    <w:rsid w:val="00B754EB"/>
    <w:rsid w:val="00B7556D"/>
    <w:rsid w:val="00B75585"/>
    <w:rsid w:val="00B75777"/>
    <w:rsid w:val="00B757D0"/>
    <w:rsid w:val="00B757DD"/>
    <w:rsid w:val="00B7582C"/>
    <w:rsid w:val="00B758DC"/>
    <w:rsid w:val="00B75A6C"/>
    <w:rsid w:val="00B75A75"/>
    <w:rsid w:val="00B75A81"/>
    <w:rsid w:val="00B75A89"/>
    <w:rsid w:val="00B75ACD"/>
    <w:rsid w:val="00B75AED"/>
    <w:rsid w:val="00B75B29"/>
    <w:rsid w:val="00B75B44"/>
    <w:rsid w:val="00B75B45"/>
    <w:rsid w:val="00B75B5D"/>
    <w:rsid w:val="00B75B7D"/>
    <w:rsid w:val="00B75C02"/>
    <w:rsid w:val="00B75E17"/>
    <w:rsid w:val="00B75F6F"/>
    <w:rsid w:val="00B760C6"/>
    <w:rsid w:val="00B760DA"/>
    <w:rsid w:val="00B760EE"/>
    <w:rsid w:val="00B76186"/>
    <w:rsid w:val="00B76258"/>
    <w:rsid w:val="00B762A0"/>
    <w:rsid w:val="00B762A4"/>
    <w:rsid w:val="00B7648C"/>
    <w:rsid w:val="00B765B0"/>
    <w:rsid w:val="00B765BD"/>
    <w:rsid w:val="00B76674"/>
    <w:rsid w:val="00B7667A"/>
    <w:rsid w:val="00B7668D"/>
    <w:rsid w:val="00B76786"/>
    <w:rsid w:val="00B767A3"/>
    <w:rsid w:val="00B76965"/>
    <w:rsid w:val="00B76A5B"/>
    <w:rsid w:val="00B76A5D"/>
    <w:rsid w:val="00B76AFB"/>
    <w:rsid w:val="00B76C31"/>
    <w:rsid w:val="00B76D38"/>
    <w:rsid w:val="00B76E85"/>
    <w:rsid w:val="00B76F54"/>
    <w:rsid w:val="00B76F7F"/>
    <w:rsid w:val="00B76F8C"/>
    <w:rsid w:val="00B7702F"/>
    <w:rsid w:val="00B77253"/>
    <w:rsid w:val="00B773A5"/>
    <w:rsid w:val="00B774B5"/>
    <w:rsid w:val="00B77535"/>
    <w:rsid w:val="00B7755E"/>
    <w:rsid w:val="00B7762F"/>
    <w:rsid w:val="00B77674"/>
    <w:rsid w:val="00B77768"/>
    <w:rsid w:val="00B77826"/>
    <w:rsid w:val="00B77A10"/>
    <w:rsid w:val="00B77AF7"/>
    <w:rsid w:val="00B77AFD"/>
    <w:rsid w:val="00B77B00"/>
    <w:rsid w:val="00B77BC4"/>
    <w:rsid w:val="00B77C99"/>
    <w:rsid w:val="00B77CAB"/>
    <w:rsid w:val="00B77CB8"/>
    <w:rsid w:val="00B77DF4"/>
    <w:rsid w:val="00B80061"/>
    <w:rsid w:val="00B8008F"/>
    <w:rsid w:val="00B800E8"/>
    <w:rsid w:val="00B80239"/>
    <w:rsid w:val="00B8023B"/>
    <w:rsid w:val="00B80257"/>
    <w:rsid w:val="00B80268"/>
    <w:rsid w:val="00B802BB"/>
    <w:rsid w:val="00B803D8"/>
    <w:rsid w:val="00B80472"/>
    <w:rsid w:val="00B8057B"/>
    <w:rsid w:val="00B805A3"/>
    <w:rsid w:val="00B80606"/>
    <w:rsid w:val="00B80812"/>
    <w:rsid w:val="00B80AE0"/>
    <w:rsid w:val="00B80B0A"/>
    <w:rsid w:val="00B80D23"/>
    <w:rsid w:val="00B80D88"/>
    <w:rsid w:val="00B80E3D"/>
    <w:rsid w:val="00B80E45"/>
    <w:rsid w:val="00B80E9D"/>
    <w:rsid w:val="00B80FC5"/>
    <w:rsid w:val="00B81077"/>
    <w:rsid w:val="00B810DD"/>
    <w:rsid w:val="00B8126E"/>
    <w:rsid w:val="00B812A7"/>
    <w:rsid w:val="00B812F6"/>
    <w:rsid w:val="00B8131F"/>
    <w:rsid w:val="00B81368"/>
    <w:rsid w:val="00B813B6"/>
    <w:rsid w:val="00B813FC"/>
    <w:rsid w:val="00B81415"/>
    <w:rsid w:val="00B81469"/>
    <w:rsid w:val="00B81488"/>
    <w:rsid w:val="00B8160F"/>
    <w:rsid w:val="00B816C8"/>
    <w:rsid w:val="00B8180F"/>
    <w:rsid w:val="00B81900"/>
    <w:rsid w:val="00B81A19"/>
    <w:rsid w:val="00B81AE3"/>
    <w:rsid w:val="00B81B68"/>
    <w:rsid w:val="00B81E39"/>
    <w:rsid w:val="00B81EFF"/>
    <w:rsid w:val="00B81F35"/>
    <w:rsid w:val="00B81FBE"/>
    <w:rsid w:val="00B820E5"/>
    <w:rsid w:val="00B8218F"/>
    <w:rsid w:val="00B821C8"/>
    <w:rsid w:val="00B82221"/>
    <w:rsid w:val="00B823A1"/>
    <w:rsid w:val="00B8251F"/>
    <w:rsid w:val="00B82536"/>
    <w:rsid w:val="00B8258A"/>
    <w:rsid w:val="00B826A6"/>
    <w:rsid w:val="00B829A9"/>
    <w:rsid w:val="00B82CB9"/>
    <w:rsid w:val="00B82CD4"/>
    <w:rsid w:val="00B82E29"/>
    <w:rsid w:val="00B82FAD"/>
    <w:rsid w:val="00B82FBD"/>
    <w:rsid w:val="00B830A3"/>
    <w:rsid w:val="00B830E7"/>
    <w:rsid w:val="00B8317F"/>
    <w:rsid w:val="00B8319F"/>
    <w:rsid w:val="00B83246"/>
    <w:rsid w:val="00B83251"/>
    <w:rsid w:val="00B83267"/>
    <w:rsid w:val="00B8326D"/>
    <w:rsid w:val="00B832B4"/>
    <w:rsid w:val="00B832C2"/>
    <w:rsid w:val="00B8338E"/>
    <w:rsid w:val="00B833A1"/>
    <w:rsid w:val="00B833AD"/>
    <w:rsid w:val="00B833B4"/>
    <w:rsid w:val="00B8348D"/>
    <w:rsid w:val="00B834AE"/>
    <w:rsid w:val="00B83505"/>
    <w:rsid w:val="00B83529"/>
    <w:rsid w:val="00B8354B"/>
    <w:rsid w:val="00B835DC"/>
    <w:rsid w:val="00B83850"/>
    <w:rsid w:val="00B8390C"/>
    <w:rsid w:val="00B839C4"/>
    <w:rsid w:val="00B83A05"/>
    <w:rsid w:val="00B83B03"/>
    <w:rsid w:val="00B83BA3"/>
    <w:rsid w:val="00B83C26"/>
    <w:rsid w:val="00B83C6F"/>
    <w:rsid w:val="00B83D24"/>
    <w:rsid w:val="00B83DB5"/>
    <w:rsid w:val="00B83DBA"/>
    <w:rsid w:val="00B83DDD"/>
    <w:rsid w:val="00B83E1B"/>
    <w:rsid w:val="00B8400A"/>
    <w:rsid w:val="00B84077"/>
    <w:rsid w:val="00B8415B"/>
    <w:rsid w:val="00B841A0"/>
    <w:rsid w:val="00B841A3"/>
    <w:rsid w:val="00B841B1"/>
    <w:rsid w:val="00B842C6"/>
    <w:rsid w:val="00B8437C"/>
    <w:rsid w:val="00B84389"/>
    <w:rsid w:val="00B845FC"/>
    <w:rsid w:val="00B8476C"/>
    <w:rsid w:val="00B849BA"/>
    <w:rsid w:val="00B849FF"/>
    <w:rsid w:val="00B84CCD"/>
    <w:rsid w:val="00B84D0E"/>
    <w:rsid w:val="00B84D37"/>
    <w:rsid w:val="00B84D98"/>
    <w:rsid w:val="00B84E3E"/>
    <w:rsid w:val="00B8501A"/>
    <w:rsid w:val="00B85120"/>
    <w:rsid w:val="00B851F9"/>
    <w:rsid w:val="00B8539F"/>
    <w:rsid w:val="00B853DE"/>
    <w:rsid w:val="00B85485"/>
    <w:rsid w:val="00B854D4"/>
    <w:rsid w:val="00B854EE"/>
    <w:rsid w:val="00B8582B"/>
    <w:rsid w:val="00B858EB"/>
    <w:rsid w:val="00B85A06"/>
    <w:rsid w:val="00B85A0A"/>
    <w:rsid w:val="00B85A70"/>
    <w:rsid w:val="00B85B5D"/>
    <w:rsid w:val="00B85D3D"/>
    <w:rsid w:val="00B85D68"/>
    <w:rsid w:val="00B85E0E"/>
    <w:rsid w:val="00B85E16"/>
    <w:rsid w:val="00B85FB5"/>
    <w:rsid w:val="00B86113"/>
    <w:rsid w:val="00B86152"/>
    <w:rsid w:val="00B861EE"/>
    <w:rsid w:val="00B86266"/>
    <w:rsid w:val="00B862E3"/>
    <w:rsid w:val="00B8631E"/>
    <w:rsid w:val="00B8632D"/>
    <w:rsid w:val="00B864BF"/>
    <w:rsid w:val="00B86568"/>
    <w:rsid w:val="00B86694"/>
    <w:rsid w:val="00B866F9"/>
    <w:rsid w:val="00B867C1"/>
    <w:rsid w:val="00B86924"/>
    <w:rsid w:val="00B86973"/>
    <w:rsid w:val="00B869BF"/>
    <w:rsid w:val="00B86A2C"/>
    <w:rsid w:val="00B86AD4"/>
    <w:rsid w:val="00B86C22"/>
    <w:rsid w:val="00B86C33"/>
    <w:rsid w:val="00B86DAC"/>
    <w:rsid w:val="00B86DBE"/>
    <w:rsid w:val="00B86E6B"/>
    <w:rsid w:val="00B86F11"/>
    <w:rsid w:val="00B86F4B"/>
    <w:rsid w:val="00B86FA2"/>
    <w:rsid w:val="00B87034"/>
    <w:rsid w:val="00B87296"/>
    <w:rsid w:val="00B8734D"/>
    <w:rsid w:val="00B873C8"/>
    <w:rsid w:val="00B875C7"/>
    <w:rsid w:val="00B8762F"/>
    <w:rsid w:val="00B87724"/>
    <w:rsid w:val="00B877ED"/>
    <w:rsid w:val="00B87838"/>
    <w:rsid w:val="00B8783E"/>
    <w:rsid w:val="00B878C9"/>
    <w:rsid w:val="00B87914"/>
    <w:rsid w:val="00B87AD3"/>
    <w:rsid w:val="00B87C4E"/>
    <w:rsid w:val="00B87C5F"/>
    <w:rsid w:val="00B87D9D"/>
    <w:rsid w:val="00B87DA8"/>
    <w:rsid w:val="00B87E7F"/>
    <w:rsid w:val="00B87F99"/>
    <w:rsid w:val="00B903BE"/>
    <w:rsid w:val="00B904A8"/>
    <w:rsid w:val="00B9070D"/>
    <w:rsid w:val="00B907E7"/>
    <w:rsid w:val="00B9080C"/>
    <w:rsid w:val="00B90843"/>
    <w:rsid w:val="00B909BA"/>
    <w:rsid w:val="00B90A36"/>
    <w:rsid w:val="00B90B3B"/>
    <w:rsid w:val="00B90C6C"/>
    <w:rsid w:val="00B90C78"/>
    <w:rsid w:val="00B90E65"/>
    <w:rsid w:val="00B90E94"/>
    <w:rsid w:val="00B9100F"/>
    <w:rsid w:val="00B9115A"/>
    <w:rsid w:val="00B9134A"/>
    <w:rsid w:val="00B9157B"/>
    <w:rsid w:val="00B91587"/>
    <w:rsid w:val="00B915AA"/>
    <w:rsid w:val="00B9162E"/>
    <w:rsid w:val="00B91684"/>
    <w:rsid w:val="00B91738"/>
    <w:rsid w:val="00B91762"/>
    <w:rsid w:val="00B91804"/>
    <w:rsid w:val="00B91859"/>
    <w:rsid w:val="00B918D8"/>
    <w:rsid w:val="00B91A56"/>
    <w:rsid w:val="00B91C9E"/>
    <w:rsid w:val="00B91D2C"/>
    <w:rsid w:val="00B91D61"/>
    <w:rsid w:val="00B91EAD"/>
    <w:rsid w:val="00B92036"/>
    <w:rsid w:val="00B92167"/>
    <w:rsid w:val="00B9216D"/>
    <w:rsid w:val="00B921C3"/>
    <w:rsid w:val="00B923AD"/>
    <w:rsid w:val="00B923B0"/>
    <w:rsid w:val="00B923D5"/>
    <w:rsid w:val="00B923EE"/>
    <w:rsid w:val="00B9241D"/>
    <w:rsid w:val="00B924AA"/>
    <w:rsid w:val="00B925C9"/>
    <w:rsid w:val="00B925E1"/>
    <w:rsid w:val="00B92730"/>
    <w:rsid w:val="00B92A7F"/>
    <w:rsid w:val="00B92B40"/>
    <w:rsid w:val="00B92C44"/>
    <w:rsid w:val="00B92DB0"/>
    <w:rsid w:val="00B92DB2"/>
    <w:rsid w:val="00B92E5B"/>
    <w:rsid w:val="00B92EA9"/>
    <w:rsid w:val="00B92ED8"/>
    <w:rsid w:val="00B92F1E"/>
    <w:rsid w:val="00B92FD5"/>
    <w:rsid w:val="00B93160"/>
    <w:rsid w:val="00B931F0"/>
    <w:rsid w:val="00B9330C"/>
    <w:rsid w:val="00B93374"/>
    <w:rsid w:val="00B9345F"/>
    <w:rsid w:val="00B9350D"/>
    <w:rsid w:val="00B9360A"/>
    <w:rsid w:val="00B93692"/>
    <w:rsid w:val="00B936D0"/>
    <w:rsid w:val="00B93706"/>
    <w:rsid w:val="00B93721"/>
    <w:rsid w:val="00B93743"/>
    <w:rsid w:val="00B9378B"/>
    <w:rsid w:val="00B9396C"/>
    <w:rsid w:val="00B93A48"/>
    <w:rsid w:val="00B93B18"/>
    <w:rsid w:val="00B93EE4"/>
    <w:rsid w:val="00B93EFE"/>
    <w:rsid w:val="00B94074"/>
    <w:rsid w:val="00B941C2"/>
    <w:rsid w:val="00B9428A"/>
    <w:rsid w:val="00B9428E"/>
    <w:rsid w:val="00B943BE"/>
    <w:rsid w:val="00B944FC"/>
    <w:rsid w:val="00B94502"/>
    <w:rsid w:val="00B94528"/>
    <w:rsid w:val="00B94565"/>
    <w:rsid w:val="00B9462A"/>
    <w:rsid w:val="00B94667"/>
    <w:rsid w:val="00B9481C"/>
    <w:rsid w:val="00B94855"/>
    <w:rsid w:val="00B948C0"/>
    <w:rsid w:val="00B949CA"/>
    <w:rsid w:val="00B94A08"/>
    <w:rsid w:val="00B94A47"/>
    <w:rsid w:val="00B94A68"/>
    <w:rsid w:val="00B94AF0"/>
    <w:rsid w:val="00B94B4C"/>
    <w:rsid w:val="00B94D36"/>
    <w:rsid w:val="00B94D65"/>
    <w:rsid w:val="00B94DDB"/>
    <w:rsid w:val="00B94EA3"/>
    <w:rsid w:val="00B94F5A"/>
    <w:rsid w:val="00B94FD6"/>
    <w:rsid w:val="00B9501F"/>
    <w:rsid w:val="00B95153"/>
    <w:rsid w:val="00B95233"/>
    <w:rsid w:val="00B95327"/>
    <w:rsid w:val="00B95343"/>
    <w:rsid w:val="00B95381"/>
    <w:rsid w:val="00B95593"/>
    <w:rsid w:val="00B95689"/>
    <w:rsid w:val="00B9569F"/>
    <w:rsid w:val="00B957D1"/>
    <w:rsid w:val="00B95827"/>
    <w:rsid w:val="00B95882"/>
    <w:rsid w:val="00B95932"/>
    <w:rsid w:val="00B95A46"/>
    <w:rsid w:val="00B95A87"/>
    <w:rsid w:val="00B95A8C"/>
    <w:rsid w:val="00B95B92"/>
    <w:rsid w:val="00B95BA3"/>
    <w:rsid w:val="00B95BBB"/>
    <w:rsid w:val="00B95CC4"/>
    <w:rsid w:val="00B95F42"/>
    <w:rsid w:val="00B960DF"/>
    <w:rsid w:val="00B96181"/>
    <w:rsid w:val="00B961D8"/>
    <w:rsid w:val="00B9641A"/>
    <w:rsid w:val="00B964F2"/>
    <w:rsid w:val="00B965BE"/>
    <w:rsid w:val="00B96699"/>
    <w:rsid w:val="00B968A2"/>
    <w:rsid w:val="00B968B9"/>
    <w:rsid w:val="00B968C0"/>
    <w:rsid w:val="00B96927"/>
    <w:rsid w:val="00B96A9E"/>
    <w:rsid w:val="00B96BEB"/>
    <w:rsid w:val="00B96BF2"/>
    <w:rsid w:val="00B96D9F"/>
    <w:rsid w:val="00B96E9D"/>
    <w:rsid w:val="00B9704B"/>
    <w:rsid w:val="00B9719F"/>
    <w:rsid w:val="00B97237"/>
    <w:rsid w:val="00B97764"/>
    <w:rsid w:val="00B977E6"/>
    <w:rsid w:val="00B97AF7"/>
    <w:rsid w:val="00B97BB2"/>
    <w:rsid w:val="00B97D0B"/>
    <w:rsid w:val="00B97D9F"/>
    <w:rsid w:val="00B97F39"/>
    <w:rsid w:val="00B97FE8"/>
    <w:rsid w:val="00B9FBC2"/>
    <w:rsid w:val="00BA011B"/>
    <w:rsid w:val="00BA01B1"/>
    <w:rsid w:val="00BA0249"/>
    <w:rsid w:val="00BA0270"/>
    <w:rsid w:val="00BA0536"/>
    <w:rsid w:val="00BA060F"/>
    <w:rsid w:val="00BA069C"/>
    <w:rsid w:val="00BA08DB"/>
    <w:rsid w:val="00BA0A81"/>
    <w:rsid w:val="00BA0AA3"/>
    <w:rsid w:val="00BA0AD3"/>
    <w:rsid w:val="00BA0B00"/>
    <w:rsid w:val="00BA0BD5"/>
    <w:rsid w:val="00BA0CC2"/>
    <w:rsid w:val="00BA0CE4"/>
    <w:rsid w:val="00BA0E07"/>
    <w:rsid w:val="00BA0ECC"/>
    <w:rsid w:val="00BA0ED1"/>
    <w:rsid w:val="00BA0F3A"/>
    <w:rsid w:val="00BA0F64"/>
    <w:rsid w:val="00BA11DD"/>
    <w:rsid w:val="00BA1232"/>
    <w:rsid w:val="00BA12BA"/>
    <w:rsid w:val="00BA12BB"/>
    <w:rsid w:val="00BA132A"/>
    <w:rsid w:val="00BA144E"/>
    <w:rsid w:val="00BA1478"/>
    <w:rsid w:val="00BA150E"/>
    <w:rsid w:val="00BA158F"/>
    <w:rsid w:val="00BA16F0"/>
    <w:rsid w:val="00BA1742"/>
    <w:rsid w:val="00BA17A5"/>
    <w:rsid w:val="00BA1B68"/>
    <w:rsid w:val="00BA1B80"/>
    <w:rsid w:val="00BA1C06"/>
    <w:rsid w:val="00BA1C1D"/>
    <w:rsid w:val="00BA1DEB"/>
    <w:rsid w:val="00BA1E5C"/>
    <w:rsid w:val="00BA2069"/>
    <w:rsid w:val="00BA206A"/>
    <w:rsid w:val="00BA2087"/>
    <w:rsid w:val="00BA20E5"/>
    <w:rsid w:val="00BA2244"/>
    <w:rsid w:val="00BA228B"/>
    <w:rsid w:val="00BA2326"/>
    <w:rsid w:val="00BA2358"/>
    <w:rsid w:val="00BA23DF"/>
    <w:rsid w:val="00BA2416"/>
    <w:rsid w:val="00BA2509"/>
    <w:rsid w:val="00BA252E"/>
    <w:rsid w:val="00BA26AE"/>
    <w:rsid w:val="00BA27A0"/>
    <w:rsid w:val="00BA2A50"/>
    <w:rsid w:val="00BA2A67"/>
    <w:rsid w:val="00BA2ABE"/>
    <w:rsid w:val="00BA2AFF"/>
    <w:rsid w:val="00BA2B36"/>
    <w:rsid w:val="00BA2C04"/>
    <w:rsid w:val="00BA2CCA"/>
    <w:rsid w:val="00BA2CD7"/>
    <w:rsid w:val="00BA2CDC"/>
    <w:rsid w:val="00BA2D03"/>
    <w:rsid w:val="00BA2D38"/>
    <w:rsid w:val="00BA2F7F"/>
    <w:rsid w:val="00BA3043"/>
    <w:rsid w:val="00BA3200"/>
    <w:rsid w:val="00BA3216"/>
    <w:rsid w:val="00BA3222"/>
    <w:rsid w:val="00BA333A"/>
    <w:rsid w:val="00BA33AA"/>
    <w:rsid w:val="00BA33BA"/>
    <w:rsid w:val="00BA33CA"/>
    <w:rsid w:val="00BA34DA"/>
    <w:rsid w:val="00BA3670"/>
    <w:rsid w:val="00BA38DB"/>
    <w:rsid w:val="00BA3988"/>
    <w:rsid w:val="00BA3A6C"/>
    <w:rsid w:val="00BA3B2F"/>
    <w:rsid w:val="00BA3B3C"/>
    <w:rsid w:val="00BA3BFA"/>
    <w:rsid w:val="00BA3C10"/>
    <w:rsid w:val="00BA3F5B"/>
    <w:rsid w:val="00BA3FAD"/>
    <w:rsid w:val="00BA40B9"/>
    <w:rsid w:val="00BA431C"/>
    <w:rsid w:val="00BA435D"/>
    <w:rsid w:val="00BA4390"/>
    <w:rsid w:val="00BA451D"/>
    <w:rsid w:val="00BA45C6"/>
    <w:rsid w:val="00BA4754"/>
    <w:rsid w:val="00BA47E3"/>
    <w:rsid w:val="00BA4851"/>
    <w:rsid w:val="00BA4949"/>
    <w:rsid w:val="00BA4C2A"/>
    <w:rsid w:val="00BA4CAA"/>
    <w:rsid w:val="00BA4DF1"/>
    <w:rsid w:val="00BA4F32"/>
    <w:rsid w:val="00BA4F50"/>
    <w:rsid w:val="00BA4FE4"/>
    <w:rsid w:val="00BA502F"/>
    <w:rsid w:val="00BA5032"/>
    <w:rsid w:val="00BA51BA"/>
    <w:rsid w:val="00BA538E"/>
    <w:rsid w:val="00BA5441"/>
    <w:rsid w:val="00BA5485"/>
    <w:rsid w:val="00BA556A"/>
    <w:rsid w:val="00BA5627"/>
    <w:rsid w:val="00BA563D"/>
    <w:rsid w:val="00BA56C4"/>
    <w:rsid w:val="00BA571A"/>
    <w:rsid w:val="00BA5754"/>
    <w:rsid w:val="00BA57ED"/>
    <w:rsid w:val="00BA5814"/>
    <w:rsid w:val="00BA5BCF"/>
    <w:rsid w:val="00BA5C3A"/>
    <w:rsid w:val="00BA5C82"/>
    <w:rsid w:val="00BA5E5A"/>
    <w:rsid w:val="00BA5F6C"/>
    <w:rsid w:val="00BA6055"/>
    <w:rsid w:val="00BA60EE"/>
    <w:rsid w:val="00BA615E"/>
    <w:rsid w:val="00BA6161"/>
    <w:rsid w:val="00BA61F1"/>
    <w:rsid w:val="00BA624B"/>
    <w:rsid w:val="00BA6255"/>
    <w:rsid w:val="00BA6332"/>
    <w:rsid w:val="00BA6393"/>
    <w:rsid w:val="00BA65A8"/>
    <w:rsid w:val="00BA66A2"/>
    <w:rsid w:val="00BA6799"/>
    <w:rsid w:val="00BA67B2"/>
    <w:rsid w:val="00BA6A35"/>
    <w:rsid w:val="00BA6B1A"/>
    <w:rsid w:val="00BA6B7C"/>
    <w:rsid w:val="00BA6BC9"/>
    <w:rsid w:val="00BA6F67"/>
    <w:rsid w:val="00BA6FAD"/>
    <w:rsid w:val="00BA701B"/>
    <w:rsid w:val="00BA7030"/>
    <w:rsid w:val="00BA70D0"/>
    <w:rsid w:val="00BA7165"/>
    <w:rsid w:val="00BA7237"/>
    <w:rsid w:val="00BA738E"/>
    <w:rsid w:val="00BA73D2"/>
    <w:rsid w:val="00BA760C"/>
    <w:rsid w:val="00BA76B6"/>
    <w:rsid w:val="00BA771F"/>
    <w:rsid w:val="00BA779F"/>
    <w:rsid w:val="00BA7982"/>
    <w:rsid w:val="00BA7AAC"/>
    <w:rsid w:val="00BA7AD0"/>
    <w:rsid w:val="00BA7AE5"/>
    <w:rsid w:val="00BA7BCD"/>
    <w:rsid w:val="00BA7CA5"/>
    <w:rsid w:val="00BA7D7C"/>
    <w:rsid w:val="00BA7DCD"/>
    <w:rsid w:val="00BA7DD8"/>
    <w:rsid w:val="00BA7DE1"/>
    <w:rsid w:val="00BA7E2D"/>
    <w:rsid w:val="00BA7EDB"/>
    <w:rsid w:val="00BB006E"/>
    <w:rsid w:val="00BB00F7"/>
    <w:rsid w:val="00BB0147"/>
    <w:rsid w:val="00BB01F1"/>
    <w:rsid w:val="00BB0202"/>
    <w:rsid w:val="00BB02BC"/>
    <w:rsid w:val="00BB03CB"/>
    <w:rsid w:val="00BB04F4"/>
    <w:rsid w:val="00BB0755"/>
    <w:rsid w:val="00BB0779"/>
    <w:rsid w:val="00BB080A"/>
    <w:rsid w:val="00BB0989"/>
    <w:rsid w:val="00BB09A1"/>
    <w:rsid w:val="00BB0B44"/>
    <w:rsid w:val="00BB0BEA"/>
    <w:rsid w:val="00BB0CCB"/>
    <w:rsid w:val="00BB0D31"/>
    <w:rsid w:val="00BB0DC7"/>
    <w:rsid w:val="00BB0E08"/>
    <w:rsid w:val="00BB0F2D"/>
    <w:rsid w:val="00BB0F87"/>
    <w:rsid w:val="00BB0FB2"/>
    <w:rsid w:val="00BB104C"/>
    <w:rsid w:val="00BB109B"/>
    <w:rsid w:val="00BB117D"/>
    <w:rsid w:val="00BB11A3"/>
    <w:rsid w:val="00BB1394"/>
    <w:rsid w:val="00BB13BE"/>
    <w:rsid w:val="00BB1434"/>
    <w:rsid w:val="00BB1445"/>
    <w:rsid w:val="00BB151F"/>
    <w:rsid w:val="00BB156B"/>
    <w:rsid w:val="00BB1591"/>
    <w:rsid w:val="00BB1642"/>
    <w:rsid w:val="00BB173B"/>
    <w:rsid w:val="00BB187E"/>
    <w:rsid w:val="00BB18D1"/>
    <w:rsid w:val="00BB192E"/>
    <w:rsid w:val="00BB19D0"/>
    <w:rsid w:val="00BB19E9"/>
    <w:rsid w:val="00BB1A6F"/>
    <w:rsid w:val="00BB1B27"/>
    <w:rsid w:val="00BB1B7A"/>
    <w:rsid w:val="00BB1BD9"/>
    <w:rsid w:val="00BB1CE5"/>
    <w:rsid w:val="00BB1E1F"/>
    <w:rsid w:val="00BB1E3E"/>
    <w:rsid w:val="00BB1EC2"/>
    <w:rsid w:val="00BB1F5F"/>
    <w:rsid w:val="00BB1FF8"/>
    <w:rsid w:val="00BB2038"/>
    <w:rsid w:val="00BB2083"/>
    <w:rsid w:val="00BB2085"/>
    <w:rsid w:val="00BB2124"/>
    <w:rsid w:val="00BB2155"/>
    <w:rsid w:val="00BB217F"/>
    <w:rsid w:val="00BB2205"/>
    <w:rsid w:val="00BB2325"/>
    <w:rsid w:val="00BB24CC"/>
    <w:rsid w:val="00BB24F2"/>
    <w:rsid w:val="00BB25E2"/>
    <w:rsid w:val="00BB2611"/>
    <w:rsid w:val="00BB2646"/>
    <w:rsid w:val="00BB26B1"/>
    <w:rsid w:val="00BB26EF"/>
    <w:rsid w:val="00BB27A8"/>
    <w:rsid w:val="00BB2869"/>
    <w:rsid w:val="00BB295C"/>
    <w:rsid w:val="00BB2A0A"/>
    <w:rsid w:val="00BB2A33"/>
    <w:rsid w:val="00BB2C6D"/>
    <w:rsid w:val="00BB2EE3"/>
    <w:rsid w:val="00BB3050"/>
    <w:rsid w:val="00BB30D9"/>
    <w:rsid w:val="00BB3118"/>
    <w:rsid w:val="00BB3190"/>
    <w:rsid w:val="00BB3273"/>
    <w:rsid w:val="00BB32B4"/>
    <w:rsid w:val="00BB3452"/>
    <w:rsid w:val="00BB3473"/>
    <w:rsid w:val="00BB348C"/>
    <w:rsid w:val="00BB348F"/>
    <w:rsid w:val="00BB373C"/>
    <w:rsid w:val="00BB3846"/>
    <w:rsid w:val="00BB3851"/>
    <w:rsid w:val="00BB38A2"/>
    <w:rsid w:val="00BB3913"/>
    <w:rsid w:val="00BB392A"/>
    <w:rsid w:val="00BB3BA8"/>
    <w:rsid w:val="00BB3BE9"/>
    <w:rsid w:val="00BB3BFB"/>
    <w:rsid w:val="00BB3C53"/>
    <w:rsid w:val="00BB3EF6"/>
    <w:rsid w:val="00BB3EFB"/>
    <w:rsid w:val="00BB3F4E"/>
    <w:rsid w:val="00BB3F69"/>
    <w:rsid w:val="00BB41AA"/>
    <w:rsid w:val="00BB4219"/>
    <w:rsid w:val="00BB4268"/>
    <w:rsid w:val="00BB460A"/>
    <w:rsid w:val="00BB4623"/>
    <w:rsid w:val="00BB4669"/>
    <w:rsid w:val="00BB46F1"/>
    <w:rsid w:val="00BB4EF3"/>
    <w:rsid w:val="00BB4F36"/>
    <w:rsid w:val="00BB5072"/>
    <w:rsid w:val="00BB50E3"/>
    <w:rsid w:val="00BB51EC"/>
    <w:rsid w:val="00BB5262"/>
    <w:rsid w:val="00BB541C"/>
    <w:rsid w:val="00BB5457"/>
    <w:rsid w:val="00BB55E3"/>
    <w:rsid w:val="00BB563F"/>
    <w:rsid w:val="00BB566F"/>
    <w:rsid w:val="00BB5B53"/>
    <w:rsid w:val="00BB5B8E"/>
    <w:rsid w:val="00BB5CA5"/>
    <w:rsid w:val="00BB5DF8"/>
    <w:rsid w:val="00BB5E8E"/>
    <w:rsid w:val="00BB5F61"/>
    <w:rsid w:val="00BB6014"/>
    <w:rsid w:val="00BB606D"/>
    <w:rsid w:val="00BB621E"/>
    <w:rsid w:val="00BB62C8"/>
    <w:rsid w:val="00BB6503"/>
    <w:rsid w:val="00BB654C"/>
    <w:rsid w:val="00BB65A4"/>
    <w:rsid w:val="00BB660C"/>
    <w:rsid w:val="00BB6629"/>
    <w:rsid w:val="00BB683B"/>
    <w:rsid w:val="00BB68EC"/>
    <w:rsid w:val="00BB6902"/>
    <w:rsid w:val="00BB69BE"/>
    <w:rsid w:val="00BB6A4B"/>
    <w:rsid w:val="00BB6AFD"/>
    <w:rsid w:val="00BB6BB4"/>
    <w:rsid w:val="00BB6D03"/>
    <w:rsid w:val="00BB6D55"/>
    <w:rsid w:val="00BB6E29"/>
    <w:rsid w:val="00BB6EC8"/>
    <w:rsid w:val="00BB6F01"/>
    <w:rsid w:val="00BB70EE"/>
    <w:rsid w:val="00BB71B2"/>
    <w:rsid w:val="00BB7274"/>
    <w:rsid w:val="00BB72AC"/>
    <w:rsid w:val="00BB736F"/>
    <w:rsid w:val="00BB73CD"/>
    <w:rsid w:val="00BB73F3"/>
    <w:rsid w:val="00BB74E5"/>
    <w:rsid w:val="00BB75F2"/>
    <w:rsid w:val="00BB7633"/>
    <w:rsid w:val="00BB76B8"/>
    <w:rsid w:val="00BB78F7"/>
    <w:rsid w:val="00BB79E2"/>
    <w:rsid w:val="00BB7AB0"/>
    <w:rsid w:val="00BB7C1A"/>
    <w:rsid w:val="00BB7C4E"/>
    <w:rsid w:val="00BB7D1E"/>
    <w:rsid w:val="00BB7D5E"/>
    <w:rsid w:val="00BB7E22"/>
    <w:rsid w:val="00BB7E47"/>
    <w:rsid w:val="00BB7E54"/>
    <w:rsid w:val="00BB7F29"/>
    <w:rsid w:val="00BC0052"/>
    <w:rsid w:val="00BC016C"/>
    <w:rsid w:val="00BC01BD"/>
    <w:rsid w:val="00BC01E9"/>
    <w:rsid w:val="00BC0319"/>
    <w:rsid w:val="00BC033A"/>
    <w:rsid w:val="00BC042E"/>
    <w:rsid w:val="00BC0486"/>
    <w:rsid w:val="00BC0537"/>
    <w:rsid w:val="00BC0551"/>
    <w:rsid w:val="00BC07D0"/>
    <w:rsid w:val="00BC0A3F"/>
    <w:rsid w:val="00BC0A88"/>
    <w:rsid w:val="00BC0AE4"/>
    <w:rsid w:val="00BC0AE6"/>
    <w:rsid w:val="00BC0BED"/>
    <w:rsid w:val="00BC0BF9"/>
    <w:rsid w:val="00BC0C04"/>
    <w:rsid w:val="00BC0D44"/>
    <w:rsid w:val="00BC0E33"/>
    <w:rsid w:val="00BC0E3F"/>
    <w:rsid w:val="00BC0F7D"/>
    <w:rsid w:val="00BC108C"/>
    <w:rsid w:val="00BC109D"/>
    <w:rsid w:val="00BC114C"/>
    <w:rsid w:val="00BC1182"/>
    <w:rsid w:val="00BC11E9"/>
    <w:rsid w:val="00BC1282"/>
    <w:rsid w:val="00BC1286"/>
    <w:rsid w:val="00BC1381"/>
    <w:rsid w:val="00BC143B"/>
    <w:rsid w:val="00BC148D"/>
    <w:rsid w:val="00BC14F2"/>
    <w:rsid w:val="00BC152F"/>
    <w:rsid w:val="00BC1660"/>
    <w:rsid w:val="00BC190D"/>
    <w:rsid w:val="00BC19F7"/>
    <w:rsid w:val="00BC1A2D"/>
    <w:rsid w:val="00BC1ADC"/>
    <w:rsid w:val="00BC1AEF"/>
    <w:rsid w:val="00BC1AF8"/>
    <w:rsid w:val="00BC1BB6"/>
    <w:rsid w:val="00BC1BF1"/>
    <w:rsid w:val="00BC1C7F"/>
    <w:rsid w:val="00BC1DB5"/>
    <w:rsid w:val="00BC1DD4"/>
    <w:rsid w:val="00BC1DF3"/>
    <w:rsid w:val="00BC1E3F"/>
    <w:rsid w:val="00BC1EF4"/>
    <w:rsid w:val="00BC20BD"/>
    <w:rsid w:val="00BC2109"/>
    <w:rsid w:val="00BC212E"/>
    <w:rsid w:val="00BC22A7"/>
    <w:rsid w:val="00BC22C9"/>
    <w:rsid w:val="00BC2366"/>
    <w:rsid w:val="00BC23D0"/>
    <w:rsid w:val="00BC2415"/>
    <w:rsid w:val="00BC251C"/>
    <w:rsid w:val="00BC26A9"/>
    <w:rsid w:val="00BC26D2"/>
    <w:rsid w:val="00BC2778"/>
    <w:rsid w:val="00BC2797"/>
    <w:rsid w:val="00BC27D6"/>
    <w:rsid w:val="00BC2844"/>
    <w:rsid w:val="00BC29BA"/>
    <w:rsid w:val="00BC2BC9"/>
    <w:rsid w:val="00BC2CCC"/>
    <w:rsid w:val="00BC2D77"/>
    <w:rsid w:val="00BC2EEF"/>
    <w:rsid w:val="00BC2F54"/>
    <w:rsid w:val="00BC2F9B"/>
    <w:rsid w:val="00BC306B"/>
    <w:rsid w:val="00BC30AC"/>
    <w:rsid w:val="00BC30AF"/>
    <w:rsid w:val="00BC319A"/>
    <w:rsid w:val="00BC3340"/>
    <w:rsid w:val="00BC3344"/>
    <w:rsid w:val="00BC34DD"/>
    <w:rsid w:val="00BC34F5"/>
    <w:rsid w:val="00BC3508"/>
    <w:rsid w:val="00BC365F"/>
    <w:rsid w:val="00BC3681"/>
    <w:rsid w:val="00BC3823"/>
    <w:rsid w:val="00BC38B3"/>
    <w:rsid w:val="00BC38EE"/>
    <w:rsid w:val="00BC3A41"/>
    <w:rsid w:val="00BC3A6E"/>
    <w:rsid w:val="00BC3CCD"/>
    <w:rsid w:val="00BC3D00"/>
    <w:rsid w:val="00BC3D9E"/>
    <w:rsid w:val="00BC3FAD"/>
    <w:rsid w:val="00BC4185"/>
    <w:rsid w:val="00BC4288"/>
    <w:rsid w:val="00BC42D1"/>
    <w:rsid w:val="00BC43BC"/>
    <w:rsid w:val="00BC43C4"/>
    <w:rsid w:val="00BC43F8"/>
    <w:rsid w:val="00BC454F"/>
    <w:rsid w:val="00BC4560"/>
    <w:rsid w:val="00BC45DF"/>
    <w:rsid w:val="00BC47A8"/>
    <w:rsid w:val="00BC487F"/>
    <w:rsid w:val="00BC4AF3"/>
    <w:rsid w:val="00BC4C4B"/>
    <w:rsid w:val="00BC4C8F"/>
    <w:rsid w:val="00BC4CF7"/>
    <w:rsid w:val="00BC4DC8"/>
    <w:rsid w:val="00BC4DE2"/>
    <w:rsid w:val="00BC4E5D"/>
    <w:rsid w:val="00BC4EAB"/>
    <w:rsid w:val="00BC4F23"/>
    <w:rsid w:val="00BC5001"/>
    <w:rsid w:val="00BC515B"/>
    <w:rsid w:val="00BC51F0"/>
    <w:rsid w:val="00BC5209"/>
    <w:rsid w:val="00BC525F"/>
    <w:rsid w:val="00BC547E"/>
    <w:rsid w:val="00BC54DC"/>
    <w:rsid w:val="00BC55B9"/>
    <w:rsid w:val="00BC56C9"/>
    <w:rsid w:val="00BC56F2"/>
    <w:rsid w:val="00BC572A"/>
    <w:rsid w:val="00BC58E7"/>
    <w:rsid w:val="00BC5975"/>
    <w:rsid w:val="00BC59A5"/>
    <w:rsid w:val="00BC5A11"/>
    <w:rsid w:val="00BC5A14"/>
    <w:rsid w:val="00BC5AA7"/>
    <w:rsid w:val="00BC5BD6"/>
    <w:rsid w:val="00BC5C26"/>
    <w:rsid w:val="00BC5DE6"/>
    <w:rsid w:val="00BC5E2E"/>
    <w:rsid w:val="00BC5F9D"/>
    <w:rsid w:val="00BC5FF8"/>
    <w:rsid w:val="00BC6264"/>
    <w:rsid w:val="00BC637F"/>
    <w:rsid w:val="00BC63B4"/>
    <w:rsid w:val="00BC6558"/>
    <w:rsid w:val="00BC65D6"/>
    <w:rsid w:val="00BC6656"/>
    <w:rsid w:val="00BC6661"/>
    <w:rsid w:val="00BC676A"/>
    <w:rsid w:val="00BC69A6"/>
    <w:rsid w:val="00BC69FB"/>
    <w:rsid w:val="00BC6A9A"/>
    <w:rsid w:val="00BC6B66"/>
    <w:rsid w:val="00BC6BD8"/>
    <w:rsid w:val="00BC6C0E"/>
    <w:rsid w:val="00BC6C7A"/>
    <w:rsid w:val="00BC6D44"/>
    <w:rsid w:val="00BC6D6C"/>
    <w:rsid w:val="00BC6D7C"/>
    <w:rsid w:val="00BC6E45"/>
    <w:rsid w:val="00BC6F2E"/>
    <w:rsid w:val="00BC6F44"/>
    <w:rsid w:val="00BC6F9E"/>
    <w:rsid w:val="00BC7082"/>
    <w:rsid w:val="00BC735E"/>
    <w:rsid w:val="00BC74BB"/>
    <w:rsid w:val="00BC7583"/>
    <w:rsid w:val="00BC76A7"/>
    <w:rsid w:val="00BC7783"/>
    <w:rsid w:val="00BC7873"/>
    <w:rsid w:val="00BC78BE"/>
    <w:rsid w:val="00BC7953"/>
    <w:rsid w:val="00BC7AA3"/>
    <w:rsid w:val="00BC7AB3"/>
    <w:rsid w:val="00BC7B01"/>
    <w:rsid w:val="00BC7C80"/>
    <w:rsid w:val="00BC7D1C"/>
    <w:rsid w:val="00BC7D8F"/>
    <w:rsid w:val="00BC7E35"/>
    <w:rsid w:val="00BC7E40"/>
    <w:rsid w:val="00BC7F92"/>
    <w:rsid w:val="00BD001D"/>
    <w:rsid w:val="00BD019F"/>
    <w:rsid w:val="00BD02B6"/>
    <w:rsid w:val="00BD036F"/>
    <w:rsid w:val="00BD03F6"/>
    <w:rsid w:val="00BD0485"/>
    <w:rsid w:val="00BD04C4"/>
    <w:rsid w:val="00BD0532"/>
    <w:rsid w:val="00BD0549"/>
    <w:rsid w:val="00BD06D2"/>
    <w:rsid w:val="00BD073E"/>
    <w:rsid w:val="00BD07D6"/>
    <w:rsid w:val="00BD07E6"/>
    <w:rsid w:val="00BD0803"/>
    <w:rsid w:val="00BD08F6"/>
    <w:rsid w:val="00BD0970"/>
    <w:rsid w:val="00BD0A9D"/>
    <w:rsid w:val="00BD0AE8"/>
    <w:rsid w:val="00BD0BB8"/>
    <w:rsid w:val="00BD0BFC"/>
    <w:rsid w:val="00BD0C13"/>
    <w:rsid w:val="00BD0DB8"/>
    <w:rsid w:val="00BD0E0F"/>
    <w:rsid w:val="00BD0E7F"/>
    <w:rsid w:val="00BD0EAB"/>
    <w:rsid w:val="00BD0F1F"/>
    <w:rsid w:val="00BD0F3E"/>
    <w:rsid w:val="00BD1078"/>
    <w:rsid w:val="00BD122D"/>
    <w:rsid w:val="00BD1247"/>
    <w:rsid w:val="00BD1325"/>
    <w:rsid w:val="00BD138B"/>
    <w:rsid w:val="00BD14C9"/>
    <w:rsid w:val="00BD15BF"/>
    <w:rsid w:val="00BD15E7"/>
    <w:rsid w:val="00BD164E"/>
    <w:rsid w:val="00BD16A5"/>
    <w:rsid w:val="00BD1896"/>
    <w:rsid w:val="00BD194A"/>
    <w:rsid w:val="00BD1AC4"/>
    <w:rsid w:val="00BD1AEE"/>
    <w:rsid w:val="00BD1C67"/>
    <w:rsid w:val="00BD1CD3"/>
    <w:rsid w:val="00BD1D09"/>
    <w:rsid w:val="00BD1E30"/>
    <w:rsid w:val="00BD2067"/>
    <w:rsid w:val="00BD21AC"/>
    <w:rsid w:val="00BD2317"/>
    <w:rsid w:val="00BD23D2"/>
    <w:rsid w:val="00BD2542"/>
    <w:rsid w:val="00BD292D"/>
    <w:rsid w:val="00BD296F"/>
    <w:rsid w:val="00BD2ABF"/>
    <w:rsid w:val="00BD2B12"/>
    <w:rsid w:val="00BD2C93"/>
    <w:rsid w:val="00BD2D84"/>
    <w:rsid w:val="00BD2EBF"/>
    <w:rsid w:val="00BD2ED3"/>
    <w:rsid w:val="00BD2F00"/>
    <w:rsid w:val="00BD2F42"/>
    <w:rsid w:val="00BD300D"/>
    <w:rsid w:val="00BD3042"/>
    <w:rsid w:val="00BD31D0"/>
    <w:rsid w:val="00BD3330"/>
    <w:rsid w:val="00BD33AE"/>
    <w:rsid w:val="00BD3565"/>
    <w:rsid w:val="00BD35E5"/>
    <w:rsid w:val="00BD3799"/>
    <w:rsid w:val="00BD37D1"/>
    <w:rsid w:val="00BD38BA"/>
    <w:rsid w:val="00BD38ED"/>
    <w:rsid w:val="00BD3963"/>
    <w:rsid w:val="00BD39F6"/>
    <w:rsid w:val="00BD3E9F"/>
    <w:rsid w:val="00BD3EE2"/>
    <w:rsid w:val="00BD3F9B"/>
    <w:rsid w:val="00BD3FC6"/>
    <w:rsid w:val="00BD41F8"/>
    <w:rsid w:val="00BD42F8"/>
    <w:rsid w:val="00BD4347"/>
    <w:rsid w:val="00BD4374"/>
    <w:rsid w:val="00BD4453"/>
    <w:rsid w:val="00BD4474"/>
    <w:rsid w:val="00BD4478"/>
    <w:rsid w:val="00BD44C0"/>
    <w:rsid w:val="00BD44C2"/>
    <w:rsid w:val="00BD45EF"/>
    <w:rsid w:val="00BD471C"/>
    <w:rsid w:val="00BD47A5"/>
    <w:rsid w:val="00BD4831"/>
    <w:rsid w:val="00BD48CF"/>
    <w:rsid w:val="00BD4967"/>
    <w:rsid w:val="00BD4979"/>
    <w:rsid w:val="00BD4A3C"/>
    <w:rsid w:val="00BD4A56"/>
    <w:rsid w:val="00BD4A76"/>
    <w:rsid w:val="00BD4B0A"/>
    <w:rsid w:val="00BD4BA1"/>
    <w:rsid w:val="00BD4CFD"/>
    <w:rsid w:val="00BD4D46"/>
    <w:rsid w:val="00BD4D90"/>
    <w:rsid w:val="00BD4D93"/>
    <w:rsid w:val="00BD4EC9"/>
    <w:rsid w:val="00BD5181"/>
    <w:rsid w:val="00BD5211"/>
    <w:rsid w:val="00BD5243"/>
    <w:rsid w:val="00BD52DE"/>
    <w:rsid w:val="00BD5497"/>
    <w:rsid w:val="00BD55BA"/>
    <w:rsid w:val="00BD55C7"/>
    <w:rsid w:val="00BD56C6"/>
    <w:rsid w:val="00BD58E8"/>
    <w:rsid w:val="00BD595B"/>
    <w:rsid w:val="00BD5A08"/>
    <w:rsid w:val="00BD5A1E"/>
    <w:rsid w:val="00BD5A58"/>
    <w:rsid w:val="00BD5A63"/>
    <w:rsid w:val="00BD5B5B"/>
    <w:rsid w:val="00BD5B5F"/>
    <w:rsid w:val="00BD5C02"/>
    <w:rsid w:val="00BD5C0E"/>
    <w:rsid w:val="00BD5C99"/>
    <w:rsid w:val="00BD5CF5"/>
    <w:rsid w:val="00BD5F24"/>
    <w:rsid w:val="00BD5FB7"/>
    <w:rsid w:val="00BD60DD"/>
    <w:rsid w:val="00BD6178"/>
    <w:rsid w:val="00BD6201"/>
    <w:rsid w:val="00BD628A"/>
    <w:rsid w:val="00BD62C2"/>
    <w:rsid w:val="00BD632B"/>
    <w:rsid w:val="00BD6478"/>
    <w:rsid w:val="00BD664A"/>
    <w:rsid w:val="00BD6D3B"/>
    <w:rsid w:val="00BD6D56"/>
    <w:rsid w:val="00BD6D6E"/>
    <w:rsid w:val="00BD6D78"/>
    <w:rsid w:val="00BD6DEE"/>
    <w:rsid w:val="00BD6DF5"/>
    <w:rsid w:val="00BD6E1F"/>
    <w:rsid w:val="00BD704D"/>
    <w:rsid w:val="00BD7083"/>
    <w:rsid w:val="00BD7153"/>
    <w:rsid w:val="00BD7337"/>
    <w:rsid w:val="00BD73DC"/>
    <w:rsid w:val="00BD740B"/>
    <w:rsid w:val="00BD7533"/>
    <w:rsid w:val="00BD7601"/>
    <w:rsid w:val="00BD782C"/>
    <w:rsid w:val="00BD7847"/>
    <w:rsid w:val="00BD785F"/>
    <w:rsid w:val="00BD78E3"/>
    <w:rsid w:val="00BD7A5C"/>
    <w:rsid w:val="00BD7AAD"/>
    <w:rsid w:val="00BD7AFD"/>
    <w:rsid w:val="00BD7B47"/>
    <w:rsid w:val="00BD7C86"/>
    <w:rsid w:val="00BD7CAA"/>
    <w:rsid w:val="00BD7CEE"/>
    <w:rsid w:val="00BD7D73"/>
    <w:rsid w:val="00BD7DC7"/>
    <w:rsid w:val="00BD7DD1"/>
    <w:rsid w:val="00BD7DF9"/>
    <w:rsid w:val="00BD7F35"/>
    <w:rsid w:val="00BE009B"/>
    <w:rsid w:val="00BE011B"/>
    <w:rsid w:val="00BE014D"/>
    <w:rsid w:val="00BE034E"/>
    <w:rsid w:val="00BE042B"/>
    <w:rsid w:val="00BE065F"/>
    <w:rsid w:val="00BE068F"/>
    <w:rsid w:val="00BE0779"/>
    <w:rsid w:val="00BE07F8"/>
    <w:rsid w:val="00BE082C"/>
    <w:rsid w:val="00BE08F7"/>
    <w:rsid w:val="00BE0905"/>
    <w:rsid w:val="00BE09CE"/>
    <w:rsid w:val="00BE0AC6"/>
    <w:rsid w:val="00BE0B09"/>
    <w:rsid w:val="00BE0B50"/>
    <w:rsid w:val="00BE0C74"/>
    <w:rsid w:val="00BE0DD3"/>
    <w:rsid w:val="00BE0E0A"/>
    <w:rsid w:val="00BE0E94"/>
    <w:rsid w:val="00BE0F5A"/>
    <w:rsid w:val="00BE0FE7"/>
    <w:rsid w:val="00BE11EE"/>
    <w:rsid w:val="00BE1216"/>
    <w:rsid w:val="00BE1270"/>
    <w:rsid w:val="00BE1305"/>
    <w:rsid w:val="00BE140D"/>
    <w:rsid w:val="00BE1455"/>
    <w:rsid w:val="00BE1591"/>
    <w:rsid w:val="00BE1670"/>
    <w:rsid w:val="00BE1766"/>
    <w:rsid w:val="00BE19F5"/>
    <w:rsid w:val="00BE1AD4"/>
    <w:rsid w:val="00BE1D0F"/>
    <w:rsid w:val="00BE205B"/>
    <w:rsid w:val="00BE2061"/>
    <w:rsid w:val="00BE2183"/>
    <w:rsid w:val="00BE226C"/>
    <w:rsid w:val="00BE248A"/>
    <w:rsid w:val="00BE286B"/>
    <w:rsid w:val="00BE297D"/>
    <w:rsid w:val="00BE2B42"/>
    <w:rsid w:val="00BE2CD1"/>
    <w:rsid w:val="00BE2CF0"/>
    <w:rsid w:val="00BE2D39"/>
    <w:rsid w:val="00BE2E10"/>
    <w:rsid w:val="00BE2E4E"/>
    <w:rsid w:val="00BE2E92"/>
    <w:rsid w:val="00BE2F1C"/>
    <w:rsid w:val="00BE2FEA"/>
    <w:rsid w:val="00BE3152"/>
    <w:rsid w:val="00BE34FD"/>
    <w:rsid w:val="00BE3510"/>
    <w:rsid w:val="00BE3577"/>
    <w:rsid w:val="00BE38A8"/>
    <w:rsid w:val="00BE3933"/>
    <w:rsid w:val="00BE39DE"/>
    <w:rsid w:val="00BE3AE2"/>
    <w:rsid w:val="00BE3B71"/>
    <w:rsid w:val="00BE3B80"/>
    <w:rsid w:val="00BE3C10"/>
    <w:rsid w:val="00BE3C85"/>
    <w:rsid w:val="00BE3D22"/>
    <w:rsid w:val="00BE3DE8"/>
    <w:rsid w:val="00BE3E03"/>
    <w:rsid w:val="00BE3E72"/>
    <w:rsid w:val="00BE3E84"/>
    <w:rsid w:val="00BE3EED"/>
    <w:rsid w:val="00BE3F9F"/>
    <w:rsid w:val="00BE3FFD"/>
    <w:rsid w:val="00BE4005"/>
    <w:rsid w:val="00BE4070"/>
    <w:rsid w:val="00BE40A0"/>
    <w:rsid w:val="00BE4174"/>
    <w:rsid w:val="00BE4236"/>
    <w:rsid w:val="00BE4289"/>
    <w:rsid w:val="00BE4346"/>
    <w:rsid w:val="00BE4480"/>
    <w:rsid w:val="00BE455E"/>
    <w:rsid w:val="00BE478C"/>
    <w:rsid w:val="00BE485C"/>
    <w:rsid w:val="00BE48B4"/>
    <w:rsid w:val="00BE48C5"/>
    <w:rsid w:val="00BE48EB"/>
    <w:rsid w:val="00BE498F"/>
    <w:rsid w:val="00BE4A8E"/>
    <w:rsid w:val="00BE4B63"/>
    <w:rsid w:val="00BE4B6F"/>
    <w:rsid w:val="00BE4C9A"/>
    <w:rsid w:val="00BE4D40"/>
    <w:rsid w:val="00BE4D7D"/>
    <w:rsid w:val="00BE4D86"/>
    <w:rsid w:val="00BE4E7F"/>
    <w:rsid w:val="00BE4EC6"/>
    <w:rsid w:val="00BE4EDE"/>
    <w:rsid w:val="00BE4F4C"/>
    <w:rsid w:val="00BE4F9F"/>
    <w:rsid w:val="00BE515C"/>
    <w:rsid w:val="00BE51CD"/>
    <w:rsid w:val="00BE520F"/>
    <w:rsid w:val="00BE521E"/>
    <w:rsid w:val="00BE5237"/>
    <w:rsid w:val="00BE5247"/>
    <w:rsid w:val="00BE5357"/>
    <w:rsid w:val="00BE5361"/>
    <w:rsid w:val="00BE5429"/>
    <w:rsid w:val="00BE54B9"/>
    <w:rsid w:val="00BE57AD"/>
    <w:rsid w:val="00BE5803"/>
    <w:rsid w:val="00BE5BA0"/>
    <w:rsid w:val="00BE5EC8"/>
    <w:rsid w:val="00BE5FBB"/>
    <w:rsid w:val="00BE600C"/>
    <w:rsid w:val="00BE6016"/>
    <w:rsid w:val="00BE6040"/>
    <w:rsid w:val="00BE617E"/>
    <w:rsid w:val="00BE6227"/>
    <w:rsid w:val="00BE65DB"/>
    <w:rsid w:val="00BE66A3"/>
    <w:rsid w:val="00BE6714"/>
    <w:rsid w:val="00BE6766"/>
    <w:rsid w:val="00BE6863"/>
    <w:rsid w:val="00BE6873"/>
    <w:rsid w:val="00BE6A3E"/>
    <w:rsid w:val="00BE6A4A"/>
    <w:rsid w:val="00BE6A73"/>
    <w:rsid w:val="00BE6A90"/>
    <w:rsid w:val="00BE6AB7"/>
    <w:rsid w:val="00BE6AB9"/>
    <w:rsid w:val="00BE6C17"/>
    <w:rsid w:val="00BE6C9A"/>
    <w:rsid w:val="00BE6D0B"/>
    <w:rsid w:val="00BE6D7B"/>
    <w:rsid w:val="00BE6DD1"/>
    <w:rsid w:val="00BE6F2A"/>
    <w:rsid w:val="00BE6F3A"/>
    <w:rsid w:val="00BE703B"/>
    <w:rsid w:val="00BE7084"/>
    <w:rsid w:val="00BE70E8"/>
    <w:rsid w:val="00BE7173"/>
    <w:rsid w:val="00BE727C"/>
    <w:rsid w:val="00BE7285"/>
    <w:rsid w:val="00BE72CE"/>
    <w:rsid w:val="00BE739B"/>
    <w:rsid w:val="00BE7458"/>
    <w:rsid w:val="00BE75FB"/>
    <w:rsid w:val="00BE7703"/>
    <w:rsid w:val="00BE78EC"/>
    <w:rsid w:val="00BE7982"/>
    <w:rsid w:val="00BE7986"/>
    <w:rsid w:val="00BE7A34"/>
    <w:rsid w:val="00BE7A8B"/>
    <w:rsid w:val="00BE7B88"/>
    <w:rsid w:val="00BE7B92"/>
    <w:rsid w:val="00BE7BD7"/>
    <w:rsid w:val="00BE7BEA"/>
    <w:rsid w:val="00BE7C2E"/>
    <w:rsid w:val="00BE7C61"/>
    <w:rsid w:val="00BE7E13"/>
    <w:rsid w:val="00BE7E9C"/>
    <w:rsid w:val="00BF02BC"/>
    <w:rsid w:val="00BF03A5"/>
    <w:rsid w:val="00BF03B0"/>
    <w:rsid w:val="00BF03BE"/>
    <w:rsid w:val="00BF04CD"/>
    <w:rsid w:val="00BF04D4"/>
    <w:rsid w:val="00BF062C"/>
    <w:rsid w:val="00BF0785"/>
    <w:rsid w:val="00BF0954"/>
    <w:rsid w:val="00BF0B8A"/>
    <w:rsid w:val="00BF0BA5"/>
    <w:rsid w:val="00BF0DBD"/>
    <w:rsid w:val="00BF0DC5"/>
    <w:rsid w:val="00BF0E1D"/>
    <w:rsid w:val="00BF0EBC"/>
    <w:rsid w:val="00BF0F38"/>
    <w:rsid w:val="00BF0F72"/>
    <w:rsid w:val="00BF0FE4"/>
    <w:rsid w:val="00BF1067"/>
    <w:rsid w:val="00BF10F3"/>
    <w:rsid w:val="00BF1323"/>
    <w:rsid w:val="00BF13F7"/>
    <w:rsid w:val="00BF13FD"/>
    <w:rsid w:val="00BF1416"/>
    <w:rsid w:val="00BF14AF"/>
    <w:rsid w:val="00BF151B"/>
    <w:rsid w:val="00BF15A3"/>
    <w:rsid w:val="00BF15A5"/>
    <w:rsid w:val="00BF16D5"/>
    <w:rsid w:val="00BF172E"/>
    <w:rsid w:val="00BF17AD"/>
    <w:rsid w:val="00BF17D4"/>
    <w:rsid w:val="00BF1986"/>
    <w:rsid w:val="00BF19CB"/>
    <w:rsid w:val="00BF1AF4"/>
    <w:rsid w:val="00BF1B9D"/>
    <w:rsid w:val="00BF1CD0"/>
    <w:rsid w:val="00BF1D23"/>
    <w:rsid w:val="00BF1E98"/>
    <w:rsid w:val="00BF1F53"/>
    <w:rsid w:val="00BF1FD6"/>
    <w:rsid w:val="00BF210E"/>
    <w:rsid w:val="00BF2279"/>
    <w:rsid w:val="00BF238D"/>
    <w:rsid w:val="00BF2453"/>
    <w:rsid w:val="00BF24D5"/>
    <w:rsid w:val="00BF2697"/>
    <w:rsid w:val="00BF286E"/>
    <w:rsid w:val="00BF28B5"/>
    <w:rsid w:val="00BF2921"/>
    <w:rsid w:val="00BF2A73"/>
    <w:rsid w:val="00BF2BB4"/>
    <w:rsid w:val="00BF2C6E"/>
    <w:rsid w:val="00BF2CDC"/>
    <w:rsid w:val="00BF2D7D"/>
    <w:rsid w:val="00BF307F"/>
    <w:rsid w:val="00BF3153"/>
    <w:rsid w:val="00BF317C"/>
    <w:rsid w:val="00BF31F4"/>
    <w:rsid w:val="00BF34AF"/>
    <w:rsid w:val="00BF3551"/>
    <w:rsid w:val="00BF3927"/>
    <w:rsid w:val="00BF3C5F"/>
    <w:rsid w:val="00BF3CA0"/>
    <w:rsid w:val="00BF3CD4"/>
    <w:rsid w:val="00BF3E4F"/>
    <w:rsid w:val="00BF3F86"/>
    <w:rsid w:val="00BF3FAB"/>
    <w:rsid w:val="00BF4000"/>
    <w:rsid w:val="00BF40FF"/>
    <w:rsid w:val="00BF4127"/>
    <w:rsid w:val="00BF4503"/>
    <w:rsid w:val="00BF4516"/>
    <w:rsid w:val="00BF45E0"/>
    <w:rsid w:val="00BF46AD"/>
    <w:rsid w:val="00BF47B4"/>
    <w:rsid w:val="00BF47D1"/>
    <w:rsid w:val="00BF490A"/>
    <w:rsid w:val="00BF4971"/>
    <w:rsid w:val="00BF49C3"/>
    <w:rsid w:val="00BF4A8A"/>
    <w:rsid w:val="00BF4B0C"/>
    <w:rsid w:val="00BF4B3F"/>
    <w:rsid w:val="00BF4BA1"/>
    <w:rsid w:val="00BF4BE7"/>
    <w:rsid w:val="00BF4E33"/>
    <w:rsid w:val="00BF4EA0"/>
    <w:rsid w:val="00BF4FCE"/>
    <w:rsid w:val="00BF5059"/>
    <w:rsid w:val="00BF505D"/>
    <w:rsid w:val="00BF5282"/>
    <w:rsid w:val="00BF5434"/>
    <w:rsid w:val="00BF544B"/>
    <w:rsid w:val="00BF544D"/>
    <w:rsid w:val="00BF5668"/>
    <w:rsid w:val="00BF5697"/>
    <w:rsid w:val="00BF575F"/>
    <w:rsid w:val="00BF57A1"/>
    <w:rsid w:val="00BF59D8"/>
    <w:rsid w:val="00BF5A39"/>
    <w:rsid w:val="00BF5BBA"/>
    <w:rsid w:val="00BF5C33"/>
    <w:rsid w:val="00BF5D2E"/>
    <w:rsid w:val="00BF5DB9"/>
    <w:rsid w:val="00BF5DD4"/>
    <w:rsid w:val="00BF5E5C"/>
    <w:rsid w:val="00BF5EC9"/>
    <w:rsid w:val="00BF5ED9"/>
    <w:rsid w:val="00BF6082"/>
    <w:rsid w:val="00BF60F5"/>
    <w:rsid w:val="00BF6134"/>
    <w:rsid w:val="00BF61A8"/>
    <w:rsid w:val="00BF61BF"/>
    <w:rsid w:val="00BF61EF"/>
    <w:rsid w:val="00BF621F"/>
    <w:rsid w:val="00BF6348"/>
    <w:rsid w:val="00BF63DE"/>
    <w:rsid w:val="00BF64DC"/>
    <w:rsid w:val="00BF6552"/>
    <w:rsid w:val="00BF67A5"/>
    <w:rsid w:val="00BF6875"/>
    <w:rsid w:val="00BF6906"/>
    <w:rsid w:val="00BF6988"/>
    <w:rsid w:val="00BF6B31"/>
    <w:rsid w:val="00BF6BB9"/>
    <w:rsid w:val="00BF6E47"/>
    <w:rsid w:val="00BF7101"/>
    <w:rsid w:val="00BF71B2"/>
    <w:rsid w:val="00BF7283"/>
    <w:rsid w:val="00BF74C3"/>
    <w:rsid w:val="00BF7540"/>
    <w:rsid w:val="00BF75C2"/>
    <w:rsid w:val="00BF7700"/>
    <w:rsid w:val="00BF7719"/>
    <w:rsid w:val="00BF784A"/>
    <w:rsid w:val="00BF7905"/>
    <w:rsid w:val="00BF791D"/>
    <w:rsid w:val="00BF7B19"/>
    <w:rsid w:val="00BF7B1D"/>
    <w:rsid w:val="00BF7BE4"/>
    <w:rsid w:val="00BF7D64"/>
    <w:rsid w:val="00BF7DD1"/>
    <w:rsid w:val="00BF7F2D"/>
    <w:rsid w:val="00BF7FDC"/>
    <w:rsid w:val="00C000F4"/>
    <w:rsid w:val="00C0031B"/>
    <w:rsid w:val="00C0031E"/>
    <w:rsid w:val="00C003AE"/>
    <w:rsid w:val="00C005A2"/>
    <w:rsid w:val="00C005BB"/>
    <w:rsid w:val="00C006F1"/>
    <w:rsid w:val="00C0077E"/>
    <w:rsid w:val="00C0086D"/>
    <w:rsid w:val="00C008A0"/>
    <w:rsid w:val="00C008B2"/>
    <w:rsid w:val="00C00925"/>
    <w:rsid w:val="00C0092A"/>
    <w:rsid w:val="00C0097B"/>
    <w:rsid w:val="00C009A5"/>
    <w:rsid w:val="00C009DF"/>
    <w:rsid w:val="00C00D6F"/>
    <w:rsid w:val="00C00EBB"/>
    <w:rsid w:val="00C00F86"/>
    <w:rsid w:val="00C00F8B"/>
    <w:rsid w:val="00C0121E"/>
    <w:rsid w:val="00C016EA"/>
    <w:rsid w:val="00C017CB"/>
    <w:rsid w:val="00C01909"/>
    <w:rsid w:val="00C0197C"/>
    <w:rsid w:val="00C01A14"/>
    <w:rsid w:val="00C01A4D"/>
    <w:rsid w:val="00C01B8D"/>
    <w:rsid w:val="00C01B93"/>
    <w:rsid w:val="00C01C7E"/>
    <w:rsid w:val="00C01D2A"/>
    <w:rsid w:val="00C01DA7"/>
    <w:rsid w:val="00C01ECD"/>
    <w:rsid w:val="00C01EFD"/>
    <w:rsid w:val="00C01F57"/>
    <w:rsid w:val="00C01F61"/>
    <w:rsid w:val="00C01FB9"/>
    <w:rsid w:val="00C02004"/>
    <w:rsid w:val="00C02139"/>
    <w:rsid w:val="00C02486"/>
    <w:rsid w:val="00C024A0"/>
    <w:rsid w:val="00C026A1"/>
    <w:rsid w:val="00C02709"/>
    <w:rsid w:val="00C02788"/>
    <w:rsid w:val="00C027C9"/>
    <w:rsid w:val="00C02825"/>
    <w:rsid w:val="00C0284A"/>
    <w:rsid w:val="00C028F1"/>
    <w:rsid w:val="00C02A35"/>
    <w:rsid w:val="00C02A7C"/>
    <w:rsid w:val="00C02AD5"/>
    <w:rsid w:val="00C02B43"/>
    <w:rsid w:val="00C02BE3"/>
    <w:rsid w:val="00C02D09"/>
    <w:rsid w:val="00C02D21"/>
    <w:rsid w:val="00C02F46"/>
    <w:rsid w:val="00C02FE3"/>
    <w:rsid w:val="00C030B3"/>
    <w:rsid w:val="00C03198"/>
    <w:rsid w:val="00C0327A"/>
    <w:rsid w:val="00C032BA"/>
    <w:rsid w:val="00C03336"/>
    <w:rsid w:val="00C0336F"/>
    <w:rsid w:val="00C035DF"/>
    <w:rsid w:val="00C03633"/>
    <w:rsid w:val="00C0396A"/>
    <w:rsid w:val="00C03B22"/>
    <w:rsid w:val="00C03B43"/>
    <w:rsid w:val="00C03BB2"/>
    <w:rsid w:val="00C03C72"/>
    <w:rsid w:val="00C03D45"/>
    <w:rsid w:val="00C03D55"/>
    <w:rsid w:val="00C03DA5"/>
    <w:rsid w:val="00C03E1C"/>
    <w:rsid w:val="00C03ED8"/>
    <w:rsid w:val="00C0400A"/>
    <w:rsid w:val="00C04012"/>
    <w:rsid w:val="00C040E2"/>
    <w:rsid w:val="00C041E9"/>
    <w:rsid w:val="00C04232"/>
    <w:rsid w:val="00C042A5"/>
    <w:rsid w:val="00C0448B"/>
    <w:rsid w:val="00C0453F"/>
    <w:rsid w:val="00C04541"/>
    <w:rsid w:val="00C045CF"/>
    <w:rsid w:val="00C04638"/>
    <w:rsid w:val="00C04644"/>
    <w:rsid w:val="00C047CE"/>
    <w:rsid w:val="00C048A7"/>
    <w:rsid w:val="00C048D7"/>
    <w:rsid w:val="00C04A33"/>
    <w:rsid w:val="00C04A4B"/>
    <w:rsid w:val="00C04BB8"/>
    <w:rsid w:val="00C04BCF"/>
    <w:rsid w:val="00C04CF9"/>
    <w:rsid w:val="00C04D4F"/>
    <w:rsid w:val="00C04D63"/>
    <w:rsid w:val="00C04D6D"/>
    <w:rsid w:val="00C04E25"/>
    <w:rsid w:val="00C04E95"/>
    <w:rsid w:val="00C04FC0"/>
    <w:rsid w:val="00C0513A"/>
    <w:rsid w:val="00C05183"/>
    <w:rsid w:val="00C051FE"/>
    <w:rsid w:val="00C05292"/>
    <w:rsid w:val="00C05294"/>
    <w:rsid w:val="00C053DB"/>
    <w:rsid w:val="00C054FB"/>
    <w:rsid w:val="00C05704"/>
    <w:rsid w:val="00C05808"/>
    <w:rsid w:val="00C0587B"/>
    <w:rsid w:val="00C0596B"/>
    <w:rsid w:val="00C05A10"/>
    <w:rsid w:val="00C05A13"/>
    <w:rsid w:val="00C05A82"/>
    <w:rsid w:val="00C05ABB"/>
    <w:rsid w:val="00C05BC7"/>
    <w:rsid w:val="00C05BD5"/>
    <w:rsid w:val="00C05C96"/>
    <w:rsid w:val="00C05E54"/>
    <w:rsid w:val="00C05FC8"/>
    <w:rsid w:val="00C060B5"/>
    <w:rsid w:val="00C0613D"/>
    <w:rsid w:val="00C06191"/>
    <w:rsid w:val="00C0626E"/>
    <w:rsid w:val="00C062C0"/>
    <w:rsid w:val="00C06363"/>
    <w:rsid w:val="00C0640E"/>
    <w:rsid w:val="00C06520"/>
    <w:rsid w:val="00C06540"/>
    <w:rsid w:val="00C0656E"/>
    <w:rsid w:val="00C066B3"/>
    <w:rsid w:val="00C06732"/>
    <w:rsid w:val="00C0680A"/>
    <w:rsid w:val="00C06961"/>
    <w:rsid w:val="00C06A08"/>
    <w:rsid w:val="00C06A41"/>
    <w:rsid w:val="00C06A8B"/>
    <w:rsid w:val="00C06B2E"/>
    <w:rsid w:val="00C06C54"/>
    <w:rsid w:val="00C06D55"/>
    <w:rsid w:val="00C06D6B"/>
    <w:rsid w:val="00C06FBC"/>
    <w:rsid w:val="00C0702F"/>
    <w:rsid w:val="00C07122"/>
    <w:rsid w:val="00C07154"/>
    <w:rsid w:val="00C071B9"/>
    <w:rsid w:val="00C072CC"/>
    <w:rsid w:val="00C073FA"/>
    <w:rsid w:val="00C07508"/>
    <w:rsid w:val="00C07613"/>
    <w:rsid w:val="00C0764A"/>
    <w:rsid w:val="00C07687"/>
    <w:rsid w:val="00C077B2"/>
    <w:rsid w:val="00C0782B"/>
    <w:rsid w:val="00C0790C"/>
    <w:rsid w:val="00C07929"/>
    <w:rsid w:val="00C0799C"/>
    <w:rsid w:val="00C079B5"/>
    <w:rsid w:val="00C079D0"/>
    <w:rsid w:val="00C079E4"/>
    <w:rsid w:val="00C07A51"/>
    <w:rsid w:val="00C07BF3"/>
    <w:rsid w:val="00C07D2F"/>
    <w:rsid w:val="00C07E2C"/>
    <w:rsid w:val="00C07F43"/>
    <w:rsid w:val="00C07F5F"/>
    <w:rsid w:val="00C10313"/>
    <w:rsid w:val="00C10320"/>
    <w:rsid w:val="00C1035E"/>
    <w:rsid w:val="00C1046D"/>
    <w:rsid w:val="00C104EC"/>
    <w:rsid w:val="00C10520"/>
    <w:rsid w:val="00C10767"/>
    <w:rsid w:val="00C107DF"/>
    <w:rsid w:val="00C1096D"/>
    <w:rsid w:val="00C10B64"/>
    <w:rsid w:val="00C10C14"/>
    <w:rsid w:val="00C10F01"/>
    <w:rsid w:val="00C110BC"/>
    <w:rsid w:val="00C110C1"/>
    <w:rsid w:val="00C11259"/>
    <w:rsid w:val="00C112C2"/>
    <w:rsid w:val="00C11364"/>
    <w:rsid w:val="00C113DF"/>
    <w:rsid w:val="00C114FC"/>
    <w:rsid w:val="00C11615"/>
    <w:rsid w:val="00C11626"/>
    <w:rsid w:val="00C11658"/>
    <w:rsid w:val="00C116B8"/>
    <w:rsid w:val="00C11AB4"/>
    <w:rsid w:val="00C11AF1"/>
    <w:rsid w:val="00C11B66"/>
    <w:rsid w:val="00C11D67"/>
    <w:rsid w:val="00C11E32"/>
    <w:rsid w:val="00C11F0A"/>
    <w:rsid w:val="00C12106"/>
    <w:rsid w:val="00C12220"/>
    <w:rsid w:val="00C122BD"/>
    <w:rsid w:val="00C122F0"/>
    <w:rsid w:val="00C1230E"/>
    <w:rsid w:val="00C12399"/>
    <w:rsid w:val="00C123D8"/>
    <w:rsid w:val="00C12599"/>
    <w:rsid w:val="00C12872"/>
    <w:rsid w:val="00C12910"/>
    <w:rsid w:val="00C1293B"/>
    <w:rsid w:val="00C129DC"/>
    <w:rsid w:val="00C12A8E"/>
    <w:rsid w:val="00C12A9A"/>
    <w:rsid w:val="00C12BB4"/>
    <w:rsid w:val="00C12F79"/>
    <w:rsid w:val="00C12FE0"/>
    <w:rsid w:val="00C13013"/>
    <w:rsid w:val="00C13050"/>
    <w:rsid w:val="00C1306A"/>
    <w:rsid w:val="00C131BF"/>
    <w:rsid w:val="00C131E2"/>
    <w:rsid w:val="00C132AF"/>
    <w:rsid w:val="00C13307"/>
    <w:rsid w:val="00C133DF"/>
    <w:rsid w:val="00C135F8"/>
    <w:rsid w:val="00C13689"/>
    <w:rsid w:val="00C1368E"/>
    <w:rsid w:val="00C1378E"/>
    <w:rsid w:val="00C1388E"/>
    <w:rsid w:val="00C1395F"/>
    <w:rsid w:val="00C13A97"/>
    <w:rsid w:val="00C13AF9"/>
    <w:rsid w:val="00C13B06"/>
    <w:rsid w:val="00C13B86"/>
    <w:rsid w:val="00C13C09"/>
    <w:rsid w:val="00C13D2C"/>
    <w:rsid w:val="00C13D63"/>
    <w:rsid w:val="00C13FF9"/>
    <w:rsid w:val="00C140F7"/>
    <w:rsid w:val="00C141D9"/>
    <w:rsid w:val="00C14331"/>
    <w:rsid w:val="00C1435B"/>
    <w:rsid w:val="00C14474"/>
    <w:rsid w:val="00C14488"/>
    <w:rsid w:val="00C144C7"/>
    <w:rsid w:val="00C14683"/>
    <w:rsid w:val="00C146A7"/>
    <w:rsid w:val="00C1477E"/>
    <w:rsid w:val="00C14800"/>
    <w:rsid w:val="00C1483E"/>
    <w:rsid w:val="00C14879"/>
    <w:rsid w:val="00C14A72"/>
    <w:rsid w:val="00C14B91"/>
    <w:rsid w:val="00C14BF1"/>
    <w:rsid w:val="00C14D59"/>
    <w:rsid w:val="00C14E6B"/>
    <w:rsid w:val="00C15044"/>
    <w:rsid w:val="00C15095"/>
    <w:rsid w:val="00C151AE"/>
    <w:rsid w:val="00C153DF"/>
    <w:rsid w:val="00C1546C"/>
    <w:rsid w:val="00C1549C"/>
    <w:rsid w:val="00C15624"/>
    <w:rsid w:val="00C159ED"/>
    <w:rsid w:val="00C15A53"/>
    <w:rsid w:val="00C15B05"/>
    <w:rsid w:val="00C15B19"/>
    <w:rsid w:val="00C15B60"/>
    <w:rsid w:val="00C15BE9"/>
    <w:rsid w:val="00C15C70"/>
    <w:rsid w:val="00C160AE"/>
    <w:rsid w:val="00C16178"/>
    <w:rsid w:val="00C161D5"/>
    <w:rsid w:val="00C16318"/>
    <w:rsid w:val="00C16364"/>
    <w:rsid w:val="00C163F2"/>
    <w:rsid w:val="00C1655E"/>
    <w:rsid w:val="00C16569"/>
    <w:rsid w:val="00C167B7"/>
    <w:rsid w:val="00C167F9"/>
    <w:rsid w:val="00C16802"/>
    <w:rsid w:val="00C16916"/>
    <w:rsid w:val="00C16A69"/>
    <w:rsid w:val="00C16AAB"/>
    <w:rsid w:val="00C16B35"/>
    <w:rsid w:val="00C16B91"/>
    <w:rsid w:val="00C16BB7"/>
    <w:rsid w:val="00C16BD7"/>
    <w:rsid w:val="00C16C24"/>
    <w:rsid w:val="00C16D18"/>
    <w:rsid w:val="00C16D25"/>
    <w:rsid w:val="00C16D47"/>
    <w:rsid w:val="00C16D73"/>
    <w:rsid w:val="00C16DFD"/>
    <w:rsid w:val="00C16EE1"/>
    <w:rsid w:val="00C16EF5"/>
    <w:rsid w:val="00C170D5"/>
    <w:rsid w:val="00C17172"/>
    <w:rsid w:val="00C171AC"/>
    <w:rsid w:val="00C172C7"/>
    <w:rsid w:val="00C17395"/>
    <w:rsid w:val="00C17462"/>
    <w:rsid w:val="00C1747F"/>
    <w:rsid w:val="00C174CC"/>
    <w:rsid w:val="00C17503"/>
    <w:rsid w:val="00C17516"/>
    <w:rsid w:val="00C17544"/>
    <w:rsid w:val="00C1759C"/>
    <w:rsid w:val="00C175A5"/>
    <w:rsid w:val="00C17643"/>
    <w:rsid w:val="00C177E6"/>
    <w:rsid w:val="00C17899"/>
    <w:rsid w:val="00C1789B"/>
    <w:rsid w:val="00C17B40"/>
    <w:rsid w:val="00C17BF9"/>
    <w:rsid w:val="00C17C2C"/>
    <w:rsid w:val="00C17C9B"/>
    <w:rsid w:val="00C17D3F"/>
    <w:rsid w:val="00C17DA8"/>
    <w:rsid w:val="00C17E20"/>
    <w:rsid w:val="00C17E63"/>
    <w:rsid w:val="00C17EE4"/>
    <w:rsid w:val="00C20059"/>
    <w:rsid w:val="00C202F1"/>
    <w:rsid w:val="00C2046E"/>
    <w:rsid w:val="00C204E7"/>
    <w:rsid w:val="00C2051D"/>
    <w:rsid w:val="00C2058B"/>
    <w:rsid w:val="00C205FB"/>
    <w:rsid w:val="00C2076A"/>
    <w:rsid w:val="00C207C8"/>
    <w:rsid w:val="00C208BC"/>
    <w:rsid w:val="00C208BE"/>
    <w:rsid w:val="00C20A0F"/>
    <w:rsid w:val="00C20EC1"/>
    <w:rsid w:val="00C20EF9"/>
    <w:rsid w:val="00C20F4D"/>
    <w:rsid w:val="00C20F98"/>
    <w:rsid w:val="00C20FCD"/>
    <w:rsid w:val="00C21038"/>
    <w:rsid w:val="00C211B3"/>
    <w:rsid w:val="00C212EB"/>
    <w:rsid w:val="00C214FA"/>
    <w:rsid w:val="00C21527"/>
    <w:rsid w:val="00C21623"/>
    <w:rsid w:val="00C2173E"/>
    <w:rsid w:val="00C21774"/>
    <w:rsid w:val="00C2194E"/>
    <w:rsid w:val="00C21981"/>
    <w:rsid w:val="00C219E9"/>
    <w:rsid w:val="00C21A23"/>
    <w:rsid w:val="00C21A52"/>
    <w:rsid w:val="00C21AA1"/>
    <w:rsid w:val="00C21AC3"/>
    <w:rsid w:val="00C21E2C"/>
    <w:rsid w:val="00C21FF4"/>
    <w:rsid w:val="00C221CA"/>
    <w:rsid w:val="00C22225"/>
    <w:rsid w:val="00C2231E"/>
    <w:rsid w:val="00C223EA"/>
    <w:rsid w:val="00C2244A"/>
    <w:rsid w:val="00C224E0"/>
    <w:rsid w:val="00C2254F"/>
    <w:rsid w:val="00C226BF"/>
    <w:rsid w:val="00C226F0"/>
    <w:rsid w:val="00C22853"/>
    <w:rsid w:val="00C229E1"/>
    <w:rsid w:val="00C22A33"/>
    <w:rsid w:val="00C22A82"/>
    <w:rsid w:val="00C22B0A"/>
    <w:rsid w:val="00C22E08"/>
    <w:rsid w:val="00C22E2F"/>
    <w:rsid w:val="00C22EE4"/>
    <w:rsid w:val="00C22F29"/>
    <w:rsid w:val="00C23177"/>
    <w:rsid w:val="00C231A0"/>
    <w:rsid w:val="00C2325E"/>
    <w:rsid w:val="00C232F9"/>
    <w:rsid w:val="00C233A2"/>
    <w:rsid w:val="00C23509"/>
    <w:rsid w:val="00C2377D"/>
    <w:rsid w:val="00C23834"/>
    <w:rsid w:val="00C2388C"/>
    <w:rsid w:val="00C23A2D"/>
    <w:rsid w:val="00C23AAA"/>
    <w:rsid w:val="00C23B33"/>
    <w:rsid w:val="00C23B50"/>
    <w:rsid w:val="00C23B96"/>
    <w:rsid w:val="00C23C08"/>
    <w:rsid w:val="00C23CD7"/>
    <w:rsid w:val="00C23D96"/>
    <w:rsid w:val="00C23DCA"/>
    <w:rsid w:val="00C23E27"/>
    <w:rsid w:val="00C23E3B"/>
    <w:rsid w:val="00C23E4A"/>
    <w:rsid w:val="00C23E77"/>
    <w:rsid w:val="00C23ED4"/>
    <w:rsid w:val="00C240C3"/>
    <w:rsid w:val="00C24383"/>
    <w:rsid w:val="00C244F9"/>
    <w:rsid w:val="00C245AD"/>
    <w:rsid w:val="00C246AD"/>
    <w:rsid w:val="00C2476B"/>
    <w:rsid w:val="00C24800"/>
    <w:rsid w:val="00C249F9"/>
    <w:rsid w:val="00C24C38"/>
    <w:rsid w:val="00C24C55"/>
    <w:rsid w:val="00C24D2E"/>
    <w:rsid w:val="00C24EB6"/>
    <w:rsid w:val="00C24EEE"/>
    <w:rsid w:val="00C24FC9"/>
    <w:rsid w:val="00C2514D"/>
    <w:rsid w:val="00C2515E"/>
    <w:rsid w:val="00C25190"/>
    <w:rsid w:val="00C251A2"/>
    <w:rsid w:val="00C251F2"/>
    <w:rsid w:val="00C25387"/>
    <w:rsid w:val="00C253B1"/>
    <w:rsid w:val="00C2544B"/>
    <w:rsid w:val="00C25625"/>
    <w:rsid w:val="00C256F4"/>
    <w:rsid w:val="00C256F9"/>
    <w:rsid w:val="00C25917"/>
    <w:rsid w:val="00C259A0"/>
    <w:rsid w:val="00C259C3"/>
    <w:rsid w:val="00C25A5A"/>
    <w:rsid w:val="00C25A93"/>
    <w:rsid w:val="00C25D07"/>
    <w:rsid w:val="00C25EC8"/>
    <w:rsid w:val="00C25F04"/>
    <w:rsid w:val="00C25F73"/>
    <w:rsid w:val="00C260E2"/>
    <w:rsid w:val="00C263AE"/>
    <w:rsid w:val="00C26414"/>
    <w:rsid w:val="00C26498"/>
    <w:rsid w:val="00C269FA"/>
    <w:rsid w:val="00C26C92"/>
    <w:rsid w:val="00C26E8F"/>
    <w:rsid w:val="00C27046"/>
    <w:rsid w:val="00C27244"/>
    <w:rsid w:val="00C2738A"/>
    <w:rsid w:val="00C2740A"/>
    <w:rsid w:val="00C2741B"/>
    <w:rsid w:val="00C274F2"/>
    <w:rsid w:val="00C27544"/>
    <w:rsid w:val="00C27559"/>
    <w:rsid w:val="00C2758D"/>
    <w:rsid w:val="00C275A7"/>
    <w:rsid w:val="00C275C0"/>
    <w:rsid w:val="00C275F1"/>
    <w:rsid w:val="00C2792B"/>
    <w:rsid w:val="00C2793E"/>
    <w:rsid w:val="00C279B3"/>
    <w:rsid w:val="00C27A4B"/>
    <w:rsid w:val="00C27B0D"/>
    <w:rsid w:val="00C27B6E"/>
    <w:rsid w:val="00C27C1E"/>
    <w:rsid w:val="00C27DA3"/>
    <w:rsid w:val="00C27DB7"/>
    <w:rsid w:val="00C30038"/>
    <w:rsid w:val="00C300C4"/>
    <w:rsid w:val="00C30101"/>
    <w:rsid w:val="00C302AC"/>
    <w:rsid w:val="00C302FE"/>
    <w:rsid w:val="00C303B1"/>
    <w:rsid w:val="00C30599"/>
    <w:rsid w:val="00C30755"/>
    <w:rsid w:val="00C30772"/>
    <w:rsid w:val="00C307DE"/>
    <w:rsid w:val="00C307E4"/>
    <w:rsid w:val="00C30842"/>
    <w:rsid w:val="00C30859"/>
    <w:rsid w:val="00C3085F"/>
    <w:rsid w:val="00C3096A"/>
    <w:rsid w:val="00C309E1"/>
    <w:rsid w:val="00C30A64"/>
    <w:rsid w:val="00C30A9B"/>
    <w:rsid w:val="00C30BA6"/>
    <w:rsid w:val="00C30D49"/>
    <w:rsid w:val="00C30ED1"/>
    <w:rsid w:val="00C31053"/>
    <w:rsid w:val="00C31096"/>
    <w:rsid w:val="00C3110F"/>
    <w:rsid w:val="00C3118D"/>
    <w:rsid w:val="00C31204"/>
    <w:rsid w:val="00C3155D"/>
    <w:rsid w:val="00C315AE"/>
    <w:rsid w:val="00C317D4"/>
    <w:rsid w:val="00C3181D"/>
    <w:rsid w:val="00C31839"/>
    <w:rsid w:val="00C3185F"/>
    <w:rsid w:val="00C319E8"/>
    <w:rsid w:val="00C31A48"/>
    <w:rsid w:val="00C31AB8"/>
    <w:rsid w:val="00C31B3F"/>
    <w:rsid w:val="00C31CD0"/>
    <w:rsid w:val="00C31D30"/>
    <w:rsid w:val="00C31D57"/>
    <w:rsid w:val="00C31E1C"/>
    <w:rsid w:val="00C32208"/>
    <w:rsid w:val="00C3221C"/>
    <w:rsid w:val="00C3227B"/>
    <w:rsid w:val="00C322E7"/>
    <w:rsid w:val="00C322FA"/>
    <w:rsid w:val="00C323C7"/>
    <w:rsid w:val="00C323DB"/>
    <w:rsid w:val="00C32439"/>
    <w:rsid w:val="00C32492"/>
    <w:rsid w:val="00C324F8"/>
    <w:rsid w:val="00C32534"/>
    <w:rsid w:val="00C32627"/>
    <w:rsid w:val="00C327B1"/>
    <w:rsid w:val="00C327C1"/>
    <w:rsid w:val="00C327F7"/>
    <w:rsid w:val="00C32832"/>
    <w:rsid w:val="00C329A9"/>
    <w:rsid w:val="00C32A98"/>
    <w:rsid w:val="00C32B7F"/>
    <w:rsid w:val="00C32BED"/>
    <w:rsid w:val="00C32C7A"/>
    <w:rsid w:val="00C32D14"/>
    <w:rsid w:val="00C32E3D"/>
    <w:rsid w:val="00C32EFB"/>
    <w:rsid w:val="00C332AD"/>
    <w:rsid w:val="00C332DC"/>
    <w:rsid w:val="00C332EC"/>
    <w:rsid w:val="00C33381"/>
    <w:rsid w:val="00C333B3"/>
    <w:rsid w:val="00C333FD"/>
    <w:rsid w:val="00C3344D"/>
    <w:rsid w:val="00C33678"/>
    <w:rsid w:val="00C3367B"/>
    <w:rsid w:val="00C337F7"/>
    <w:rsid w:val="00C33A6D"/>
    <w:rsid w:val="00C33BCC"/>
    <w:rsid w:val="00C33BFD"/>
    <w:rsid w:val="00C33C03"/>
    <w:rsid w:val="00C33C0D"/>
    <w:rsid w:val="00C33D23"/>
    <w:rsid w:val="00C33D98"/>
    <w:rsid w:val="00C33E68"/>
    <w:rsid w:val="00C33F5F"/>
    <w:rsid w:val="00C33F9F"/>
    <w:rsid w:val="00C34131"/>
    <w:rsid w:val="00C34459"/>
    <w:rsid w:val="00C344AB"/>
    <w:rsid w:val="00C3452D"/>
    <w:rsid w:val="00C34655"/>
    <w:rsid w:val="00C34670"/>
    <w:rsid w:val="00C346CF"/>
    <w:rsid w:val="00C34864"/>
    <w:rsid w:val="00C349E8"/>
    <w:rsid w:val="00C34AA1"/>
    <w:rsid w:val="00C34B35"/>
    <w:rsid w:val="00C34C12"/>
    <w:rsid w:val="00C34C4E"/>
    <w:rsid w:val="00C34CE1"/>
    <w:rsid w:val="00C34D33"/>
    <w:rsid w:val="00C34D6F"/>
    <w:rsid w:val="00C34F0F"/>
    <w:rsid w:val="00C34F72"/>
    <w:rsid w:val="00C34FF8"/>
    <w:rsid w:val="00C351F8"/>
    <w:rsid w:val="00C35276"/>
    <w:rsid w:val="00C352E1"/>
    <w:rsid w:val="00C3540A"/>
    <w:rsid w:val="00C354B6"/>
    <w:rsid w:val="00C355EE"/>
    <w:rsid w:val="00C3576C"/>
    <w:rsid w:val="00C35798"/>
    <w:rsid w:val="00C35999"/>
    <w:rsid w:val="00C35A29"/>
    <w:rsid w:val="00C35A33"/>
    <w:rsid w:val="00C35A7F"/>
    <w:rsid w:val="00C35B56"/>
    <w:rsid w:val="00C35B61"/>
    <w:rsid w:val="00C35B84"/>
    <w:rsid w:val="00C35C9C"/>
    <w:rsid w:val="00C35DB8"/>
    <w:rsid w:val="00C35DB9"/>
    <w:rsid w:val="00C35E06"/>
    <w:rsid w:val="00C35F92"/>
    <w:rsid w:val="00C35F9B"/>
    <w:rsid w:val="00C3607C"/>
    <w:rsid w:val="00C360A3"/>
    <w:rsid w:val="00C3619F"/>
    <w:rsid w:val="00C36203"/>
    <w:rsid w:val="00C365E2"/>
    <w:rsid w:val="00C36674"/>
    <w:rsid w:val="00C366F7"/>
    <w:rsid w:val="00C367D2"/>
    <w:rsid w:val="00C369D5"/>
    <w:rsid w:val="00C36CCF"/>
    <w:rsid w:val="00C36DF9"/>
    <w:rsid w:val="00C36EE2"/>
    <w:rsid w:val="00C36F19"/>
    <w:rsid w:val="00C36F93"/>
    <w:rsid w:val="00C37018"/>
    <w:rsid w:val="00C3701E"/>
    <w:rsid w:val="00C370A6"/>
    <w:rsid w:val="00C37158"/>
    <w:rsid w:val="00C37193"/>
    <w:rsid w:val="00C37219"/>
    <w:rsid w:val="00C37307"/>
    <w:rsid w:val="00C373FD"/>
    <w:rsid w:val="00C374E3"/>
    <w:rsid w:val="00C374E9"/>
    <w:rsid w:val="00C37671"/>
    <w:rsid w:val="00C376FD"/>
    <w:rsid w:val="00C37720"/>
    <w:rsid w:val="00C37905"/>
    <w:rsid w:val="00C3798B"/>
    <w:rsid w:val="00C37A37"/>
    <w:rsid w:val="00C37B3A"/>
    <w:rsid w:val="00C37C28"/>
    <w:rsid w:val="00C37CD1"/>
    <w:rsid w:val="00C37D21"/>
    <w:rsid w:val="00C40013"/>
    <w:rsid w:val="00C400A0"/>
    <w:rsid w:val="00C400BC"/>
    <w:rsid w:val="00C4014B"/>
    <w:rsid w:val="00C401A6"/>
    <w:rsid w:val="00C401CD"/>
    <w:rsid w:val="00C40214"/>
    <w:rsid w:val="00C40259"/>
    <w:rsid w:val="00C40313"/>
    <w:rsid w:val="00C40346"/>
    <w:rsid w:val="00C40488"/>
    <w:rsid w:val="00C4068B"/>
    <w:rsid w:val="00C40B6B"/>
    <w:rsid w:val="00C40DB6"/>
    <w:rsid w:val="00C40ECA"/>
    <w:rsid w:val="00C40F15"/>
    <w:rsid w:val="00C41076"/>
    <w:rsid w:val="00C41136"/>
    <w:rsid w:val="00C411BA"/>
    <w:rsid w:val="00C411EF"/>
    <w:rsid w:val="00C41247"/>
    <w:rsid w:val="00C4125F"/>
    <w:rsid w:val="00C41338"/>
    <w:rsid w:val="00C41693"/>
    <w:rsid w:val="00C41780"/>
    <w:rsid w:val="00C417A5"/>
    <w:rsid w:val="00C417B6"/>
    <w:rsid w:val="00C417F3"/>
    <w:rsid w:val="00C41838"/>
    <w:rsid w:val="00C418D6"/>
    <w:rsid w:val="00C4194A"/>
    <w:rsid w:val="00C41984"/>
    <w:rsid w:val="00C419CB"/>
    <w:rsid w:val="00C41A15"/>
    <w:rsid w:val="00C41A8E"/>
    <w:rsid w:val="00C41B84"/>
    <w:rsid w:val="00C41BC7"/>
    <w:rsid w:val="00C41CD0"/>
    <w:rsid w:val="00C41EBB"/>
    <w:rsid w:val="00C41EFE"/>
    <w:rsid w:val="00C41F0B"/>
    <w:rsid w:val="00C41FD2"/>
    <w:rsid w:val="00C420B4"/>
    <w:rsid w:val="00C421B2"/>
    <w:rsid w:val="00C421BE"/>
    <w:rsid w:val="00C422F7"/>
    <w:rsid w:val="00C42387"/>
    <w:rsid w:val="00C426C6"/>
    <w:rsid w:val="00C4271A"/>
    <w:rsid w:val="00C42789"/>
    <w:rsid w:val="00C4278A"/>
    <w:rsid w:val="00C42957"/>
    <w:rsid w:val="00C429DB"/>
    <w:rsid w:val="00C42A84"/>
    <w:rsid w:val="00C42B46"/>
    <w:rsid w:val="00C42CBE"/>
    <w:rsid w:val="00C42CBF"/>
    <w:rsid w:val="00C42EB6"/>
    <w:rsid w:val="00C42EF5"/>
    <w:rsid w:val="00C42F70"/>
    <w:rsid w:val="00C42F90"/>
    <w:rsid w:val="00C430DC"/>
    <w:rsid w:val="00C4314C"/>
    <w:rsid w:val="00C43571"/>
    <w:rsid w:val="00C43882"/>
    <w:rsid w:val="00C43BE1"/>
    <w:rsid w:val="00C43D4A"/>
    <w:rsid w:val="00C43D5F"/>
    <w:rsid w:val="00C43E6A"/>
    <w:rsid w:val="00C43E8F"/>
    <w:rsid w:val="00C43E94"/>
    <w:rsid w:val="00C43F84"/>
    <w:rsid w:val="00C44087"/>
    <w:rsid w:val="00C4409B"/>
    <w:rsid w:val="00C44365"/>
    <w:rsid w:val="00C443AB"/>
    <w:rsid w:val="00C44412"/>
    <w:rsid w:val="00C4441E"/>
    <w:rsid w:val="00C44452"/>
    <w:rsid w:val="00C444B6"/>
    <w:rsid w:val="00C4450E"/>
    <w:rsid w:val="00C44704"/>
    <w:rsid w:val="00C44720"/>
    <w:rsid w:val="00C44919"/>
    <w:rsid w:val="00C44CD6"/>
    <w:rsid w:val="00C44E09"/>
    <w:rsid w:val="00C44EC6"/>
    <w:rsid w:val="00C45056"/>
    <w:rsid w:val="00C4508D"/>
    <w:rsid w:val="00C450A6"/>
    <w:rsid w:val="00C450F0"/>
    <w:rsid w:val="00C45221"/>
    <w:rsid w:val="00C452B4"/>
    <w:rsid w:val="00C45477"/>
    <w:rsid w:val="00C45509"/>
    <w:rsid w:val="00C45586"/>
    <w:rsid w:val="00C455D5"/>
    <w:rsid w:val="00C45634"/>
    <w:rsid w:val="00C456A1"/>
    <w:rsid w:val="00C45702"/>
    <w:rsid w:val="00C4579C"/>
    <w:rsid w:val="00C45B13"/>
    <w:rsid w:val="00C45C8F"/>
    <w:rsid w:val="00C45DF8"/>
    <w:rsid w:val="00C45E0D"/>
    <w:rsid w:val="00C45EF4"/>
    <w:rsid w:val="00C46007"/>
    <w:rsid w:val="00C460AB"/>
    <w:rsid w:val="00C461B8"/>
    <w:rsid w:val="00C462EB"/>
    <w:rsid w:val="00C46367"/>
    <w:rsid w:val="00C463F7"/>
    <w:rsid w:val="00C465BE"/>
    <w:rsid w:val="00C465C8"/>
    <w:rsid w:val="00C4668E"/>
    <w:rsid w:val="00C4674E"/>
    <w:rsid w:val="00C46773"/>
    <w:rsid w:val="00C46A0B"/>
    <w:rsid w:val="00C46A36"/>
    <w:rsid w:val="00C46C82"/>
    <w:rsid w:val="00C46D07"/>
    <w:rsid w:val="00C46D23"/>
    <w:rsid w:val="00C46D5A"/>
    <w:rsid w:val="00C46E0C"/>
    <w:rsid w:val="00C46E1C"/>
    <w:rsid w:val="00C46EEC"/>
    <w:rsid w:val="00C4701A"/>
    <w:rsid w:val="00C47053"/>
    <w:rsid w:val="00C4706C"/>
    <w:rsid w:val="00C4710A"/>
    <w:rsid w:val="00C47325"/>
    <w:rsid w:val="00C4734E"/>
    <w:rsid w:val="00C473B7"/>
    <w:rsid w:val="00C47473"/>
    <w:rsid w:val="00C47691"/>
    <w:rsid w:val="00C477E3"/>
    <w:rsid w:val="00C47946"/>
    <w:rsid w:val="00C47960"/>
    <w:rsid w:val="00C4798D"/>
    <w:rsid w:val="00C479EE"/>
    <w:rsid w:val="00C47AC3"/>
    <w:rsid w:val="00C47AE3"/>
    <w:rsid w:val="00C47AE8"/>
    <w:rsid w:val="00C47AF4"/>
    <w:rsid w:val="00C47B64"/>
    <w:rsid w:val="00C47B96"/>
    <w:rsid w:val="00C47BF9"/>
    <w:rsid w:val="00C47C26"/>
    <w:rsid w:val="00C47C53"/>
    <w:rsid w:val="00C47C68"/>
    <w:rsid w:val="00C50039"/>
    <w:rsid w:val="00C5006A"/>
    <w:rsid w:val="00C5008A"/>
    <w:rsid w:val="00C50327"/>
    <w:rsid w:val="00C503A6"/>
    <w:rsid w:val="00C503C2"/>
    <w:rsid w:val="00C503E8"/>
    <w:rsid w:val="00C50463"/>
    <w:rsid w:val="00C50561"/>
    <w:rsid w:val="00C50572"/>
    <w:rsid w:val="00C50594"/>
    <w:rsid w:val="00C505A7"/>
    <w:rsid w:val="00C505A9"/>
    <w:rsid w:val="00C50654"/>
    <w:rsid w:val="00C50813"/>
    <w:rsid w:val="00C5087D"/>
    <w:rsid w:val="00C5094B"/>
    <w:rsid w:val="00C50BBE"/>
    <w:rsid w:val="00C50BF6"/>
    <w:rsid w:val="00C50C8F"/>
    <w:rsid w:val="00C50CBF"/>
    <w:rsid w:val="00C50CDF"/>
    <w:rsid w:val="00C50DE9"/>
    <w:rsid w:val="00C50DF5"/>
    <w:rsid w:val="00C50E21"/>
    <w:rsid w:val="00C50E81"/>
    <w:rsid w:val="00C50EC6"/>
    <w:rsid w:val="00C51026"/>
    <w:rsid w:val="00C51085"/>
    <w:rsid w:val="00C510E0"/>
    <w:rsid w:val="00C51187"/>
    <w:rsid w:val="00C511AD"/>
    <w:rsid w:val="00C511FD"/>
    <w:rsid w:val="00C51201"/>
    <w:rsid w:val="00C51267"/>
    <w:rsid w:val="00C512FA"/>
    <w:rsid w:val="00C5131E"/>
    <w:rsid w:val="00C513C9"/>
    <w:rsid w:val="00C5153F"/>
    <w:rsid w:val="00C5157A"/>
    <w:rsid w:val="00C515C9"/>
    <w:rsid w:val="00C516CD"/>
    <w:rsid w:val="00C5182B"/>
    <w:rsid w:val="00C51907"/>
    <w:rsid w:val="00C5195E"/>
    <w:rsid w:val="00C51AD9"/>
    <w:rsid w:val="00C51ADD"/>
    <w:rsid w:val="00C51AE1"/>
    <w:rsid w:val="00C51BFD"/>
    <w:rsid w:val="00C51C54"/>
    <w:rsid w:val="00C51CE3"/>
    <w:rsid w:val="00C51D22"/>
    <w:rsid w:val="00C51D45"/>
    <w:rsid w:val="00C51E24"/>
    <w:rsid w:val="00C51E69"/>
    <w:rsid w:val="00C51ECF"/>
    <w:rsid w:val="00C51F4F"/>
    <w:rsid w:val="00C52012"/>
    <w:rsid w:val="00C520AA"/>
    <w:rsid w:val="00C5221A"/>
    <w:rsid w:val="00C522C2"/>
    <w:rsid w:val="00C52329"/>
    <w:rsid w:val="00C5237F"/>
    <w:rsid w:val="00C5239D"/>
    <w:rsid w:val="00C523A0"/>
    <w:rsid w:val="00C524BA"/>
    <w:rsid w:val="00C526D7"/>
    <w:rsid w:val="00C529E6"/>
    <w:rsid w:val="00C52A00"/>
    <w:rsid w:val="00C52A0D"/>
    <w:rsid w:val="00C52C7C"/>
    <w:rsid w:val="00C52D4F"/>
    <w:rsid w:val="00C52F63"/>
    <w:rsid w:val="00C52F74"/>
    <w:rsid w:val="00C5300E"/>
    <w:rsid w:val="00C53159"/>
    <w:rsid w:val="00C5319A"/>
    <w:rsid w:val="00C5323B"/>
    <w:rsid w:val="00C532CA"/>
    <w:rsid w:val="00C534AA"/>
    <w:rsid w:val="00C5352A"/>
    <w:rsid w:val="00C536A1"/>
    <w:rsid w:val="00C53701"/>
    <w:rsid w:val="00C5378E"/>
    <w:rsid w:val="00C53809"/>
    <w:rsid w:val="00C53872"/>
    <w:rsid w:val="00C5388D"/>
    <w:rsid w:val="00C538A8"/>
    <w:rsid w:val="00C539BC"/>
    <w:rsid w:val="00C53B54"/>
    <w:rsid w:val="00C53C60"/>
    <w:rsid w:val="00C53CD4"/>
    <w:rsid w:val="00C53E40"/>
    <w:rsid w:val="00C53E85"/>
    <w:rsid w:val="00C53EE8"/>
    <w:rsid w:val="00C53FB3"/>
    <w:rsid w:val="00C54233"/>
    <w:rsid w:val="00C543B7"/>
    <w:rsid w:val="00C543CD"/>
    <w:rsid w:val="00C544CB"/>
    <w:rsid w:val="00C54712"/>
    <w:rsid w:val="00C5478B"/>
    <w:rsid w:val="00C548C5"/>
    <w:rsid w:val="00C54962"/>
    <w:rsid w:val="00C549D3"/>
    <w:rsid w:val="00C54AC5"/>
    <w:rsid w:val="00C54C0C"/>
    <w:rsid w:val="00C54DCF"/>
    <w:rsid w:val="00C54E67"/>
    <w:rsid w:val="00C54F94"/>
    <w:rsid w:val="00C5506A"/>
    <w:rsid w:val="00C55085"/>
    <w:rsid w:val="00C550BC"/>
    <w:rsid w:val="00C5518B"/>
    <w:rsid w:val="00C551BF"/>
    <w:rsid w:val="00C55251"/>
    <w:rsid w:val="00C55271"/>
    <w:rsid w:val="00C5544A"/>
    <w:rsid w:val="00C55479"/>
    <w:rsid w:val="00C554FB"/>
    <w:rsid w:val="00C555B2"/>
    <w:rsid w:val="00C555C7"/>
    <w:rsid w:val="00C555EA"/>
    <w:rsid w:val="00C55667"/>
    <w:rsid w:val="00C557DB"/>
    <w:rsid w:val="00C557EC"/>
    <w:rsid w:val="00C5584B"/>
    <w:rsid w:val="00C55857"/>
    <w:rsid w:val="00C55A35"/>
    <w:rsid w:val="00C55B0E"/>
    <w:rsid w:val="00C55CA9"/>
    <w:rsid w:val="00C55D02"/>
    <w:rsid w:val="00C55EA9"/>
    <w:rsid w:val="00C55F00"/>
    <w:rsid w:val="00C55F46"/>
    <w:rsid w:val="00C5617A"/>
    <w:rsid w:val="00C56261"/>
    <w:rsid w:val="00C562D8"/>
    <w:rsid w:val="00C56358"/>
    <w:rsid w:val="00C563DC"/>
    <w:rsid w:val="00C564F1"/>
    <w:rsid w:val="00C5658D"/>
    <w:rsid w:val="00C565A3"/>
    <w:rsid w:val="00C565D5"/>
    <w:rsid w:val="00C56686"/>
    <w:rsid w:val="00C567F2"/>
    <w:rsid w:val="00C56891"/>
    <w:rsid w:val="00C569CA"/>
    <w:rsid w:val="00C56A54"/>
    <w:rsid w:val="00C56AC0"/>
    <w:rsid w:val="00C56B6C"/>
    <w:rsid w:val="00C56C38"/>
    <w:rsid w:val="00C56CF9"/>
    <w:rsid w:val="00C56E2B"/>
    <w:rsid w:val="00C56EC0"/>
    <w:rsid w:val="00C57073"/>
    <w:rsid w:val="00C5711E"/>
    <w:rsid w:val="00C57174"/>
    <w:rsid w:val="00C5717F"/>
    <w:rsid w:val="00C571FC"/>
    <w:rsid w:val="00C57454"/>
    <w:rsid w:val="00C574B6"/>
    <w:rsid w:val="00C57503"/>
    <w:rsid w:val="00C578D5"/>
    <w:rsid w:val="00C57981"/>
    <w:rsid w:val="00C57C94"/>
    <w:rsid w:val="00C57CEF"/>
    <w:rsid w:val="00C57D69"/>
    <w:rsid w:val="00C57D8D"/>
    <w:rsid w:val="00C57E91"/>
    <w:rsid w:val="00C57FAE"/>
    <w:rsid w:val="00C57FBF"/>
    <w:rsid w:val="00C60075"/>
    <w:rsid w:val="00C60166"/>
    <w:rsid w:val="00C6025F"/>
    <w:rsid w:val="00C60360"/>
    <w:rsid w:val="00C603FA"/>
    <w:rsid w:val="00C604AF"/>
    <w:rsid w:val="00C605C6"/>
    <w:rsid w:val="00C60640"/>
    <w:rsid w:val="00C6074A"/>
    <w:rsid w:val="00C6078A"/>
    <w:rsid w:val="00C60AC1"/>
    <w:rsid w:val="00C60CC9"/>
    <w:rsid w:val="00C60D0B"/>
    <w:rsid w:val="00C60D6D"/>
    <w:rsid w:val="00C60DA9"/>
    <w:rsid w:val="00C60E50"/>
    <w:rsid w:val="00C60E58"/>
    <w:rsid w:val="00C60E61"/>
    <w:rsid w:val="00C60EA4"/>
    <w:rsid w:val="00C611B1"/>
    <w:rsid w:val="00C6123C"/>
    <w:rsid w:val="00C6124C"/>
    <w:rsid w:val="00C612CE"/>
    <w:rsid w:val="00C61318"/>
    <w:rsid w:val="00C6144D"/>
    <w:rsid w:val="00C61615"/>
    <w:rsid w:val="00C61652"/>
    <w:rsid w:val="00C616A1"/>
    <w:rsid w:val="00C61744"/>
    <w:rsid w:val="00C61883"/>
    <w:rsid w:val="00C61B5C"/>
    <w:rsid w:val="00C61B89"/>
    <w:rsid w:val="00C61D9F"/>
    <w:rsid w:val="00C61E2F"/>
    <w:rsid w:val="00C61F6D"/>
    <w:rsid w:val="00C61FC7"/>
    <w:rsid w:val="00C620F7"/>
    <w:rsid w:val="00C62197"/>
    <w:rsid w:val="00C62207"/>
    <w:rsid w:val="00C622AE"/>
    <w:rsid w:val="00C62311"/>
    <w:rsid w:val="00C623B1"/>
    <w:rsid w:val="00C62458"/>
    <w:rsid w:val="00C624E6"/>
    <w:rsid w:val="00C624F7"/>
    <w:rsid w:val="00C626EB"/>
    <w:rsid w:val="00C626F2"/>
    <w:rsid w:val="00C6277A"/>
    <w:rsid w:val="00C6278A"/>
    <w:rsid w:val="00C62852"/>
    <w:rsid w:val="00C6297F"/>
    <w:rsid w:val="00C62A93"/>
    <w:rsid w:val="00C62AA2"/>
    <w:rsid w:val="00C62B31"/>
    <w:rsid w:val="00C62BAF"/>
    <w:rsid w:val="00C62C5C"/>
    <w:rsid w:val="00C62C71"/>
    <w:rsid w:val="00C62C96"/>
    <w:rsid w:val="00C62CBC"/>
    <w:rsid w:val="00C62EDF"/>
    <w:rsid w:val="00C62F9F"/>
    <w:rsid w:val="00C63044"/>
    <w:rsid w:val="00C63163"/>
    <w:rsid w:val="00C6317C"/>
    <w:rsid w:val="00C63219"/>
    <w:rsid w:val="00C632A6"/>
    <w:rsid w:val="00C63325"/>
    <w:rsid w:val="00C633D1"/>
    <w:rsid w:val="00C633D7"/>
    <w:rsid w:val="00C63419"/>
    <w:rsid w:val="00C634FC"/>
    <w:rsid w:val="00C63509"/>
    <w:rsid w:val="00C636DF"/>
    <w:rsid w:val="00C63701"/>
    <w:rsid w:val="00C63778"/>
    <w:rsid w:val="00C638CB"/>
    <w:rsid w:val="00C638CC"/>
    <w:rsid w:val="00C63950"/>
    <w:rsid w:val="00C63978"/>
    <w:rsid w:val="00C639F2"/>
    <w:rsid w:val="00C63A64"/>
    <w:rsid w:val="00C63F6D"/>
    <w:rsid w:val="00C6408C"/>
    <w:rsid w:val="00C64307"/>
    <w:rsid w:val="00C64322"/>
    <w:rsid w:val="00C6446C"/>
    <w:rsid w:val="00C64470"/>
    <w:rsid w:val="00C644B4"/>
    <w:rsid w:val="00C644CC"/>
    <w:rsid w:val="00C6450D"/>
    <w:rsid w:val="00C64599"/>
    <w:rsid w:val="00C64651"/>
    <w:rsid w:val="00C6469E"/>
    <w:rsid w:val="00C64709"/>
    <w:rsid w:val="00C64779"/>
    <w:rsid w:val="00C647E8"/>
    <w:rsid w:val="00C648DC"/>
    <w:rsid w:val="00C648F0"/>
    <w:rsid w:val="00C64A0E"/>
    <w:rsid w:val="00C64A1D"/>
    <w:rsid w:val="00C64A4C"/>
    <w:rsid w:val="00C64B17"/>
    <w:rsid w:val="00C64B1C"/>
    <w:rsid w:val="00C64B2A"/>
    <w:rsid w:val="00C64B44"/>
    <w:rsid w:val="00C64CA4"/>
    <w:rsid w:val="00C64D4B"/>
    <w:rsid w:val="00C64D52"/>
    <w:rsid w:val="00C64D93"/>
    <w:rsid w:val="00C64DEF"/>
    <w:rsid w:val="00C64E51"/>
    <w:rsid w:val="00C64F8D"/>
    <w:rsid w:val="00C6501F"/>
    <w:rsid w:val="00C650A4"/>
    <w:rsid w:val="00C654EB"/>
    <w:rsid w:val="00C6559E"/>
    <w:rsid w:val="00C65616"/>
    <w:rsid w:val="00C6568C"/>
    <w:rsid w:val="00C657E9"/>
    <w:rsid w:val="00C65832"/>
    <w:rsid w:val="00C659D2"/>
    <w:rsid w:val="00C65A05"/>
    <w:rsid w:val="00C65A08"/>
    <w:rsid w:val="00C65A3E"/>
    <w:rsid w:val="00C65AA9"/>
    <w:rsid w:val="00C65AB3"/>
    <w:rsid w:val="00C65BE2"/>
    <w:rsid w:val="00C65BE3"/>
    <w:rsid w:val="00C65CBB"/>
    <w:rsid w:val="00C65DDB"/>
    <w:rsid w:val="00C65EFB"/>
    <w:rsid w:val="00C65FF8"/>
    <w:rsid w:val="00C66010"/>
    <w:rsid w:val="00C66011"/>
    <w:rsid w:val="00C6601D"/>
    <w:rsid w:val="00C66038"/>
    <w:rsid w:val="00C663BC"/>
    <w:rsid w:val="00C6645F"/>
    <w:rsid w:val="00C665F0"/>
    <w:rsid w:val="00C666F7"/>
    <w:rsid w:val="00C668FE"/>
    <w:rsid w:val="00C66A56"/>
    <w:rsid w:val="00C66A9E"/>
    <w:rsid w:val="00C66B0F"/>
    <w:rsid w:val="00C66B19"/>
    <w:rsid w:val="00C66B8C"/>
    <w:rsid w:val="00C66C2D"/>
    <w:rsid w:val="00C66F42"/>
    <w:rsid w:val="00C670B8"/>
    <w:rsid w:val="00C671FC"/>
    <w:rsid w:val="00C67225"/>
    <w:rsid w:val="00C672DA"/>
    <w:rsid w:val="00C6756B"/>
    <w:rsid w:val="00C67585"/>
    <w:rsid w:val="00C675FA"/>
    <w:rsid w:val="00C6783D"/>
    <w:rsid w:val="00C6787E"/>
    <w:rsid w:val="00C6790E"/>
    <w:rsid w:val="00C67963"/>
    <w:rsid w:val="00C67964"/>
    <w:rsid w:val="00C67A7D"/>
    <w:rsid w:val="00C67C83"/>
    <w:rsid w:val="00C67CCD"/>
    <w:rsid w:val="00C67CDE"/>
    <w:rsid w:val="00C67D45"/>
    <w:rsid w:val="00C67E95"/>
    <w:rsid w:val="00C70000"/>
    <w:rsid w:val="00C70047"/>
    <w:rsid w:val="00C7006A"/>
    <w:rsid w:val="00C700AB"/>
    <w:rsid w:val="00C700C2"/>
    <w:rsid w:val="00C700E4"/>
    <w:rsid w:val="00C7023A"/>
    <w:rsid w:val="00C70329"/>
    <w:rsid w:val="00C70459"/>
    <w:rsid w:val="00C70482"/>
    <w:rsid w:val="00C70513"/>
    <w:rsid w:val="00C70663"/>
    <w:rsid w:val="00C70788"/>
    <w:rsid w:val="00C707F4"/>
    <w:rsid w:val="00C708D1"/>
    <w:rsid w:val="00C70A01"/>
    <w:rsid w:val="00C70B2F"/>
    <w:rsid w:val="00C70C66"/>
    <w:rsid w:val="00C70DE3"/>
    <w:rsid w:val="00C70EAB"/>
    <w:rsid w:val="00C70F0D"/>
    <w:rsid w:val="00C70F91"/>
    <w:rsid w:val="00C71194"/>
    <w:rsid w:val="00C71260"/>
    <w:rsid w:val="00C713D9"/>
    <w:rsid w:val="00C71492"/>
    <w:rsid w:val="00C7150C"/>
    <w:rsid w:val="00C715BA"/>
    <w:rsid w:val="00C71603"/>
    <w:rsid w:val="00C71746"/>
    <w:rsid w:val="00C7179E"/>
    <w:rsid w:val="00C71876"/>
    <w:rsid w:val="00C71957"/>
    <w:rsid w:val="00C71994"/>
    <w:rsid w:val="00C719CB"/>
    <w:rsid w:val="00C71BA8"/>
    <w:rsid w:val="00C71C01"/>
    <w:rsid w:val="00C71C62"/>
    <w:rsid w:val="00C71C9E"/>
    <w:rsid w:val="00C71D58"/>
    <w:rsid w:val="00C71D8A"/>
    <w:rsid w:val="00C71F9A"/>
    <w:rsid w:val="00C72116"/>
    <w:rsid w:val="00C7234B"/>
    <w:rsid w:val="00C72430"/>
    <w:rsid w:val="00C72498"/>
    <w:rsid w:val="00C7258A"/>
    <w:rsid w:val="00C725C4"/>
    <w:rsid w:val="00C725EF"/>
    <w:rsid w:val="00C726FE"/>
    <w:rsid w:val="00C72793"/>
    <w:rsid w:val="00C728F4"/>
    <w:rsid w:val="00C729DC"/>
    <w:rsid w:val="00C72C90"/>
    <w:rsid w:val="00C72D03"/>
    <w:rsid w:val="00C72D23"/>
    <w:rsid w:val="00C72D92"/>
    <w:rsid w:val="00C72DA7"/>
    <w:rsid w:val="00C72E66"/>
    <w:rsid w:val="00C72E6D"/>
    <w:rsid w:val="00C72E98"/>
    <w:rsid w:val="00C72F8C"/>
    <w:rsid w:val="00C7302A"/>
    <w:rsid w:val="00C73083"/>
    <w:rsid w:val="00C73106"/>
    <w:rsid w:val="00C73392"/>
    <w:rsid w:val="00C733D0"/>
    <w:rsid w:val="00C733DE"/>
    <w:rsid w:val="00C73490"/>
    <w:rsid w:val="00C73497"/>
    <w:rsid w:val="00C734E7"/>
    <w:rsid w:val="00C73512"/>
    <w:rsid w:val="00C73530"/>
    <w:rsid w:val="00C73620"/>
    <w:rsid w:val="00C7366B"/>
    <w:rsid w:val="00C737FA"/>
    <w:rsid w:val="00C738EE"/>
    <w:rsid w:val="00C73941"/>
    <w:rsid w:val="00C73A4B"/>
    <w:rsid w:val="00C73A5B"/>
    <w:rsid w:val="00C73D98"/>
    <w:rsid w:val="00C73ECA"/>
    <w:rsid w:val="00C73F97"/>
    <w:rsid w:val="00C73FA3"/>
    <w:rsid w:val="00C7402A"/>
    <w:rsid w:val="00C7406C"/>
    <w:rsid w:val="00C7408A"/>
    <w:rsid w:val="00C74101"/>
    <w:rsid w:val="00C74393"/>
    <w:rsid w:val="00C743F7"/>
    <w:rsid w:val="00C744C3"/>
    <w:rsid w:val="00C74606"/>
    <w:rsid w:val="00C74763"/>
    <w:rsid w:val="00C74AAE"/>
    <w:rsid w:val="00C74B46"/>
    <w:rsid w:val="00C74B9A"/>
    <w:rsid w:val="00C74BF2"/>
    <w:rsid w:val="00C74ED0"/>
    <w:rsid w:val="00C74FD0"/>
    <w:rsid w:val="00C7500E"/>
    <w:rsid w:val="00C75082"/>
    <w:rsid w:val="00C75161"/>
    <w:rsid w:val="00C7520E"/>
    <w:rsid w:val="00C7537B"/>
    <w:rsid w:val="00C753FA"/>
    <w:rsid w:val="00C753FE"/>
    <w:rsid w:val="00C75480"/>
    <w:rsid w:val="00C75481"/>
    <w:rsid w:val="00C75484"/>
    <w:rsid w:val="00C7564F"/>
    <w:rsid w:val="00C7567F"/>
    <w:rsid w:val="00C75690"/>
    <w:rsid w:val="00C75990"/>
    <w:rsid w:val="00C75A90"/>
    <w:rsid w:val="00C75BF5"/>
    <w:rsid w:val="00C75D67"/>
    <w:rsid w:val="00C76187"/>
    <w:rsid w:val="00C7619A"/>
    <w:rsid w:val="00C76215"/>
    <w:rsid w:val="00C76376"/>
    <w:rsid w:val="00C763D3"/>
    <w:rsid w:val="00C7644F"/>
    <w:rsid w:val="00C76835"/>
    <w:rsid w:val="00C7690E"/>
    <w:rsid w:val="00C769E7"/>
    <w:rsid w:val="00C76B07"/>
    <w:rsid w:val="00C76B28"/>
    <w:rsid w:val="00C76CC1"/>
    <w:rsid w:val="00C76DC4"/>
    <w:rsid w:val="00C76E96"/>
    <w:rsid w:val="00C76FE6"/>
    <w:rsid w:val="00C77092"/>
    <w:rsid w:val="00C770AF"/>
    <w:rsid w:val="00C77270"/>
    <w:rsid w:val="00C7728F"/>
    <w:rsid w:val="00C77501"/>
    <w:rsid w:val="00C775FF"/>
    <w:rsid w:val="00C77633"/>
    <w:rsid w:val="00C7766A"/>
    <w:rsid w:val="00C77730"/>
    <w:rsid w:val="00C77969"/>
    <w:rsid w:val="00C77A7B"/>
    <w:rsid w:val="00C77B19"/>
    <w:rsid w:val="00C77C40"/>
    <w:rsid w:val="00C77C52"/>
    <w:rsid w:val="00C77CEF"/>
    <w:rsid w:val="00C77D3E"/>
    <w:rsid w:val="00C77DDD"/>
    <w:rsid w:val="00C77E16"/>
    <w:rsid w:val="00C77ED1"/>
    <w:rsid w:val="00C77F22"/>
    <w:rsid w:val="00C77F46"/>
    <w:rsid w:val="00C800ED"/>
    <w:rsid w:val="00C80177"/>
    <w:rsid w:val="00C802F9"/>
    <w:rsid w:val="00C806C4"/>
    <w:rsid w:val="00C806C6"/>
    <w:rsid w:val="00C80748"/>
    <w:rsid w:val="00C80756"/>
    <w:rsid w:val="00C808F8"/>
    <w:rsid w:val="00C80A02"/>
    <w:rsid w:val="00C80BA4"/>
    <w:rsid w:val="00C80C46"/>
    <w:rsid w:val="00C80C9C"/>
    <w:rsid w:val="00C80D3C"/>
    <w:rsid w:val="00C80DF9"/>
    <w:rsid w:val="00C80E98"/>
    <w:rsid w:val="00C80F1B"/>
    <w:rsid w:val="00C80FAE"/>
    <w:rsid w:val="00C8100F"/>
    <w:rsid w:val="00C81099"/>
    <w:rsid w:val="00C810CB"/>
    <w:rsid w:val="00C81164"/>
    <w:rsid w:val="00C81345"/>
    <w:rsid w:val="00C8134F"/>
    <w:rsid w:val="00C81358"/>
    <w:rsid w:val="00C81381"/>
    <w:rsid w:val="00C81519"/>
    <w:rsid w:val="00C81593"/>
    <w:rsid w:val="00C81627"/>
    <w:rsid w:val="00C8175F"/>
    <w:rsid w:val="00C817C5"/>
    <w:rsid w:val="00C81856"/>
    <w:rsid w:val="00C818C5"/>
    <w:rsid w:val="00C8191C"/>
    <w:rsid w:val="00C81A80"/>
    <w:rsid w:val="00C81B0C"/>
    <w:rsid w:val="00C81B26"/>
    <w:rsid w:val="00C81B65"/>
    <w:rsid w:val="00C81BE9"/>
    <w:rsid w:val="00C81D70"/>
    <w:rsid w:val="00C81D81"/>
    <w:rsid w:val="00C81D91"/>
    <w:rsid w:val="00C81E4A"/>
    <w:rsid w:val="00C81FCB"/>
    <w:rsid w:val="00C82083"/>
    <w:rsid w:val="00C820E4"/>
    <w:rsid w:val="00C82306"/>
    <w:rsid w:val="00C8263B"/>
    <w:rsid w:val="00C82660"/>
    <w:rsid w:val="00C8273E"/>
    <w:rsid w:val="00C82836"/>
    <w:rsid w:val="00C8297A"/>
    <w:rsid w:val="00C829F0"/>
    <w:rsid w:val="00C82A09"/>
    <w:rsid w:val="00C82CED"/>
    <w:rsid w:val="00C82EC4"/>
    <w:rsid w:val="00C82F94"/>
    <w:rsid w:val="00C82F9B"/>
    <w:rsid w:val="00C82FF6"/>
    <w:rsid w:val="00C83027"/>
    <w:rsid w:val="00C83146"/>
    <w:rsid w:val="00C831CB"/>
    <w:rsid w:val="00C831FA"/>
    <w:rsid w:val="00C83357"/>
    <w:rsid w:val="00C8343E"/>
    <w:rsid w:val="00C83562"/>
    <w:rsid w:val="00C837A4"/>
    <w:rsid w:val="00C838F2"/>
    <w:rsid w:val="00C838FC"/>
    <w:rsid w:val="00C838FF"/>
    <w:rsid w:val="00C83A52"/>
    <w:rsid w:val="00C83A84"/>
    <w:rsid w:val="00C83B90"/>
    <w:rsid w:val="00C83C0E"/>
    <w:rsid w:val="00C83CB3"/>
    <w:rsid w:val="00C83D28"/>
    <w:rsid w:val="00C83D64"/>
    <w:rsid w:val="00C83DA7"/>
    <w:rsid w:val="00C83E37"/>
    <w:rsid w:val="00C83E8F"/>
    <w:rsid w:val="00C83F04"/>
    <w:rsid w:val="00C840E3"/>
    <w:rsid w:val="00C842C0"/>
    <w:rsid w:val="00C8432D"/>
    <w:rsid w:val="00C843BD"/>
    <w:rsid w:val="00C844CA"/>
    <w:rsid w:val="00C844FB"/>
    <w:rsid w:val="00C84513"/>
    <w:rsid w:val="00C8460D"/>
    <w:rsid w:val="00C846D4"/>
    <w:rsid w:val="00C8486A"/>
    <w:rsid w:val="00C848A3"/>
    <w:rsid w:val="00C848BA"/>
    <w:rsid w:val="00C848CC"/>
    <w:rsid w:val="00C8495D"/>
    <w:rsid w:val="00C84997"/>
    <w:rsid w:val="00C84B31"/>
    <w:rsid w:val="00C84D9F"/>
    <w:rsid w:val="00C84F15"/>
    <w:rsid w:val="00C85061"/>
    <w:rsid w:val="00C8509E"/>
    <w:rsid w:val="00C850CD"/>
    <w:rsid w:val="00C85162"/>
    <w:rsid w:val="00C851EC"/>
    <w:rsid w:val="00C8521B"/>
    <w:rsid w:val="00C8540F"/>
    <w:rsid w:val="00C8554C"/>
    <w:rsid w:val="00C85721"/>
    <w:rsid w:val="00C85738"/>
    <w:rsid w:val="00C8579D"/>
    <w:rsid w:val="00C857B8"/>
    <w:rsid w:val="00C857DA"/>
    <w:rsid w:val="00C85873"/>
    <w:rsid w:val="00C8587B"/>
    <w:rsid w:val="00C858D0"/>
    <w:rsid w:val="00C85B57"/>
    <w:rsid w:val="00C85C4B"/>
    <w:rsid w:val="00C85D06"/>
    <w:rsid w:val="00C85E1F"/>
    <w:rsid w:val="00C85EB3"/>
    <w:rsid w:val="00C85ED2"/>
    <w:rsid w:val="00C860AE"/>
    <w:rsid w:val="00C862D3"/>
    <w:rsid w:val="00C863C2"/>
    <w:rsid w:val="00C86425"/>
    <w:rsid w:val="00C86448"/>
    <w:rsid w:val="00C864A1"/>
    <w:rsid w:val="00C8650B"/>
    <w:rsid w:val="00C86764"/>
    <w:rsid w:val="00C86790"/>
    <w:rsid w:val="00C867BC"/>
    <w:rsid w:val="00C868DF"/>
    <w:rsid w:val="00C8694A"/>
    <w:rsid w:val="00C869F3"/>
    <w:rsid w:val="00C86B38"/>
    <w:rsid w:val="00C86C24"/>
    <w:rsid w:val="00C86D3A"/>
    <w:rsid w:val="00C86E18"/>
    <w:rsid w:val="00C87156"/>
    <w:rsid w:val="00C87250"/>
    <w:rsid w:val="00C872C5"/>
    <w:rsid w:val="00C87316"/>
    <w:rsid w:val="00C873BB"/>
    <w:rsid w:val="00C87462"/>
    <w:rsid w:val="00C874B6"/>
    <w:rsid w:val="00C874CB"/>
    <w:rsid w:val="00C87623"/>
    <w:rsid w:val="00C87695"/>
    <w:rsid w:val="00C876E0"/>
    <w:rsid w:val="00C87759"/>
    <w:rsid w:val="00C87904"/>
    <w:rsid w:val="00C87918"/>
    <w:rsid w:val="00C8795D"/>
    <w:rsid w:val="00C8795E"/>
    <w:rsid w:val="00C87B1B"/>
    <w:rsid w:val="00C87DD9"/>
    <w:rsid w:val="00C87E74"/>
    <w:rsid w:val="00C87E95"/>
    <w:rsid w:val="00C87EE2"/>
    <w:rsid w:val="00C87FA1"/>
    <w:rsid w:val="00C90288"/>
    <w:rsid w:val="00C902B1"/>
    <w:rsid w:val="00C903E3"/>
    <w:rsid w:val="00C90494"/>
    <w:rsid w:val="00C904E4"/>
    <w:rsid w:val="00C90571"/>
    <w:rsid w:val="00C905A1"/>
    <w:rsid w:val="00C905BE"/>
    <w:rsid w:val="00C9081E"/>
    <w:rsid w:val="00C90985"/>
    <w:rsid w:val="00C90A05"/>
    <w:rsid w:val="00C90B8B"/>
    <w:rsid w:val="00C90F77"/>
    <w:rsid w:val="00C90FC1"/>
    <w:rsid w:val="00C91098"/>
    <w:rsid w:val="00C910AB"/>
    <w:rsid w:val="00C910E2"/>
    <w:rsid w:val="00C911A1"/>
    <w:rsid w:val="00C911B5"/>
    <w:rsid w:val="00C911BF"/>
    <w:rsid w:val="00C91393"/>
    <w:rsid w:val="00C91394"/>
    <w:rsid w:val="00C9139E"/>
    <w:rsid w:val="00C913E6"/>
    <w:rsid w:val="00C91479"/>
    <w:rsid w:val="00C914AA"/>
    <w:rsid w:val="00C91514"/>
    <w:rsid w:val="00C91561"/>
    <w:rsid w:val="00C916DE"/>
    <w:rsid w:val="00C917A5"/>
    <w:rsid w:val="00C91907"/>
    <w:rsid w:val="00C91951"/>
    <w:rsid w:val="00C91A82"/>
    <w:rsid w:val="00C91CE7"/>
    <w:rsid w:val="00C91E19"/>
    <w:rsid w:val="00C91E2B"/>
    <w:rsid w:val="00C91F70"/>
    <w:rsid w:val="00C92058"/>
    <w:rsid w:val="00C921EB"/>
    <w:rsid w:val="00C922CD"/>
    <w:rsid w:val="00C92332"/>
    <w:rsid w:val="00C9249C"/>
    <w:rsid w:val="00C924F4"/>
    <w:rsid w:val="00C925E6"/>
    <w:rsid w:val="00C92666"/>
    <w:rsid w:val="00C927D1"/>
    <w:rsid w:val="00C9295A"/>
    <w:rsid w:val="00C929D7"/>
    <w:rsid w:val="00C92A24"/>
    <w:rsid w:val="00C92A77"/>
    <w:rsid w:val="00C92AE4"/>
    <w:rsid w:val="00C92B1A"/>
    <w:rsid w:val="00C92CD5"/>
    <w:rsid w:val="00C92D2C"/>
    <w:rsid w:val="00C92D49"/>
    <w:rsid w:val="00C92DB3"/>
    <w:rsid w:val="00C92E38"/>
    <w:rsid w:val="00C92F03"/>
    <w:rsid w:val="00C93000"/>
    <w:rsid w:val="00C93012"/>
    <w:rsid w:val="00C93345"/>
    <w:rsid w:val="00C9349C"/>
    <w:rsid w:val="00C934F6"/>
    <w:rsid w:val="00C93509"/>
    <w:rsid w:val="00C935D7"/>
    <w:rsid w:val="00C936BB"/>
    <w:rsid w:val="00C9371B"/>
    <w:rsid w:val="00C93781"/>
    <w:rsid w:val="00C937D2"/>
    <w:rsid w:val="00C93850"/>
    <w:rsid w:val="00C93A06"/>
    <w:rsid w:val="00C93A57"/>
    <w:rsid w:val="00C93B8F"/>
    <w:rsid w:val="00C93C4C"/>
    <w:rsid w:val="00C93CBA"/>
    <w:rsid w:val="00C93D1E"/>
    <w:rsid w:val="00C93D91"/>
    <w:rsid w:val="00C93DB5"/>
    <w:rsid w:val="00C93EEB"/>
    <w:rsid w:val="00C93F92"/>
    <w:rsid w:val="00C9401A"/>
    <w:rsid w:val="00C940E9"/>
    <w:rsid w:val="00C941C7"/>
    <w:rsid w:val="00C941C8"/>
    <w:rsid w:val="00C941FF"/>
    <w:rsid w:val="00C94262"/>
    <w:rsid w:val="00C94391"/>
    <w:rsid w:val="00C943D1"/>
    <w:rsid w:val="00C944E8"/>
    <w:rsid w:val="00C94508"/>
    <w:rsid w:val="00C945D6"/>
    <w:rsid w:val="00C94746"/>
    <w:rsid w:val="00C94925"/>
    <w:rsid w:val="00C9493F"/>
    <w:rsid w:val="00C94A07"/>
    <w:rsid w:val="00C94A0C"/>
    <w:rsid w:val="00C94A73"/>
    <w:rsid w:val="00C94AE5"/>
    <w:rsid w:val="00C94B02"/>
    <w:rsid w:val="00C94B33"/>
    <w:rsid w:val="00C94C7B"/>
    <w:rsid w:val="00C94CCC"/>
    <w:rsid w:val="00C94F23"/>
    <w:rsid w:val="00C95305"/>
    <w:rsid w:val="00C95518"/>
    <w:rsid w:val="00C95610"/>
    <w:rsid w:val="00C956BB"/>
    <w:rsid w:val="00C9571A"/>
    <w:rsid w:val="00C95720"/>
    <w:rsid w:val="00C9578E"/>
    <w:rsid w:val="00C957A9"/>
    <w:rsid w:val="00C95841"/>
    <w:rsid w:val="00C959F1"/>
    <w:rsid w:val="00C95BFD"/>
    <w:rsid w:val="00C95C04"/>
    <w:rsid w:val="00C95D48"/>
    <w:rsid w:val="00C95D5B"/>
    <w:rsid w:val="00C95EB7"/>
    <w:rsid w:val="00C95F3F"/>
    <w:rsid w:val="00C96156"/>
    <w:rsid w:val="00C9616A"/>
    <w:rsid w:val="00C961AD"/>
    <w:rsid w:val="00C96200"/>
    <w:rsid w:val="00C96377"/>
    <w:rsid w:val="00C963CB"/>
    <w:rsid w:val="00C964E3"/>
    <w:rsid w:val="00C96569"/>
    <w:rsid w:val="00C965DF"/>
    <w:rsid w:val="00C968EF"/>
    <w:rsid w:val="00C96A1D"/>
    <w:rsid w:val="00C96A80"/>
    <w:rsid w:val="00C96AD8"/>
    <w:rsid w:val="00C96C50"/>
    <w:rsid w:val="00C96CA1"/>
    <w:rsid w:val="00C96D49"/>
    <w:rsid w:val="00C96E76"/>
    <w:rsid w:val="00C96F05"/>
    <w:rsid w:val="00C96F8B"/>
    <w:rsid w:val="00C97038"/>
    <w:rsid w:val="00C97163"/>
    <w:rsid w:val="00C9746D"/>
    <w:rsid w:val="00C97478"/>
    <w:rsid w:val="00C974CD"/>
    <w:rsid w:val="00C9768C"/>
    <w:rsid w:val="00C976B7"/>
    <w:rsid w:val="00C976C3"/>
    <w:rsid w:val="00C97850"/>
    <w:rsid w:val="00C9793D"/>
    <w:rsid w:val="00C97998"/>
    <w:rsid w:val="00C97AA1"/>
    <w:rsid w:val="00C97B18"/>
    <w:rsid w:val="00C97B2A"/>
    <w:rsid w:val="00C97B7E"/>
    <w:rsid w:val="00C97D2D"/>
    <w:rsid w:val="00C97DC4"/>
    <w:rsid w:val="00C97DCD"/>
    <w:rsid w:val="00C97EBB"/>
    <w:rsid w:val="00CA0004"/>
    <w:rsid w:val="00CA036E"/>
    <w:rsid w:val="00CA04AF"/>
    <w:rsid w:val="00CA058B"/>
    <w:rsid w:val="00CA0716"/>
    <w:rsid w:val="00CA07DC"/>
    <w:rsid w:val="00CA0828"/>
    <w:rsid w:val="00CA089F"/>
    <w:rsid w:val="00CA08DA"/>
    <w:rsid w:val="00CA0914"/>
    <w:rsid w:val="00CA0A1D"/>
    <w:rsid w:val="00CA0BD2"/>
    <w:rsid w:val="00CA0BDA"/>
    <w:rsid w:val="00CA0C18"/>
    <w:rsid w:val="00CA0C8C"/>
    <w:rsid w:val="00CA0D96"/>
    <w:rsid w:val="00CA0E12"/>
    <w:rsid w:val="00CA0E5E"/>
    <w:rsid w:val="00CA0FA3"/>
    <w:rsid w:val="00CA1057"/>
    <w:rsid w:val="00CA14BE"/>
    <w:rsid w:val="00CA155A"/>
    <w:rsid w:val="00CA16B3"/>
    <w:rsid w:val="00CA1787"/>
    <w:rsid w:val="00CA17B9"/>
    <w:rsid w:val="00CA18B4"/>
    <w:rsid w:val="00CA19EC"/>
    <w:rsid w:val="00CA1CC8"/>
    <w:rsid w:val="00CA1FA9"/>
    <w:rsid w:val="00CA20A7"/>
    <w:rsid w:val="00CA223A"/>
    <w:rsid w:val="00CA227A"/>
    <w:rsid w:val="00CA22BE"/>
    <w:rsid w:val="00CA2330"/>
    <w:rsid w:val="00CA255A"/>
    <w:rsid w:val="00CA25D2"/>
    <w:rsid w:val="00CA25E0"/>
    <w:rsid w:val="00CA2686"/>
    <w:rsid w:val="00CA26AF"/>
    <w:rsid w:val="00CA2787"/>
    <w:rsid w:val="00CA27F8"/>
    <w:rsid w:val="00CA2800"/>
    <w:rsid w:val="00CA2897"/>
    <w:rsid w:val="00CA28DD"/>
    <w:rsid w:val="00CA2A9E"/>
    <w:rsid w:val="00CA2AC4"/>
    <w:rsid w:val="00CA2BFA"/>
    <w:rsid w:val="00CA2C41"/>
    <w:rsid w:val="00CA2D05"/>
    <w:rsid w:val="00CA2DAE"/>
    <w:rsid w:val="00CA2DFD"/>
    <w:rsid w:val="00CA2E20"/>
    <w:rsid w:val="00CA3024"/>
    <w:rsid w:val="00CA30F1"/>
    <w:rsid w:val="00CA31CD"/>
    <w:rsid w:val="00CA3249"/>
    <w:rsid w:val="00CA34A2"/>
    <w:rsid w:val="00CA34AB"/>
    <w:rsid w:val="00CA352A"/>
    <w:rsid w:val="00CA3638"/>
    <w:rsid w:val="00CA376F"/>
    <w:rsid w:val="00CA37F0"/>
    <w:rsid w:val="00CA38D3"/>
    <w:rsid w:val="00CA39C6"/>
    <w:rsid w:val="00CA3A60"/>
    <w:rsid w:val="00CA3B07"/>
    <w:rsid w:val="00CA3B12"/>
    <w:rsid w:val="00CA3B1E"/>
    <w:rsid w:val="00CA3D77"/>
    <w:rsid w:val="00CA3E8D"/>
    <w:rsid w:val="00CA3FD2"/>
    <w:rsid w:val="00CA3FE0"/>
    <w:rsid w:val="00CA4073"/>
    <w:rsid w:val="00CA414B"/>
    <w:rsid w:val="00CA41E5"/>
    <w:rsid w:val="00CA432A"/>
    <w:rsid w:val="00CA4496"/>
    <w:rsid w:val="00CA44AB"/>
    <w:rsid w:val="00CA4663"/>
    <w:rsid w:val="00CA4713"/>
    <w:rsid w:val="00CA479F"/>
    <w:rsid w:val="00CA47C1"/>
    <w:rsid w:val="00CA485E"/>
    <w:rsid w:val="00CA4870"/>
    <w:rsid w:val="00CA48E0"/>
    <w:rsid w:val="00CA4928"/>
    <w:rsid w:val="00CA49A4"/>
    <w:rsid w:val="00CA4A3A"/>
    <w:rsid w:val="00CA4A3D"/>
    <w:rsid w:val="00CA4B1B"/>
    <w:rsid w:val="00CA4CC4"/>
    <w:rsid w:val="00CA4D17"/>
    <w:rsid w:val="00CA4E0C"/>
    <w:rsid w:val="00CA4E58"/>
    <w:rsid w:val="00CA4E71"/>
    <w:rsid w:val="00CA4EFE"/>
    <w:rsid w:val="00CA4F72"/>
    <w:rsid w:val="00CA4F91"/>
    <w:rsid w:val="00CA5038"/>
    <w:rsid w:val="00CA509F"/>
    <w:rsid w:val="00CA5174"/>
    <w:rsid w:val="00CA5215"/>
    <w:rsid w:val="00CA52BC"/>
    <w:rsid w:val="00CA534B"/>
    <w:rsid w:val="00CA53F8"/>
    <w:rsid w:val="00CA5435"/>
    <w:rsid w:val="00CA5472"/>
    <w:rsid w:val="00CA5927"/>
    <w:rsid w:val="00CA59E2"/>
    <w:rsid w:val="00CA5A4E"/>
    <w:rsid w:val="00CA5BAA"/>
    <w:rsid w:val="00CA5C5C"/>
    <w:rsid w:val="00CA5CAE"/>
    <w:rsid w:val="00CA5D71"/>
    <w:rsid w:val="00CA5F8F"/>
    <w:rsid w:val="00CA62C3"/>
    <w:rsid w:val="00CA6311"/>
    <w:rsid w:val="00CA6337"/>
    <w:rsid w:val="00CA638E"/>
    <w:rsid w:val="00CA63EB"/>
    <w:rsid w:val="00CA6485"/>
    <w:rsid w:val="00CA67FA"/>
    <w:rsid w:val="00CA6944"/>
    <w:rsid w:val="00CA6A08"/>
    <w:rsid w:val="00CA6A77"/>
    <w:rsid w:val="00CA6B09"/>
    <w:rsid w:val="00CA6BBA"/>
    <w:rsid w:val="00CA6C1D"/>
    <w:rsid w:val="00CA6D4F"/>
    <w:rsid w:val="00CA6E21"/>
    <w:rsid w:val="00CA6FE1"/>
    <w:rsid w:val="00CA6FEB"/>
    <w:rsid w:val="00CA702D"/>
    <w:rsid w:val="00CA70B5"/>
    <w:rsid w:val="00CA70C3"/>
    <w:rsid w:val="00CA7199"/>
    <w:rsid w:val="00CA71DE"/>
    <w:rsid w:val="00CA72DF"/>
    <w:rsid w:val="00CA7440"/>
    <w:rsid w:val="00CA74BD"/>
    <w:rsid w:val="00CA74D8"/>
    <w:rsid w:val="00CA7511"/>
    <w:rsid w:val="00CA75B3"/>
    <w:rsid w:val="00CA761E"/>
    <w:rsid w:val="00CA7695"/>
    <w:rsid w:val="00CA7735"/>
    <w:rsid w:val="00CA7811"/>
    <w:rsid w:val="00CA7AC4"/>
    <w:rsid w:val="00CA7B1D"/>
    <w:rsid w:val="00CA7C1F"/>
    <w:rsid w:val="00CA7D41"/>
    <w:rsid w:val="00CA7E54"/>
    <w:rsid w:val="00CA7E9F"/>
    <w:rsid w:val="00CA7F02"/>
    <w:rsid w:val="00CA7FDB"/>
    <w:rsid w:val="00CB0198"/>
    <w:rsid w:val="00CB0232"/>
    <w:rsid w:val="00CB045D"/>
    <w:rsid w:val="00CB04EB"/>
    <w:rsid w:val="00CB04EE"/>
    <w:rsid w:val="00CB051A"/>
    <w:rsid w:val="00CB0533"/>
    <w:rsid w:val="00CB05FD"/>
    <w:rsid w:val="00CB0632"/>
    <w:rsid w:val="00CB08B7"/>
    <w:rsid w:val="00CB0A6B"/>
    <w:rsid w:val="00CB0A88"/>
    <w:rsid w:val="00CB0C1E"/>
    <w:rsid w:val="00CB0D8B"/>
    <w:rsid w:val="00CB0DB6"/>
    <w:rsid w:val="00CB0E5F"/>
    <w:rsid w:val="00CB0E62"/>
    <w:rsid w:val="00CB0EB8"/>
    <w:rsid w:val="00CB0F31"/>
    <w:rsid w:val="00CB0FD0"/>
    <w:rsid w:val="00CB0FE0"/>
    <w:rsid w:val="00CB0FF0"/>
    <w:rsid w:val="00CB1346"/>
    <w:rsid w:val="00CB135E"/>
    <w:rsid w:val="00CB165F"/>
    <w:rsid w:val="00CB16CE"/>
    <w:rsid w:val="00CB174A"/>
    <w:rsid w:val="00CB1870"/>
    <w:rsid w:val="00CB187B"/>
    <w:rsid w:val="00CB1B61"/>
    <w:rsid w:val="00CB1BEE"/>
    <w:rsid w:val="00CB1BFF"/>
    <w:rsid w:val="00CB1C76"/>
    <w:rsid w:val="00CB1D11"/>
    <w:rsid w:val="00CB1D1C"/>
    <w:rsid w:val="00CB1D47"/>
    <w:rsid w:val="00CB1E60"/>
    <w:rsid w:val="00CB1FDA"/>
    <w:rsid w:val="00CB2015"/>
    <w:rsid w:val="00CB210C"/>
    <w:rsid w:val="00CB2253"/>
    <w:rsid w:val="00CB2300"/>
    <w:rsid w:val="00CB2378"/>
    <w:rsid w:val="00CB238C"/>
    <w:rsid w:val="00CB238E"/>
    <w:rsid w:val="00CB24D5"/>
    <w:rsid w:val="00CB2735"/>
    <w:rsid w:val="00CB27D4"/>
    <w:rsid w:val="00CB285F"/>
    <w:rsid w:val="00CB28E0"/>
    <w:rsid w:val="00CB2913"/>
    <w:rsid w:val="00CB29C1"/>
    <w:rsid w:val="00CB29C7"/>
    <w:rsid w:val="00CB2A3D"/>
    <w:rsid w:val="00CB2A7A"/>
    <w:rsid w:val="00CB2CE1"/>
    <w:rsid w:val="00CB2D0F"/>
    <w:rsid w:val="00CB2D77"/>
    <w:rsid w:val="00CB2DC8"/>
    <w:rsid w:val="00CB2E4B"/>
    <w:rsid w:val="00CB2E5E"/>
    <w:rsid w:val="00CB2EB9"/>
    <w:rsid w:val="00CB3024"/>
    <w:rsid w:val="00CB3077"/>
    <w:rsid w:val="00CB30FD"/>
    <w:rsid w:val="00CB3185"/>
    <w:rsid w:val="00CB334C"/>
    <w:rsid w:val="00CB3395"/>
    <w:rsid w:val="00CB3484"/>
    <w:rsid w:val="00CB34CB"/>
    <w:rsid w:val="00CB356B"/>
    <w:rsid w:val="00CB3585"/>
    <w:rsid w:val="00CB37C2"/>
    <w:rsid w:val="00CB37C4"/>
    <w:rsid w:val="00CB3820"/>
    <w:rsid w:val="00CB397F"/>
    <w:rsid w:val="00CB3ABF"/>
    <w:rsid w:val="00CB3AFB"/>
    <w:rsid w:val="00CB3B27"/>
    <w:rsid w:val="00CB3BD1"/>
    <w:rsid w:val="00CB3C93"/>
    <w:rsid w:val="00CB3E67"/>
    <w:rsid w:val="00CB3EA9"/>
    <w:rsid w:val="00CB4007"/>
    <w:rsid w:val="00CB4032"/>
    <w:rsid w:val="00CB4074"/>
    <w:rsid w:val="00CB407A"/>
    <w:rsid w:val="00CB40A3"/>
    <w:rsid w:val="00CB4224"/>
    <w:rsid w:val="00CB4317"/>
    <w:rsid w:val="00CB4325"/>
    <w:rsid w:val="00CB4340"/>
    <w:rsid w:val="00CB4378"/>
    <w:rsid w:val="00CB4434"/>
    <w:rsid w:val="00CB447E"/>
    <w:rsid w:val="00CB449E"/>
    <w:rsid w:val="00CB450D"/>
    <w:rsid w:val="00CB4551"/>
    <w:rsid w:val="00CB474D"/>
    <w:rsid w:val="00CB4831"/>
    <w:rsid w:val="00CB4943"/>
    <w:rsid w:val="00CB4A15"/>
    <w:rsid w:val="00CB4A20"/>
    <w:rsid w:val="00CB4AFB"/>
    <w:rsid w:val="00CB4C13"/>
    <w:rsid w:val="00CB4D4B"/>
    <w:rsid w:val="00CB4E13"/>
    <w:rsid w:val="00CB51BC"/>
    <w:rsid w:val="00CB51BE"/>
    <w:rsid w:val="00CB5405"/>
    <w:rsid w:val="00CB5412"/>
    <w:rsid w:val="00CB5782"/>
    <w:rsid w:val="00CB5886"/>
    <w:rsid w:val="00CB58A7"/>
    <w:rsid w:val="00CB5A48"/>
    <w:rsid w:val="00CB5A5A"/>
    <w:rsid w:val="00CB5A63"/>
    <w:rsid w:val="00CB5A98"/>
    <w:rsid w:val="00CB5AB6"/>
    <w:rsid w:val="00CB5BA6"/>
    <w:rsid w:val="00CB5C94"/>
    <w:rsid w:val="00CB5D44"/>
    <w:rsid w:val="00CB5D72"/>
    <w:rsid w:val="00CB5D79"/>
    <w:rsid w:val="00CB5FBA"/>
    <w:rsid w:val="00CB610B"/>
    <w:rsid w:val="00CB6120"/>
    <w:rsid w:val="00CB63A4"/>
    <w:rsid w:val="00CB65E2"/>
    <w:rsid w:val="00CB670F"/>
    <w:rsid w:val="00CB68B0"/>
    <w:rsid w:val="00CB69C0"/>
    <w:rsid w:val="00CB6AEE"/>
    <w:rsid w:val="00CB6B99"/>
    <w:rsid w:val="00CB6CB8"/>
    <w:rsid w:val="00CB6D05"/>
    <w:rsid w:val="00CB6E36"/>
    <w:rsid w:val="00CB6EDC"/>
    <w:rsid w:val="00CB6F65"/>
    <w:rsid w:val="00CB7175"/>
    <w:rsid w:val="00CB717B"/>
    <w:rsid w:val="00CB71C3"/>
    <w:rsid w:val="00CB729D"/>
    <w:rsid w:val="00CB7308"/>
    <w:rsid w:val="00CB7349"/>
    <w:rsid w:val="00CB73DF"/>
    <w:rsid w:val="00CB74E5"/>
    <w:rsid w:val="00CB7574"/>
    <w:rsid w:val="00CB75E9"/>
    <w:rsid w:val="00CB75F0"/>
    <w:rsid w:val="00CB76E0"/>
    <w:rsid w:val="00CB76F1"/>
    <w:rsid w:val="00CB78CB"/>
    <w:rsid w:val="00CB7937"/>
    <w:rsid w:val="00CB79E0"/>
    <w:rsid w:val="00CB7A14"/>
    <w:rsid w:val="00CB7A32"/>
    <w:rsid w:val="00CB7A46"/>
    <w:rsid w:val="00CB7B5E"/>
    <w:rsid w:val="00CB7B93"/>
    <w:rsid w:val="00CB7BF1"/>
    <w:rsid w:val="00CB7E21"/>
    <w:rsid w:val="00CB7E4C"/>
    <w:rsid w:val="00CB7E6E"/>
    <w:rsid w:val="00CB7EE0"/>
    <w:rsid w:val="00CB7EEC"/>
    <w:rsid w:val="00CC0057"/>
    <w:rsid w:val="00CC009C"/>
    <w:rsid w:val="00CC027F"/>
    <w:rsid w:val="00CC0546"/>
    <w:rsid w:val="00CC057C"/>
    <w:rsid w:val="00CC07E3"/>
    <w:rsid w:val="00CC082F"/>
    <w:rsid w:val="00CC084E"/>
    <w:rsid w:val="00CC0862"/>
    <w:rsid w:val="00CC0865"/>
    <w:rsid w:val="00CC0969"/>
    <w:rsid w:val="00CC09D1"/>
    <w:rsid w:val="00CC0A49"/>
    <w:rsid w:val="00CC0B15"/>
    <w:rsid w:val="00CC0B96"/>
    <w:rsid w:val="00CC0BA1"/>
    <w:rsid w:val="00CC0C07"/>
    <w:rsid w:val="00CC0C98"/>
    <w:rsid w:val="00CC0D72"/>
    <w:rsid w:val="00CC0E89"/>
    <w:rsid w:val="00CC0ED3"/>
    <w:rsid w:val="00CC117B"/>
    <w:rsid w:val="00CC12BB"/>
    <w:rsid w:val="00CC1355"/>
    <w:rsid w:val="00CC13BD"/>
    <w:rsid w:val="00CC153D"/>
    <w:rsid w:val="00CC1625"/>
    <w:rsid w:val="00CC17B4"/>
    <w:rsid w:val="00CC1962"/>
    <w:rsid w:val="00CC19B6"/>
    <w:rsid w:val="00CC1AE3"/>
    <w:rsid w:val="00CC1AF5"/>
    <w:rsid w:val="00CC1C0D"/>
    <w:rsid w:val="00CC1CCB"/>
    <w:rsid w:val="00CC1D68"/>
    <w:rsid w:val="00CC1E34"/>
    <w:rsid w:val="00CC1EFC"/>
    <w:rsid w:val="00CC2088"/>
    <w:rsid w:val="00CC20F5"/>
    <w:rsid w:val="00CC220F"/>
    <w:rsid w:val="00CC243D"/>
    <w:rsid w:val="00CC276E"/>
    <w:rsid w:val="00CC27AE"/>
    <w:rsid w:val="00CC2832"/>
    <w:rsid w:val="00CC28B4"/>
    <w:rsid w:val="00CC2918"/>
    <w:rsid w:val="00CC29D4"/>
    <w:rsid w:val="00CC2BCD"/>
    <w:rsid w:val="00CC2C57"/>
    <w:rsid w:val="00CC2C89"/>
    <w:rsid w:val="00CC2D4B"/>
    <w:rsid w:val="00CC30AD"/>
    <w:rsid w:val="00CC30BF"/>
    <w:rsid w:val="00CC3152"/>
    <w:rsid w:val="00CC316E"/>
    <w:rsid w:val="00CC3225"/>
    <w:rsid w:val="00CC341A"/>
    <w:rsid w:val="00CC3437"/>
    <w:rsid w:val="00CC3490"/>
    <w:rsid w:val="00CC34E3"/>
    <w:rsid w:val="00CC3569"/>
    <w:rsid w:val="00CC35AE"/>
    <w:rsid w:val="00CC3637"/>
    <w:rsid w:val="00CC37F9"/>
    <w:rsid w:val="00CC38FD"/>
    <w:rsid w:val="00CC3988"/>
    <w:rsid w:val="00CC3A04"/>
    <w:rsid w:val="00CC3A6E"/>
    <w:rsid w:val="00CC3A75"/>
    <w:rsid w:val="00CC3A7E"/>
    <w:rsid w:val="00CC3ADB"/>
    <w:rsid w:val="00CC3B00"/>
    <w:rsid w:val="00CC3B39"/>
    <w:rsid w:val="00CC3B44"/>
    <w:rsid w:val="00CC3BCA"/>
    <w:rsid w:val="00CC3C40"/>
    <w:rsid w:val="00CC3EF7"/>
    <w:rsid w:val="00CC3F0E"/>
    <w:rsid w:val="00CC3FAB"/>
    <w:rsid w:val="00CC3FD6"/>
    <w:rsid w:val="00CC4050"/>
    <w:rsid w:val="00CC40C4"/>
    <w:rsid w:val="00CC42C6"/>
    <w:rsid w:val="00CC4330"/>
    <w:rsid w:val="00CC43D6"/>
    <w:rsid w:val="00CC43DC"/>
    <w:rsid w:val="00CC4481"/>
    <w:rsid w:val="00CC44D0"/>
    <w:rsid w:val="00CC44EE"/>
    <w:rsid w:val="00CC44EF"/>
    <w:rsid w:val="00CC453C"/>
    <w:rsid w:val="00CC4636"/>
    <w:rsid w:val="00CC46A8"/>
    <w:rsid w:val="00CC47A9"/>
    <w:rsid w:val="00CC47D2"/>
    <w:rsid w:val="00CC48E7"/>
    <w:rsid w:val="00CC4933"/>
    <w:rsid w:val="00CC4961"/>
    <w:rsid w:val="00CC4C8C"/>
    <w:rsid w:val="00CC4D71"/>
    <w:rsid w:val="00CC4E36"/>
    <w:rsid w:val="00CC4F0B"/>
    <w:rsid w:val="00CC4F8F"/>
    <w:rsid w:val="00CC50A3"/>
    <w:rsid w:val="00CC5227"/>
    <w:rsid w:val="00CC524E"/>
    <w:rsid w:val="00CC5300"/>
    <w:rsid w:val="00CC530C"/>
    <w:rsid w:val="00CC5638"/>
    <w:rsid w:val="00CC5662"/>
    <w:rsid w:val="00CC5683"/>
    <w:rsid w:val="00CC5756"/>
    <w:rsid w:val="00CC58BC"/>
    <w:rsid w:val="00CC5B49"/>
    <w:rsid w:val="00CC5B4C"/>
    <w:rsid w:val="00CC5B69"/>
    <w:rsid w:val="00CC5C67"/>
    <w:rsid w:val="00CC5DE5"/>
    <w:rsid w:val="00CC5DE6"/>
    <w:rsid w:val="00CC5E18"/>
    <w:rsid w:val="00CC5F89"/>
    <w:rsid w:val="00CC6050"/>
    <w:rsid w:val="00CC6085"/>
    <w:rsid w:val="00CC61D7"/>
    <w:rsid w:val="00CC6250"/>
    <w:rsid w:val="00CC62D2"/>
    <w:rsid w:val="00CC62F0"/>
    <w:rsid w:val="00CC6577"/>
    <w:rsid w:val="00CC65A5"/>
    <w:rsid w:val="00CC66A4"/>
    <w:rsid w:val="00CC66C3"/>
    <w:rsid w:val="00CC66F2"/>
    <w:rsid w:val="00CC683A"/>
    <w:rsid w:val="00CC68EE"/>
    <w:rsid w:val="00CC6A26"/>
    <w:rsid w:val="00CC6A61"/>
    <w:rsid w:val="00CC6CF2"/>
    <w:rsid w:val="00CC6D0C"/>
    <w:rsid w:val="00CC6D70"/>
    <w:rsid w:val="00CC6EBF"/>
    <w:rsid w:val="00CC6F41"/>
    <w:rsid w:val="00CC6FAE"/>
    <w:rsid w:val="00CC6FDE"/>
    <w:rsid w:val="00CC70C0"/>
    <w:rsid w:val="00CC70D5"/>
    <w:rsid w:val="00CC71F3"/>
    <w:rsid w:val="00CC729A"/>
    <w:rsid w:val="00CC72DD"/>
    <w:rsid w:val="00CC734F"/>
    <w:rsid w:val="00CC740E"/>
    <w:rsid w:val="00CC7473"/>
    <w:rsid w:val="00CC7512"/>
    <w:rsid w:val="00CC7615"/>
    <w:rsid w:val="00CC7625"/>
    <w:rsid w:val="00CC76E0"/>
    <w:rsid w:val="00CC794F"/>
    <w:rsid w:val="00CC7A58"/>
    <w:rsid w:val="00CC7A6A"/>
    <w:rsid w:val="00CC7ADC"/>
    <w:rsid w:val="00CC7B0F"/>
    <w:rsid w:val="00CC7BCD"/>
    <w:rsid w:val="00CC7D57"/>
    <w:rsid w:val="00CC7ED2"/>
    <w:rsid w:val="00CC7F3F"/>
    <w:rsid w:val="00CC7FC9"/>
    <w:rsid w:val="00CD00D4"/>
    <w:rsid w:val="00CD011B"/>
    <w:rsid w:val="00CD0180"/>
    <w:rsid w:val="00CD021C"/>
    <w:rsid w:val="00CD022C"/>
    <w:rsid w:val="00CD0455"/>
    <w:rsid w:val="00CD0564"/>
    <w:rsid w:val="00CD05AD"/>
    <w:rsid w:val="00CD063A"/>
    <w:rsid w:val="00CD0759"/>
    <w:rsid w:val="00CD0790"/>
    <w:rsid w:val="00CD0863"/>
    <w:rsid w:val="00CD08D1"/>
    <w:rsid w:val="00CD08E3"/>
    <w:rsid w:val="00CD09A4"/>
    <w:rsid w:val="00CD0AA4"/>
    <w:rsid w:val="00CD0B0A"/>
    <w:rsid w:val="00CD0C4D"/>
    <w:rsid w:val="00CD0CDF"/>
    <w:rsid w:val="00CD0CF0"/>
    <w:rsid w:val="00CD0DF6"/>
    <w:rsid w:val="00CD0EB4"/>
    <w:rsid w:val="00CD0F23"/>
    <w:rsid w:val="00CD0F2A"/>
    <w:rsid w:val="00CD0F65"/>
    <w:rsid w:val="00CD12A5"/>
    <w:rsid w:val="00CD1362"/>
    <w:rsid w:val="00CD138D"/>
    <w:rsid w:val="00CD14B1"/>
    <w:rsid w:val="00CD15F8"/>
    <w:rsid w:val="00CD1658"/>
    <w:rsid w:val="00CD16F6"/>
    <w:rsid w:val="00CD16FD"/>
    <w:rsid w:val="00CD170A"/>
    <w:rsid w:val="00CD189A"/>
    <w:rsid w:val="00CD18E1"/>
    <w:rsid w:val="00CD193B"/>
    <w:rsid w:val="00CD1970"/>
    <w:rsid w:val="00CD1A93"/>
    <w:rsid w:val="00CD1AE3"/>
    <w:rsid w:val="00CD1B2D"/>
    <w:rsid w:val="00CD1C79"/>
    <w:rsid w:val="00CD1CEF"/>
    <w:rsid w:val="00CD1D66"/>
    <w:rsid w:val="00CD1DED"/>
    <w:rsid w:val="00CD1DFA"/>
    <w:rsid w:val="00CD1F05"/>
    <w:rsid w:val="00CD2014"/>
    <w:rsid w:val="00CD215F"/>
    <w:rsid w:val="00CD246D"/>
    <w:rsid w:val="00CD24DF"/>
    <w:rsid w:val="00CD259A"/>
    <w:rsid w:val="00CD267D"/>
    <w:rsid w:val="00CD28FA"/>
    <w:rsid w:val="00CD2A82"/>
    <w:rsid w:val="00CD2AE2"/>
    <w:rsid w:val="00CD2B5F"/>
    <w:rsid w:val="00CD2BEA"/>
    <w:rsid w:val="00CD2CA5"/>
    <w:rsid w:val="00CD2CB1"/>
    <w:rsid w:val="00CD2CE2"/>
    <w:rsid w:val="00CD2DFD"/>
    <w:rsid w:val="00CD2E67"/>
    <w:rsid w:val="00CD2EF0"/>
    <w:rsid w:val="00CD303A"/>
    <w:rsid w:val="00CD303B"/>
    <w:rsid w:val="00CD3129"/>
    <w:rsid w:val="00CD32F9"/>
    <w:rsid w:val="00CD34BF"/>
    <w:rsid w:val="00CD360A"/>
    <w:rsid w:val="00CD3624"/>
    <w:rsid w:val="00CD36B1"/>
    <w:rsid w:val="00CD36F5"/>
    <w:rsid w:val="00CD39F7"/>
    <w:rsid w:val="00CD3A1B"/>
    <w:rsid w:val="00CD3A72"/>
    <w:rsid w:val="00CD3AF0"/>
    <w:rsid w:val="00CD3B4F"/>
    <w:rsid w:val="00CD3B57"/>
    <w:rsid w:val="00CD3C2E"/>
    <w:rsid w:val="00CD3D1A"/>
    <w:rsid w:val="00CD3EBC"/>
    <w:rsid w:val="00CD3F1D"/>
    <w:rsid w:val="00CD3F4C"/>
    <w:rsid w:val="00CD414A"/>
    <w:rsid w:val="00CD4230"/>
    <w:rsid w:val="00CD42E9"/>
    <w:rsid w:val="00CD4444"/>
    <w:rsid w:val="00CD44D6"/>
    <w:rsid w:val="00CD44D7"/>
    <w:rsid w:val="00CD4527"/>
    <w:rsid w:val="00CD4579"/>
    <w:rsid w:val="00CD4580"/>
    <w:rsid w:val="00CD45B5"/>
    <w:rsid w:val="00CD45FE"/>
    <w:rsid w:val="00CD46B0"/>
    <w:rsid w:val="00CD481E"/>
    <w:rsid w:val="00CD496F"/>
    <w:rsid w:val="00CD49DD"/>
    <w:rsid w:val="00CD4BE4"/>
    <w:rsid w:val="00CD4DAC"/>
    <w:rsid w:val="00CD4DCD"/>
    <w:rsid w:val="00CD4DF6"/>
    <w:rsid w:val="00CD4E11"/>
    <w:rsid w:val="00CD4EAC"/>
    <w:rsid w:val="00CD4EC5"/>
    <w:rsid w:val="00CD4F0E"/>
    <w:rsid w:val="00CD4FAD"/>
    <w:rsid w:val="00CD4FE5"/>
    <w:rsid w:val="00CD5099"/>
    <w:rsid w:val="00CD515B"/>
    <w:rsid w:val="00CD52AC"/>
    <w:rsid w:val="00CD5344"/>
    <w:rsid w:val="00CD534F"/>
    <w:rsid w:val="00CD5392"/>
    <w:rsid w:val="00CD53BD"/>
    <w:rsid w:val="00CD544E"/>
    <w:rsid w:val="00CD5513"/>
    <w:rsid w:val="00CD555D"/>
    <w:rsid w:val="00CD5560"/>
    <w:rsid w:val="00CD59BA"/>
    <w:rsid w:val="00CD5A3A"/>
    <w:rsid w:val="00CD5B96"/>
    <w:rsid w:val="00CD5B9C"/>
    <w:rsid w:val="00CD5C59"/>
    <w:rsid w:val="00CD5CA6"/>
    <w:rsid w:val="00CD5CB0"/>
    <w:rsid w:val="00CD5D2B"/>
    <w:rsid w:val="00CD5DE0"/>
    <w:rsid w:val="00CD6026"/>
    <w:rsid w:val="00CD6065"/>
    <w:rsid w:val="00CD6078"/>
    <w:rsid w:val="00CD60E6"/>
    <w:rsid w:val="00CD6130"/>
    <w:rsid w:val="00CD61F0"/>
    <w:rsid w:val="00CD6336"/>
    <w:rsid w:val="00CD6457"/>
    <w:rsid w:val="00CD648D"/>
    <w:rsid w:val="00CD64B2"/>
    <w:rsid w:val="00CD6506"/>
    <w:rsid w:val="00CD6537"/>
    <w:rsid w:val="00CD6589"/>
    <w:rsid w:val="00CD66EB"/>
    <w:rsid w:val="00CD67E9"/>
    <w:rsid w:val="00CD6AE1"/>
    <w:rsid w:val="00CD6B99"/>
    <w:rsid w:val="00CD6D12"/>
    <w:rsid w:val="00CD6F30"/>
    <w:rsid w:val="00CD6FB5"/>
    <w:rsid w:val="00CD7107"/>
    <w:rsid w:val="00CD7113"/>
    <w:rsid w:val="00CD712B"/>
    <w:rsid w:val="00CD715C"/>
    <w:rsid w:val="00CD71B7"/>
    <w:rsid w:val="00CD71D5"/>
    <w:rsid w:val="00CD7391"/>
    <w:rsid w:val="00CD752E"/>
    <w:rsid w:val="00CD7542"/>
    <w:rsid w:val="00CD75D1"/>
    <w:rsid w:val="00CD7604"/>
    <w:rsid w:val="00CD76E1"/>
    <w:rsid w:val="00CD7835"/>
    <w:rsid w:val="00CD7962"/>
    <w:rsid w:val="00CD7994"/>
    <w:rsid w:val="00CD79F1"/>
    <w:rsid w:val="00CD7A1B"/>
    <w:rsid w:val="00CD7A4B"/>
    <w:rsid w:val="00CD7A62"/>
    <w:rsid w:val="00CD7B2C"/>
    <w:rsid w:val="00CD7BFD"/>
    <w:rsid w:val="00CD7D09"/>
    <w:rsid w:val="00CD7D30"/>
    <w:rsid w:val="00CD7DCC"/>
    <w:rsid w:val="00CD7FA2"/>
    <w:rsid w:val="00CD7FBB"/>
    <w:rsid w:val="00CD7FE4"/>
    <w:rsid w:val="00CE009F"/>
    <w:rsid w:val="00CE0137"/>
    <w:rsid w:val="00CE02AF"/>
    <w:rsid w:val="00CE02EF"/>
    <w:rsid w:val="00CE0396"/>
    <w:rsid w:val="00CE03A1"/>
    <w:rsid w:val="00CE04E5"/>
    <w:rsid w:val="00CE0564"/>
    <w:rsid w:val="00CE0649"/>
    <w:rsid w:val="00CE064A"/>
    <w:rsid w:val="00CE0B8F"/>
    <w:rsid w:val="00CE0C14"/>
    <w:rsid w:val="00CE0D24"/>
    <w:rsid w:val="00CE0D46"/>
    <w:rsid w:val="00CE0DF2"/>
    <w:rsid w:val="00CE0E78"/>
    <w:rsid w:val="00CE0ECE"/>
    <w:rsid w:val="00CE0F17"/>
    <w:rsid w:val="00CE0F3B"/>
    <w:rsid w:val="00CE106E"/>
    <w:rsid w:val="00CE110D"/>
    <w:rsid w:val="00CE112E"/>
    <w:rsid w:val="00CE1279"/>
    <w:rsid w:val="00CE1330"/>
    <w:rsid w:val="00CE1333"/>
    <w:rsid w:val="00CE1373"/>
    <w:rsid w:val="00CE13AE"/>
    <w:rsid w:val="00CE13C3"/>
    <w:rsid w:val="00CE1534"/>
    <w:rsid w:val="00CE168B"/>
    <w:rsid w:val="00CE1860"/>
    <w:rsid w:val="00CE190A"/>
    <w:rsid w:val="00CE19A9"/>
    <w:rsid w:val="00CE1A54"/>
    <w:rsid w:val="00CE1BCF"/>
    <w:rsid w:val="00CE1C1B"/>
    <w:rsid w:val="00CE1C82"/>
    <w:rsid w:val="00CE1D11"/>
    <w:rsid w:val="00CE1DE4"/>
    <w:rsid w:val="00CE1E72"/>
    <w:rsid w:val="00CE1F98"/>
    <w:rsid w:val="00CE1FBF"/>
    <w:rsid w:val="00CE1FC5"/>
    <w:rsid w:val="00CE20F7"/>
    <w:rsid w:val="00CE211D"/>
    <w:rsid w:val="00CE2128"/>
    <w:rsid w:val="00CE2171"/>
    <w:rsid w:val="00CE224F"/>
    <w:rsid w:val="00CE2356"/>
    <w:rsid w:val="00CE2359"/>
    <w:rsid w:val="00CE2492"/>
    <w:rsid w:val="00CE2529"/>
    <w:rsid w:val="00CE254E"/>
    <w:rsid w:val="00CE255D"/>
    <w:rsid w:val="00CE25C6"/>
    <w:rsid w:val="00CE260D"/>
    <w:rsid w:val="00CE2749"/>
    <w:rsid w:val="00CE27EE"/>
    <w:rsid w:val="00CE2845"/>
    <w:rsid w:val="00CE299D"/>
    <w:rsid w:val="00CE29BB"/>
    <w:rsid w:val="00CE29E1"/>
    <w:rsid w:val="00CE2A30"/>
    <w:rsid w:val="00CE2A80"/>
    <w:rsid w:val="00CE2A91"/>
    <w:rsid w:val="00CE2B70"/>
    <w:rsid w:val="00CE2C18"/>
    <w:rsid w:val="00CE2C5F"/>
    <w:rsid w:val="00CE2C68"/>
    <w:rsid w:val="00CE2C74"/>
    <w:rsid w:val="00CE2CFA"/>
    <w:rsid w:val="00CE2D19"/>
    <w:rsid w:val="00CE2D23"/>
    <w:rsid w:val="00CE2D84"/>
    <w:rsid w:val="00CE2E46"/>
    <w:rsid w:val="00CE2E94"/>
    <w:rsid w:val="00CE2F26"/>
    <w:rsid w:val="00CE2F3C"/>
    <w:rsid w:val="00CE2F8E"/>
    <w:rsid w:val="00CE2FA6"/>
    <w:rsid w:val="00CE308E"/>
    <w:rsid w:val="00CE324B"/>
    <w:rsid w:val="00CE35FE"/>
    <w:rsid w:val="00CE3651"/>
    <w:rsid w:val="00CE370B"/>
    <w:rsid w:val="00CE37D1"/>
    <w:rsid w:val="00CE383A"/>
    <w:rsid w:val="00CE3875"/>
    <w:rsid w:val="00CE3890"/>
    <w:rsid w:val="00CE38E3"/>
    <w:rsid w:val="00CE3999"/>
    <w:rsid w:val="00CE3AE6"/>
    <w:rsid w:val="00CE3D4B"/>
    <w:rsid w:val="00CE3F3E"/>
    <w:rsid w:val="00CE3F9F"/>
    <w:rsid w:val="00CE4090"/>
    <w:rsid w:val="00CE409D"/>
    <w:rsid w:val="00CE41FA"/>
    <w:rsid w:val="00CE444C"/>
    <w:rsid w:val="00CE4507"/>
    <w:rsid w:val="00CE4521"/>
    <w:rsid w:val="00CE4742"/>
    <w:rsid w:val="00CE480F"/>
    <w:rsid w:val="00CE4827"/>
    <w:rsid w:val="00CE4860"/>
    <w:rsid w:val="00CE488A"/>
    <w:rsid w:val="00CE48C2"/>
    <w:rsid w:val="00CE496B"/>
    <w:rsid w:val="00CE49DE"/>
    <w:rsid w:val="00CE49EB"/>
    <w:rsid w:val="00CE4A32"/>
    <w:rsid w:val="00CE4BB1"/>
    <w:rsid w:val="00CE4C3F"/>
    <w:rsid w:val="00CE4C6C"/>
    <w:rsid w:val="00CE4C97"/>
    <w:rsid w:val="00CE4E8A"/>
    <w:rsid w:val="00CE4F2D"/>
    <w:rsid w:val="00CE4FE7"/>
    <w:rsid w:val="00CE5015"/>
    <w:rsid w:val="00CE50DF"/>
    <w:rsid w:val="00CE5220"/>
    <w:rsid w:val="00CE5276"/>
    <w:rsid w:val="00CE53DE"/>
    <w:rsid w:val="00CE53FD"/>
    <w:rsid w:val="00CE5524"/>
    <w:rsid w:val="00CE5802"/>
    <w:rsid w:val="00CE580A"/>
    <w:rsid w:val="00CE5887"/>
    <w:rsid w:val="00CE5976"/>
    <w:rsid w:val="00CE59D9"/>
    <w:rsid w:val="00CE5A26"/>
    <w:rsid w:val="00CE5A54"/>
    <w:rsid w:val="00CE5C5F"/>
    <w:rsid w:val="00CE5DDB"/>
    <w:rsid w:val="00CE5E36"/>
    <w:rsid w:val="00CE5F33"/>
    <w:rsid w:val="00CE60F1"/>
    <w:rsid w:val="00CE6255"/>
    <w:rsid w:val="00CE626E"/>
    <w:rsid w:val="00CE62D1"/>
    <w:rsid w:val="00CE62F7"/>
    <w:rsid w:val="00CE632B"/>
    <w:rsid w:val="00CE63C7"/>
    <w:rsid w:val="00CE63E8"/>
    <w:rsid w:val="00CE6614"/>
    <w:rsid w:val="00CE6709"/>
    <w:rsid w:val="00CE68FF"/>
    <w:rsid w:val="00CE6903"/>
    <w:rsid w:val="00CE6935"/>
    <w:rsid w:val="00CE69EA"/>
    <w:rsid w:val="00CE6A5C"/>
    <w:rsid w:val="00CE6AA6"/>
    <w:rsid w:val="00CE6BD1"/>
    <w:rsid w:val="00CE6C1F"/>
    <w:rsid w:val="00CE6D2D"/>
    <w:rsid w:val="00CE6D53"/>
    <w:rsid w:val="00CE6E68"/>
    <w:rsid w:val="00CE6F1B"/>
    <w:rsid w:val="00CE7016"/>
    <w:rsid w:val="00CE709A"/>
    <w:rsid w:val="00CE70A4"/>
    <w:rsid w:val="00CE71FB"/>
    <w:rsid w:val="00CE72DD"/>
    <w:rsid w:val="00CE73DC"/>
    <w:rsid w:val="00CE73E8"/>
    <w:rsid w:val="00CE7439"/>
    <w:rsid w:val="00CE7505"/>
    <w:rsid w:val="00CE757A"/>
    <w:rsid w:val="00CE77E1"/>
    <w:rsid w:val="00CE7823"/>
    <w:rsid w:val="00CE7873"/>
    <w:rsid w:val="00CE7962"/>
    <w:rsid w:val="00CE7A7E"/>
    <w:rsid w:val="00CE7ACD"/>
    <w:rsid w:val="00CE7B25"/>
    <w:rsid w:val="00CE7B2C"/>
    <w:rsid w:val="00CE7B4C"/>
    <w:rsid w:val="00CE7B4D"/>
    <w:rsid w:val="00CE7C30"/>
    <w:rsid w:val="00CE7C7D"/>
    <w:rsid w:val="00CE7D67"/>
    <w:rsid w:val="00CE7EE9"/>
    <w:rsid w:val="00CE7F3B"/>
    <w:rsid w:val="00CF00E7"/>
    <w:rsid w:val="00CF00E9"/>
    <w:rsid w:val="00CF0205"/>
    <w:rsid w:val="00CF04D4"/>
    <w:rsid w:val="00CF053B"/>
    <w:rsid w:val="00CF05B3"/>
    <w:rsid w:val="00CF070E"/>
    <w:rsid w:val="00CF09C9"/>
    <w:rsid w:val="00CF0A5C"/>
    <w:rsid w:val="00CF0A87"/>
    <w:rsid w:val="00CF0B1A"/>
    <w:rsid w:val="00CF0B76"/>
    <w:rsid w:val="00CF0EC6"/>
    <w:rsid w:val="00CF0EFF"/>
    <w:rsid w:val="00CF0FC0"/>
    <w:rsid w:val="00CF1167"/>
    <w:rsid w:val="00CF1250"/>
    <w:rsid w:val="00CF1410"/>
    <w:rsid w:val="00CF1470"/>
    <w:rsid w:val="00CF14B0"/>
    <w:rsid w:val="00CF14C7"/>
    <w:rsid w:val="00CF1963"/>
    <w:rsid w:val="00CF197A"/>
    <w:rsid w:val="00CF1984"/>
    <w:rsid w:val="00CF19B9"/>
    <w:rsid w:val="00CF1A27"/>
    <w:rsid w:val="00CF1A9B"/>
    <w:rsid w:val="00CF1B41"/>
    <w:rsid w:val="00CF1B99"/>
    <w:rsid w:val="00CF1BB6"/>
    <w:rsid w:val="00CF1BCD"/>
    <w:rsid w:val="00CF1BEB"/>
    <w:rsid w:val="00CF1C38"/>
    <w:rsid w:val="00CF1CE1"/>
    <w:rsid w:val="00CF1ED6"/>
    <w:rsid w:val="00CF1FC0"/>
    <w:rsid w:val="00CF21CA"/>
    <w:rsid w:val="00CF221E"/>
    <w:rsid w:val="00CF23C9"/>
    <w:rsid w:val="00CF23CF"/>
    <w:rsid w:val="00CF243E"/>
    <w:rsid w:val="00CF24E0"/>
    <w:rsid w:val="00CF269C"/>
    <w:rsid w:val="00CF2726"/>
    <w:rsid w:val="00CF2770"/>
    <w:rsid w:val="00CF2984"/>
    <w:rsid w:val="00CF29A7"/>
    <w:rsid w:val="00CF2A1D"/>
    <w:rsid w:val="00CF2CAD"/>
    <w:rsid w:val="00CF2D13"/>
    <w:rsid w:val="00CF2EBB"/>
    <w:rsid w:val="00CF2F2C"/>
    <w:rsid w:val="00CF31A7"/>
    <w:rsid w:val="00CF31B7"/>
    <w:rsid w:val="00CF322E"/>
    <w:rsid w:val="00CF323F"/>
    <w:rsid w:val="00CF34D2"/>
    <w:rsid w:val="00CF35DD"/>
    <w:rsid w:val="00CF3652"/>
    <w:rsid w:val="00CF3664"/>
    <w:rsid w:val="00CF36E4"/>
    <w:rsid w:val="00CF379C"/>
    <w:rsid w:val="00CF37ED"/>
    <w:rsid w:val="00CF388D"/>
    <w:rsid w:val="00CF3977"/>
    <w:rsid w:val="00CF3A5B"/>
    <w:rsid w:val="00CF3B6F"/>
    <w:rsid w:val="00CF3B90"/>
    <w:rsid w:val="00CF3CAC"/>
    <w:rsid w:val="00CF3D58"/>
    <w:rsid w:val="00CF3F05"/>
    <w:rsid w:val="00CF3F64"/>
    <w:rsid w:val="00CF3F85"/>
    <w:rsid w:val="00CF3F9F"/>
    <w:rsid w:val="00CF406A"/>
    <w:rsid w:val="00CF406B"/>
    <w:rsid w:val="00CF40C6"/>
    <w:rsid w:val="00CF4427"/>
    <w:rsid w:val="00CF4461"/>
    <w:rsid w:val="00CF44CA"/>
    <w:rsid w:val="00CF4542"/>
    <w:rsid w:val="00CF4562"/>
    <w:rsid w:val="00CF4580"/>
    <w:rsid w:val="00CF45B1"/>
    <w:rsid w:val="00CF45D1"/>
    <w:rsid w:val="00CF4614"/>
    <w:rsid w:val="00CF463A"/>
    <w:rsid w:val="00CF4746"/>
    <w:rsid w:val="00CF474C"/>
    <w:rsid w:val="00CF4893"/>
    <w:rsid w:val="00CF48C9"/>
    <w:rsid w:val="00CF4925"/>
    <w:rsid w:val="00CF496A"/>
    <w:rsid w:val="00CF49BA"/>
    <w:rsid w:val="00CF4B80"/>
    <w:rsid w:val="00CF4DB6"/>
    <w:rsid w:val="00CF4E90"/>
    <w:rsid w:val="00CF4F93"/>
    <w:rsid w:val="00CF5049"/>
    <w:rsid w:val="00CF508E"/>
    <w:rsid w:val="00CF508F"/>
    <w:rsid w:val="00CF5165"/>
    <w:rsid w:val="00CF52A4"/>
    <w:rsid w:val="00CF538F"/>
    <w:rsid w:val="00CF54EB"/>
    <w:rsid w:val="00CF553B"/>
    <w:rsid w:val="00CF55B6"/>
    <w:rsid w:val="00CF5677"/>
    <w:rsid w:val="00CF5702"/>
    <w:rsid w:val="00CF5737"/>
    <w:rsid w:val="00CF586E"/>
    <w:rsid w:val="00CF58F9"/>
    <w:rsid w:val="00CF595F"/>
    <w:rsid w:val="00CF5981"/>
    <w:rsid w:val="00CF59C1"/>
    <w:rsid w:val="00CF5A3B"/>
    <w:rsid w:val="00CF5AB9"/>
    <w:rsid w:val="00CF5B92"/>
    <w:rsid w:val="00CF5C1D"/>
    <w:rsid w:val="00CF5C5B"/>
    <w:rsid w:val="00CF5E40"/>
    <w:rsid w:val="00CF5EA0"/>
    <w:rsid w:val="00CF5F19"/>
    <w:rsid w:val="00CF5FA1"/>
    <w:rsid w:val="00CF6076"/>
    <w:rsid w:val="00CF6226"/>
    <w:rsid w:val="00CF6299"/>
    <w:rsid w:val="00CF63AC"/>
    <w:rsid w:val="00CF6541"/>
    <w:rsid w:val="00CF67B5"/>
    <w:rsid w:val="00CF680E"/>
    <w:rsid w:val="00CF689B"/>
    <w:rsid w:val="00CF68B7"/>
    <w:rsid w:val="00CF68F0"/>
    <w:rsid w:val="00CF68FE"/>
    <w:rsid w:val="00CF69EF"/>
    <w:rsid w:val="00CF6A68"/>
    <w:rsid w:val="00CF6A91"/>
    <w:rsid w:val="00CF6BAC"/>
    <w:rsid w:val="00CF6BF4"/>
    <w:rsid w:val="00CF6CE1"/>
    <w:rsid w:val="00CF6DAD"/>
    <w:rsid w:val="00CF6DB6"/>
    <w:rsid w:val="00CF6EE9"/>
    <w:rsid w:val="00CF6FA9"/>
    <w:rsid w:val="00CF6FB6"/>
    <w:rsid w:val="00CF6FC8"/>
    <w:rsid w:val="00CF7138"/>
    <w:rsid w:val="00CF7165"/>
    <w:rsid w:val="00CF730F"/>
    <w:rsid w:val="00CF7368"/>
    <w:rsid w:val="00CF7419"/>
    <w:rsid w:val="00CF74E1"/>
    <w:rsid w:val="00CF755F"/>
    <w:rsid w:val="00CF7573"/>
    <w:rsid w:val="00CF77B3"/>
    <w:rsid w:val="00CF7846"/>
    <w:rsid w:val="00CF78F3"/>
    <w:rsid w:val="00CF79EC"/>
    <w:rsid w:val="00CF7D00"/>
    <w:rsid w:val="00CF7DD4"/>
    <w:rsid w:val="00CF7E10"/>
    <w:rsid w:val="00CF7EE0"/>
    <w:rsid w:val="00CF7FDB"/>
    <w:rsid w:val="00CF7FDD"/>
    <w:rsid w:val="00D001CD"/>
    <w:rsid w:val="00D001F3"/>
    <w:rsid w:val="00D002A6"/>
    <w:rsid w:val="00D00352"/>
    <w:rsid w:val="00D003B1"/>
    <w:rsid w:val="00D0040E"/>
    <w:rsid w:val="00D0044F"/>
    <w:rsid w:val="00D004CE"/>
    <w:rsid w:val="00D00593"/>
    <w:rsid w:val="00D008C1"/>
    <w:rsid w:val="00D00973"/>
    <w:rsid w:val="00D00C03"/>
    <w:rsid w:val="00D00C51"/>
    <w:rsid w:val="00D00C7B"/>
    <w:rsid w:val="00D00CFB"/>
    <w:rsid w:val="00D00D56"/>
    <w:rsid w:val="00D00D77"/>
    <w:rsid w:val="00D00EB6"/>
    <w:rsid w:val="00D00FE3"/>
    <w:rsid w:val="00D010A0"/>
    <w:rsid w:val="00D01216"/>
    <w:rsid w:val="00D01253"/>
    <w:rsid w:val="00D01534"/>
    <w:rsid w:val="00D015FA"/>
    <w:rsid w:val="00D01689"/>
    <w:rsid w:val="00D0168A"/>
    <w:rsid w:val="00D016A8"/>
    <w:rsid w:val="00D01916"/>
    <w:rsid w:val="00D019FF"/>
    <w:rsid w:val="00D01A41"/>
    <w:rsid w:val="00D01B3B"/>
    <w:rsid w:val="00D01B4D"/>
    <w:rsid w:val="00D01BF7"/>
    <w:rsid w:val="00D01D7E"/>
    <w:rsid w:val="00D01DB0"/>
    <w:rsid w:val="00D01DCC"/>
    <w:rsid w:val="00D01E43"/>
    <w:rsid w:val="00D01E76"/>
    <w:rsid w:val="00D01E78"/>
    <w:rsid w:val="00D020DF"/>
    <w:rsid w:val="00D02103"/>
    <w:rsid w:val="00D021F6"/>
    <w:rsid w:val="00D0222F"/>
    <w:rsid w:val="00D022FC"/>
    <w:rsid w:val="00D02338"/>
    <w:rsid w:val="00D0237A"/>
    <w:rsid w:val="00D023C1"/>
    <w:rsid w:val="00D0240E"/>
    <w:rsid w:val="00D0241C"/>
    <w:rsid w:val="00D02468"/>
    <w:rsid w:val="00D0262A"/>
    <w:rsid w:val="00D0278B"/>
    <w:rsid w:val="00D02806"/>
    <w:rsid w:val="00D0286E"/>
    <w:rsid w:val="00D02A0C"/>
    <w:rsid w:val="00D02A4F"/>
    <w:rsid w:val="00D02A5E"/>
    <w:rsid w:val="00D02DB8"/>
    <w:rsid w:val="00D02DCC"/>
    <w:rsid w:val="00D03130"/>
    <w:rsid w:val="00D0325E"/>
    <w:rsid w:val="00D0347C"/>
    <w:rsid w:val="00D0369E"/>
    <w:rsid w:val="00D036DC"/>
    <w:rsid w:val="00D036F5"/>
    <w:rsid w:val="00D037FA"/>
    <w:rsid w:val="00D03817"/>
    <w:rsid w:val="00D038C4"/>
    <w:rsid w:val="00D03A6A"/>
    <w:rsid w:val="00D03AC0"/>
    <w:rsid w:val="00D03B87"/>
    <w:rsid w:val="00D03CAC"/>
    <w:rsid w:val="00D03CC4"/>
    <w:rsid w:val="00D03D77"/>
    <w:rsid w:val="00D03DD9"/>
    <w:rsid w:val="00D03E0B"/>
    <w:rsid w:val="00D03F16"/>
    <w:rsid w:val="00D0405D"/>
    <w:rsid w:val="00D0416B"/>
    <w:rsid w:val="00D0421B"/>
    <w:rsid w:val="00D043B8"/>
    <w:rsid w:val="00D04489"/>
    <w:rsid w:val="00D04542"/>
    <w:rsid w:val="00D04675"/>
    <w:rsid w:val="00D046C8"/>
    <w:rsid w:val="00D0477D"/>
    <w:rsid w:val="00D047A4"/>
    <w:rsid w:val="00D047E8"/>
    <w:rsid w:val="00D04934"/>
    <w:rsid w:val="00D049F3"/>
    <w:rsid w:val="00D04AF2"/>
    <w:rsid w:val="00D04B7B"/>
    <w:rsid w:val="00D04BCA"/>
    <w:rsid w:val="00D04D8A"/>
    <w:rsid w:val="00D04DA7"/>
    <w:rsid w:val="00D04DCA"/>
    <w:rsid w:val="00D04DE0"/>
    <w:rsid w:val="00D04EC9"/>
    <w:rsid w:val="00D04F40"/>
    <w:rsid w:val="00D04FE2"/>
    <w:rsid w:val="00D05126"/>
    <w:rsid w:val="00D05367"/>
    <w:rsid w:val="00D053AE"/>
    <w:rsid w:val="00D054CE"/>
    <w:rsid w:val="00D055A4"/>
    <w:rsid w:val="00D05696"/>
    <w:rsid w:val="00D056F3"/>
    <w:rsid w:val="00D05785"/>
    <w:rsid w:val="00D0578B"/>
    <w:rsid w:val="00D05957"/>
    <w:rsid w:val="00D05981"/>
    <w:rsid w:val="00D0599C"/>
    <w:rsid w:val="00D059EE"/>
    <w:rsid w:val="00D05A0A"/>
    <w:rsid w:val="00D05A4E"/>
    <w:rsid w:val="00D05AA1"/>
    <w:rsid w:val="00D05AAA"/>
    <w:rsid w:val="00D05B0D"/>
    <w:rsid w:val="00D05BBB"/>
    <w:rsid w:val="00D05CD6"/>
    <w:rsid w:val="00D05D3F"/>
    <w:rsid w:val="00D05E90"/>
    <w:rsid w:val="00D0607C"/>
    <w:rsid w:val="00D0612A"/>
    <w:rsid w:val="00D06212"/>
    <w:rsid w:val="00D066E9"/>
    <w:rsid w:val="00D06844"/>
    <w:rsid w:val="00D069D5"/>
    <w:rsid w:val="00D06B7E"/>
    <w:rsid w:val="00D06D2C"/>
    <w:rsid w:val="00D06DD3"/>
    <w:rsid w:val="00D06DDE"/>
    <w:rsid w:val="00D06E13"/>
    <w:rsid w:val="00D06F9F"/>
    <w:rsid w:val="00D06FCC"/>
    <w:rsid w:val="00D0703E"/>
    <w:rsid w:val="00D0718A"/>
    <w:rsid w:val="00D07232"/>
    <w:rsid w:val="00D07291"/>
    <w:rsid w:val="00D074AD"/>
    <w:rsid w:val="00D074B1"/>
    <w:rsid w:val="00D0758D"/>
    <w:rsid w:val="00D075C3"/>
    <w:rsid w:val="00D075F8"/>
    <w:rsid w:val="00D07662"/>
    <w:rsid w:val="00D077CA"/>
    <w:rsid w:val="00D07824"/>
    <w:rsid w:val="00D0783C"/>
    <w:rsid w:val="00D07945"/>
    <w:rsid w:val="00D07AC4"/>
    <w:rsid w:val="00D07B23"/>
    <w:rsid w:val="00D07BA3"/>
    <w:rsid w:val="00D07BC1"/>
    <w:rsid w:val="00D07DB2"/>
    <w:rsid w:val="00D07E4C"/>
    <w:rsid w:val="00D07E7D"/>
    <w:rsid w:val="00D07EE8"/>
    <w:rsid w:val="00D07F3B"/>
    <w:rsid w:val="00D10068"/>
    <w:rsid w:val="00D100BA"/>
    <w:rsid w:val="00D100F9"/>
    <w:rsid w:val="00D1012B"/>
    <w:rsid w:val="00D1027C"/>
    <w:rsid w:val="00D10469"/>
    <w:rsid w:val="00D104A6"/>
    <w:rsid w:val="00D104FD"/>
    <w:rsid w:val="00D1060F"/>
    <w:rsid w:val="00D106C6"/>
    <w:rsid w:val="00D1077F"/>
    <w:rsid w:val="00D107A2"/>
    <w:rsid w:val="00D1082A"/>
    <w:rsid w:val="00D10914"/>
    <w:rsid w:val="00D10992"/>
    <w:rsid w:val="00D109CB"/>
    <w:rsid w:val="00D10B25"/>
    <w:rsid w:val="00D10B67"/>
    <w:rsid w:val="00D10D07"/>
    <w:rsid w:val="00D10D68"/>
    <w:rsid w:val="00D10E34"/>
    <w:rsid w:val="00D1116A"/>
    <w:rsid w:val="00D1118E"/>
    <w:rsid w:val="00D111CB"/>
    <w:rsid w:val="00D11329"/>
    <w:rsid w:val="00D1143D"/>
    <w:rsid w:val="00D114C2"/>
    <w:rsid w:val="00D116DC"/>
    <w:rsid w:val="00D11929"/>
    <w:rsid w:val="00D11A06"/>
    <w:rsid w:val="00D11A1B"/>
    <w:rsid w:val="00D11BEE"/>
    <w:rsid w:val="00D11C1A"/>
    <w:rsid w:val="00D11C81"/>
    <w:rsid w:val="00D11DEE"/>
    <w:rsid w:val="00D11E28"/>
    <w:rsid w:val="00D11E46"/>
    <w:rsid w:val="00D11EAD"/>
    <w:rsid w:val="00D11ED9"/>
    <w:rsid w:val="00D11F99"/>
    <w:rsid w:val="00D1209F"/>
    <w:rsid w:val="00D120A0"/>
    <w:rsid w:val="00D120CE"/>
    <w:rsid w:val="00D120F9"/>
    <w:rsid w:val="00D12114"/>
    <w:rsid w:val="00D12366"/>
    <w:rsid w:val="00D12631"/>
    <w:rsid w:val="00D126A7"/>
    <w:rsid w:val="00D12759"/>
    <w:rsid w:val="00D12837"/>
    <w:rsid w:val="00D12850"/>
    <w:rsid w:val="00D128B9"/>
    <w:rsid w:val="00D129EF"/>
    <w:rsid w:val="00D12AAE"/>
    <w:rsid w:val="00D12E58"/>
    <w:rsid w:val="00D12EBF"/>
    <w:rsid w:val="00D12F15"/>
    <w:rsid w:val="00D12F7A"/>
    <w:rsid w:val="00D12F7B"/>
    <w:rsid w:val="00D13012"/>
    <w:rsid w:val="00D1304C"/>
    <w:rsid w:val="00D13224"/>
    <w:rsid w:val="00D13437"/>
    <w:rsid w:val="00D1347A"/>
    <w:rsid w:val="00D13488"/>
    <w:rsid w:val="00D134C6"/>
    <w:rsid w:val="00D134E2"/>
    <w:rsid w:val="00D13525"/>
    <w:rsid w:val="00D135F1"/>
    <w:rsid w:val="00D1360E"/>
    <w:rsid w:val="00D13653"/>
    <w:rsid w:val="00D136D2"/>
    <w:rsid w:val="00D1383C"/>
    <w:rsid w:val="00D1393A"/>
    <w:rsid w:val="00D1393D"/>
    <w:rsid w:val="00D1395F"/>
    <w:rsid w:val="00D13A00"/>
    <w:rsid w:val="00D13A0F"/>
    <w:rsid w:val="00D13C23"/>
    <w:rsid w:val="00D13CBA"/>
    <w:rsid w:val="00D13D38"/>
    <w:rsid w:val="00D140BF"/>
    <w:rsid w:val="00D14100"/>
    <w:rsid w:val="00D14207"/>
    <w:rsid w:val="00D14245"/>
    <w:rsid w:val="00D14265"/>
    <w:rsid w:val="00D143EA"/>
    <w:rsid w:val="00D144AA"/>
    <w:rsid w:val="00D1459D"/>
    <w:rsid w:val="00D145FD"/>
    <w:rsid w:val="00D14671"/>
    <w:rsid w:val="00D1475B"/>
    <w:rsid w:val="00D14836"/>
    <w:rsid w:val="00D14B56"/>
    <w:rsid w:val="00D14BF0"/>
    <w:rsid w:val="00D14C1B"/>
    <w:rsid w:val="00D14CDC"/>
    <w:rsid w:val="00D14DC4"/>
    <w:rsid w:val="00D14E02"/>
    <w:rsid w:val="00D14E60"/>
    <w:rsid w:val="00D14EB2"/>
    <w:rsid w:val="00D14EFE"/>
    <w:rsid w:val="00D14F90"/>
    <w:rsid w:val="00D1500E"/>
    <w:rsid w:val="00D150B7"/>
    <w:rsid w:val="00D15134"/>
    <w:rsid w:val="00D151C3"/>
    <w:rsid w:val="00D151CD"/>
    <w:rsid w:val="00D151E0"/>
    <w:rsid w:val="00D15221"/>
    <w:rsid w:val="00D1525D"/>
    <w:rsid w:val="00D15397"/>
    <w:rsid w:val="00D155D7"/>
    <w:rsid w:val="00D156DC"/>
    <w:rsid w:val="00D158A6"/>
    <w:rsid w:val="00D159B8"/>
    <w:rsid w:val="00D159F1"/>
    <w:rsid w:val="00D15A7C"/>
    <w:rsid w:val="00D15A9F"/>
    <w:rsid w:val="00D15ABA"/>
    <w:rsid w:val="00D15BB0"/>
    <w:rsid w:val="00D15C10"/>
    <w:rsid w:val="00D15C12"/>
    <w:rsid w:val="00D15C48"/>
    <w:rsid w:val="00D15C89"/>
    <w:rsid w:val="00D15DAB"/>
    <w:rsid w:val="00D15DE2"/>
    <w:rsid w:val="00D15E54"/>
    <w:rsid w:val="00D15F5F"/>
    <w:rsid w:val="00D16067"/>
    <w:rsid w:val="00D16069"/>
    <w:rsid w:val="00D16223"/>
    <w:rsid w:val="00D16263"/>
    <w:rsid w:val="00D165C9"/>
    <w:rsid w:val="00D16626"/>
    <w:rsid w:val="00D16632"/>
    <w:rsid w:val="00D1669D"/>
    <w:rsid w:val="00D166E3"/>
    <w:rsid w:val="00D166FD"/>
    <w:rsid w:val="00D1677E"/>
    <w:rsid w:val="00D167A7"/>
    <w:rsid w:val="00D167BD"/>
    <w:rsid w:val="00D167D8"/>
    <w:rsid w:val="00D167E6"/>
    <w:rsid w:val="00D16909"/>
    <w:rsid w:val="00D1691A"/>
    <w:rsid w:val="00D16925"/>
    <w:rsid w:val="00D16A2B"/>
    <w:rsid w:val="00D16D04"/>
    <w:rsid w:val="00D16D45"/>
    <w:rsid w:val="00D16D7B"/>
    <w:rsid w:val="00D17274"/>
    <w:rsid w:val="00D1727C"/>
    <w:rsid w:val="00D172E2"/>
    <w:rsid w:val="00D17307"/>
    <w:rsid w:val="00D1738C"/>
    <w:rsid w:val="00D17429"/>
    <w:rsid w:val="00D1749F"/>
    <w:rsid w:val="00D17686"/>
    <w:rsid w:val="00D1772D"/>
    <w:rsid w:val="00D17D37"/>
    <w:rsid w:val="00D17FCE"/>
    <w:rsid w:val="00D17FE2"/>
    <w:rsid w:val="00D2001A"/>
    <w:rsid w:val="00D20100"/>
    <w:rsid w:val="00D20140"/>
    <w:rsid w:val="00D201A9"/>
    <w:rsid w:val="00D20287"/>
    <w:rsid w:val="00D203FC"/>
    <w:rsid w:val="00D20412"/>
    <w:rsid w:val="00D2047C"/>
    <w:rsid w:val="00D20528"/>
    <w:rsid w:val="00D205C4"/>
    <w:rsid w:val="00D2071F"/>
    <w:rsid w:val="00D20768"/>
    <w:rsid w:val="00D20849"/>
    <w:rsid w:val="00D208FE"/>
    <w:rsid w:val="00D20964"/>
    <w:rsid w:val="00D20A45"/>
    <w:rsid w:val="00D20B7E"/>
    <w:rsid w:val="00D20BC4"/>
    <w:rsid w:val="00D20C66"/>
    <w:rsid w:val="00D20D63"/>
    <w:rsid w:val="00D20E77"/>
    <w:rsid w:val="00D20EE9"/>
    <w:rsid w:val="00D20F04"/>
    <w:rsid w:val="00D20F6C"/>
    <w:rsid w:val="00D21011"/>
    <w:rsid w:val="00D21043"/>
    <w:rsid w:val="00D2110F"/>
    <w:rsid w:val="00D21118"/>
    <w:rsid w:val="00D214AC"/>
    <w:rsid w:val="00D214D4"/>
    <w:rsid w:val="00D2150F"/>
    <w:rsid w:val="00D216D4"/>
    <w:rsid w:val="00D2176C"/>
    <w:rsid w:val="00D2178B"/>
    <w:rsid w:val="00D219AF"/>
    <w:rsid w:val="00D219E6"/>
    <w:rsid w:val="00D21A0D"/>
    <w:rsid w:val="00D21B0D"/>
    <w:rsid w:val="00D21B20"/>
    <w:rsid w:val="00D21B54"/>
    <w:rsid w:val="00D21B86"/>
    <w:rsid w:val="00D21D0C"/>
    <w:rsid w:val="00D21D5E"/>
    <w:rsid w:val="00D21D95"/>
    <w:rsid w:val="00D21DA0"/>
    <w:rsid w:val="00D21E8F"/>
    <w:rsid w:val="00D21ED3"/>
    <w:rsid w:val="00D21F42"/>
    <w:rsid w:val="00D21F51"/>
    <w:rsid w:val="00D2205E"/>
    <w:rsid w:val="00D2206E"/>
    <w:rsid w:val="00D220E6"/>
    <w:rsid w:val="00D22129"/>
    <w:rsid w:val="00D221A9"/>
    <w:rsid w:val="00D2227F"/>
    <w:rsid w:val="00D222D6"/>
    <w:rsid w:val="00D2244B"/>
    <w:rsid w:val="00D224BF"/>
    <w:rsid w:val="00D2254F"/>
    <w:rsid w:val="00D2259B"/>
    <w:rsid w:val="00D2261A"/>
    <w:rsid w:val="00D227CD"/>
    <w:rsid w:val="00D22802"/>
    <w:rsid w:val="00D22948"/>
    <w:rsid w:val="00D2298A"/>
    <w:rsid w:val="00D229B5"/>
    <w:rsid w:val="00D229DE"/>
    <w:rsid w:val="00D22A83"/>
    <w:rsid w:val="00D22D91"/>
    <w:rsid w:val="00D22DBD"/>
    <w:rsid w:val="00D22E63"/>
    <w:rsid w:val="00D22EE6"/>
    <w:rsid w:val="00D22F28"/>
    <w:rsid w:val="00D22F39"/>
    <w:rsid w:val="00D22F4B"/>
    <w:rsid w:val="00D23016"/>
    <w:rsid w:val="00D230DC"/>
    <w:rsid w:val="00D2312E"/>
    <w:rsid w:val="00D23382"/>
    <w:rsid w:val="00D233BE"/>
    <w:rsid w:val="00D234A4"/>
    <w:rsid w:val="00D235BC"/>
    <w:rsid w:val="00D2360B"/>
    <w:rsid w:val="00D23640"/>
    <w:rsid w:val="00D23806"/>
    <w:rsid w:val="00D23A5D"/>
    <w:rsid w:val="00D23A91"/>
    <w:rsid w:val="00D23B02"/>
    <w:rsid w:val="00D23C83"/>
    <w:rsid w:val="00D23DD5"/>
    <w:rsid w:val="00D23E0A"/>
    <w:rsid w:val="00D23EA9"/>
    <w:rsid w:val="00D23EC5"/>
    <w:rsid w:val="00D23ED0"/>
    <w:rsid w:val="00D23F6F"/>
    <w:rsid w:val="00D23FA2"/>
    <w:rsid w:val="00D23FF8"/>
    <w:rsid w:val="00D24089"/>
    <w:rsid w:val="00D2416D"/>
    <w:rsid w:val="00D24204"/>
    <w:rsid w:val="00D24381"/>
    <w:rsid w:val="00D243A9"/>
    <w:rsid w:val="00D247E8"/>
    <w:rsid w:val="00D248C5"/>
    <w:rsid w:val="00D248F2"/>
    <w:rsid w:val="00D24909"/>
    <w:rsid w:val="00D24996"/>
    <w:rsid w:val="00D24A13"/>
    <w:rsid w:val="00D24A97"/>
    <w:rsid w:val="00D24CBF"/>
    <w:rsid w:val="00D24FDB"/>
    <w:rsid w:val="00D253B2"/>
    <w:rsid w:val="00D25401"/>
    <w:rsid w:val="00D254DC"/>
    <w:rsid w:val="00D25511"/>
    <w:rsid w:val="00D25530"/>
    <w:rsid w:val="00D258B0"/>
    <w:rsid w:val="00D2594E"/>
    <w:rsid w:val="00D25982"/>
    <w:rsid w:val="00D259CB"/>
    <w:rsid w:val="00D259CC"/>
    <w:rsid w:val="00D259DC"/>
    <w:rsid w:val="00D25A45"/>
    <w:rsid w:val="00D25A60"/>
    <w:rsid w:val="00D25D29"/>
    <w:rsid w:val="00D25D2C"/>
    <w:rsid w:val="00D25F70"/>
    <w:rsid w:val="00D2602F"/>
    <w:rsid w:val="00D26179"/>
    <w:rsid w:val="00D262AC"/>
    <w:rsid w:val="00D262C4"/>
    <w:rsid w:val="00D262DF"/>
    <w:rsid w:val="00D26457"/>
    <w:rsid w:val="00D26553"/>
    <w:rsid w:val="00D2661D"/>
    <w:rsid w:val="00D26731"/>
    <w:rsid w:val="00D2677C"/>
    <w:rsid w:val="00D267C3"/>
    <w:rsid w:val="00D26915"/>
    <w:rsid w:val="00D269A7"/>
    <w:rsid w:val="00D26A9D"/>
    <w:rsid w:val="00D26AFA"/>
    <w:rsid w:val="00D26EA1"/>
    <w:rsid w:val="00D26F26"/>
    <w:rsid w:val="00D26F3F"/>
    <w:rsid w:val="00D2701B"/>
    <w:rsid w:val="00D27034"/>
    <w:rsid w:val="00D2705B"/>
    <w:rsid w:val="00D270B1"/>
    <w:rsid w:val="00D27201"/>
    <w:rsid w:val="00D2726F"/>
    <w:rsid w:val="00D2727A"/>
    <w:rsid w:val="00D272CF"/>
    <w:rsid w:val="00D27306"/>
    <w:rsid w:val="00D2735B"/>
    <w:rsid w:val="00D274CA"/>
    <w:rsid w:val="00D27527"/>
    <w:rsid w:val="00D27667"/>
    <w:rsid w:val="00D27941"/>
    <w:rsid w:val="00D27998"/>
    <w:rsid w:val="00D27B15"/>
    <w:rsid w:val="00D27BC8"/>
    <w:rsid w:val="00D27D65"/>
    <w:rsid w:val="00D27D92"/>
    <w:rsid w:val="00D27DB7"/>
    <w:rsid w:val="00D27E79"/>
    <w:rsid w:val="00D27E7A"/>
    <w:rsid w:val="00D30065"/>
    <w:rsid w:val="00D3045B"/>
    <w:rsid w:val="00D3050E"/>
    <w:rsid w:val="00D3057E"/>
    <w:rsid w:val="00D305C9"/>
    <w:rsid w:val="00D3068C"/>
    <w:rsid w:val="00D3079A"/>
    <w:rsid w:val="00D307AD"/>
    <w:rsid w:val="00D307D6"/>
    <w:rsid w:val="00D307E3"/>
    <w:rsid w:val="00D30C3F"/>
    <w:rsid w:val="00D30D9D"/>
    <w:rsid w:val="00D30E16"/>
    <w:rsid w:val="00D3116F"/>
    <w:rsid w:val="00D311B2"/>
    <w:rsid w:val="00D31358"/>
    <w:rsid w:val="00D313C5"/>
    <w:rsid w:val="00D31421"/>
    <w:rsid w:val="00D31440"/>
    <w:rsid w:val="00D3148C"/>
    <w:rsid w:val="00D314E9"/>
    <w:rsid w:val="00D31658"/>
    <w:rsid w:val="00D318D8"/>
    <w:rsid w:val="00D318DA"/>
    <w:rsid w:val="00D31947"/>
    <w:rsid w:val="00D31991"/>
    <w:rsid w:val="00D31BF6"/>
    <w:rsid w:val="00D31C0A"/>
    <w:rsid w:val="00D31C43"/>
    <w:rsid w:val="00D31D6E"/>
    <w:rsid w:val="00D31E34"/>
    <w:rsid w:val="00D31F6B"/>
    <w:rsid w:val="00D31F92"/>
    <w:rsid w:val="00D32048"/>
    <w:rsid w:val="00D32057"/>
    <w:rsid w:val="00D3208C"/>
    <w:rsid w:val="00D32185"/>
    <w:rsid w:val="00D32296"/>
    <w:rsid w:val="00D3232E"/>
    <w:rsid w:val="00D3239E"/>
    <w:rsid w:val="00D323BD"/>
    <w:rsid w:val="00D32426"/>
    <w:rsid w:val="00D324A7"/>
    <w:rsid w:val="00D32520"/>
    <w:rsid w:val="00D3254F"/>
    <w:rsid w:val="00D32558"/>
    <w:rsid w:val="00D3256E"/>
    <w:rsid w:val="00D32622"/>
    <w:rsid w:val="00D3263A"/>
    <w:rsid w:val="00D327C9"/>
    <w:rsid w:val="00D32827"/>
    <w:rsid w:val="00D32C94"/>
    <w:rsid w:val="00D32CC5"/>
    <w:rsid w:val="00D32D5A"/>
    <w:rsid w:val="00D32D90"/>
    <w:rsid w:val="00D32E08"/>
    <w:rsid w:val="00D32E4E"/>
    <w:rsid w:val="00D32EDE"/>
    <w:rsid w:val="00D32F1D"/>
    <w:rsid w:val="00D32F6B"/>
    <w:rsid w:val="00D3308C"/>
    <w:rsid w:val="00D33118"/>
    <w:rsid w:val="00D33150"/>
    <w:rsid w:val="00D33267"/>
    <w:rsid w:val="00D33402"/>
    <w:rsid w:val="00D33481"/>
    <w:rsid w:val="00D33488"/>
    <w:rsid w:val="00D33576"/>
    <w:rsid w:val="00D33668"/>
    <w:rsid w:val="00D33673"/>
    <w:rsid w:val="00D3371E"/>
    <w:rsid w:val="00D33751"/>
    <w:rsid w:val="00D337CE"/>
    <w:rsid w:val="00D3398C"/>
    <w:rsid w:val="00D339A6"/>
    <w:rsid w:val="00D33AA3"/>
    <w:rsid w:val="00D33C3C"/>
    <w:rsid w:val="00D33CAD"/>
    <w:rsid w:val="00D33CAF"/>
    <w:rsid w:val="00D33CD3"/>
    <w:rsid w:val="00D33CE1"/>
    <w:rsid w:val="00D33D2E"/>
    <w:rsid w:val="00D33D65"/>
    <w:rsid w:val="00D33D8D"/>
    <w:rsid w:val="00D33DD3"/>
    <w:rsid w:val="00D33E1B"/>
    <w:rsid w:val="00D33E78"/>
    <w:rsid w:val="00D33E9A"/>
    <w:rsid w:val="00D33EB0"/>
    <w:rsid w:val="00D33FDF"/>
    <w:rsid w:val="00D34027"/>
    <w:rsid w:val="00D34097"/>
    <w:rsid w:val="00D340C0"/>
    <w:rsid w:val="00D34376"/>
    <w:rsid w:val="00D34383"/>
    <w:rsid w:val="00D343C5"/>
    <w:rsid w:val="00D343D8"/>
    <w:rsid w:val="00D345BE"/>
    <w:rsid w:val="00D345E8"/>
    <w:rsid w:val="00D3463F"/>
    <w:rsid w:val="00D349A9"/>
    <w:rsid w:val="00D34A12"/>
    <w:rsid w:val="00D34A9D"/>
    <w:rsid w:val="00D34C75"/>
    <w:rsid w:val="00D34CA6"/>
    <w:rsid w:val="00D34CEF"/>
    <w:rsid w:val="00D34CFB"/>
    <w:rsid w:val="00D34D12"/>
    <w:rsid w:val="00D34D33"/>
    <w:rsid w:val="00D34FB5"/>
    <w:rsid w:val="00D34FC7"/>
    <w:rsid w:val="00D35076"/>
    <w:rsid w:val="00D350D5"/>
    <w:rsid w:val="00D35170"/>
    <w:rsid w:val="00D352B4"/>
    <w:rsid w:val="00D35331"/>
    <w:rsid w:val="00D354D7"/>
    <w:rsid w:val="00D3557A"/>
    <w:rsid w:val="00D355C4"/>
    <w:rsid w:val="00D35608"/>
    <w:rsid w:val="00D35672"/>
    <w:rsid w:val="00D356B2"/>
    <w:rsid w:val="00D357CA"/>
    <w:rsid w:val="00D357DC"/>
    <w:rsid w:val="00D35894"/>
    <w:rsid w:val="00D35899"/>
    <w:rsid w:val="00D358D7"/>
    <w:rsid w:val="00D358FA"/>
    <w:rsid w:val="00D3592F"/>
    <w:rsid w:val="00D35B88"/>
    <w:rsid w:val="00D35BE9"/>
    <w:rsid w:val="00D35C89"/>
    <w:rsid w:val="00D35C90"/>
    <w:rsid w:val="00D35CBA"/>
    <w:rsid w:val="00D35CC7"/>
    <w:rsid w:val="00D35DC8"/>
    <w:rsid w:val="00D35EF5"/>
    <w:rsid w:val="00D35F66"/>
    <w:rsid w:val="00D363E7"/>
    <w:rsid w:val="00D36403"/>
    <w:rsid w:val="00D36432"/>
    <w:rsid w:val="00D364B7"/>
    <w:rsid w:val="00D364F0"/>
    <w:rsid w:val="00D36821"/>
    <w:rsid w:val="00D3695E"/>
    <w:rsid w:val="00D36A60"/>
    <w:rsid w:val="00D36B9A"/>
    <w:rsid w:val="00D36C1E"/>
    <w:rsid w:val="00D36C33"/>
    <w:rsid w:val="00D36C99"/>
    <w:rsid w:val="00D36CA2"/>
    <w:rsid w:val="00D36E33"/>
    <w:rsid w:val="00D36E5D"/>
    <w:rsid w:val="00D36EAF"/>
    <w:rsid w:val="00D36F46"/>
    <w:rsid w:val="00D36F5F"/>
    <w:rsid w:val="00D36FFE"/>
    <w:rsid w:val="00D37141"/>
    <w:rsid w:val="00D371A8"/>
    <w:rsid w:val="00D37286"/>
    <w:rsid w:val="00D3740A"/>
    <w:rsid w:val="00D3752C"/>
    <w:rsid w:val="00D37559"/>
    <w:rsid w:val="00D37592"/>
    <w:rsid w:val="00D375D4"/>
    <w:rsid w:val="00D37640"/>
    <w:rsid w:val="00D37698"/>
    <w:rsid w:val="00D376CE"/>
    <w:rsid w:val="00D3770D"/>
    <w:rsid w:val="00D37723"/>
    <w:rsid w:val="00D3776B"/>
    <w:rsid w:val="00D378B2"/>
    <w:rsid w:val="00D378CC"/>
    <w:rsid w:val="00D379D1"/>
    <w:rsid w:val="00D37A1D"/>
    <w:rsid w:val="00D37B8D"/>
    <w:rsid w:val="00D37EA2"/>
    <w:rsid w:val="00D37FE6"/>
    <w:rsid w:val="00D400BE"/>
    <w:rsid w:val="00D40178"/>
    <w:rsid w:val="00D401B7"/>
    <w:rsid w:val="00D401CC"/>
    <w:rsid w:val="00D4025F"/>
    <w:rsid w:val="00D40260"/>
    <w:rsid w:val="00D40337"/>
    <w:rsid w:val="00D404B4"/>
    <w:rsid w:val="00D40525"/>
    <w:rsid w:val="00D40596"/>
    <w:rsid w:val="00D405B0"/>
    <w:rsid w:val="00D40669"/>
    <w:rsid w:val="00D40686"/>
    <w:rsid w:val="00D40719"/>
    <w:rsid w:val="00D4072B"/>
    <w:rsid w:val="00D4073C"/>
    <w:rsid w:val="00D4083D"/>
    <w:rsid w:val="00D4084B"/>
    <w:rsid w:val="00D408EE"/>
    <w:rsid w:val="00D408F0"/>
    <w:rsid w:val="00D40B15"/>
    <w:rsid w:val="00D40B6C"/>
    <w:rsid w:val="00D40C41"/>
    <w:rsid w:val="00D40C74"/>
    <w:rsid w:val="00D40CDE"/>
    <w:rsid w:val="00D40EB3"/>
    <w:rsid w:val="00D40EE4"/>
    <w:rsid w:val="00D40EFA"/>
    <w:rsid w:val="00D40F3D"/>
    <w:rsid w:val="00D41030"/>
    <w:rsid w:val="00D41182"/>
    <w:rsid w:val="00D411C1"/>
    <w:rsid w:val="00D4126E"/>
    <w:rsid w:val="00D412E3"/>
    <w:rsid w:val="00D4137E"/>
    <w:rsid w:val="00D41423"/>
    <w:rsid w:val="00D41496"/>
    <w:rsid w:val="00D414BF"/>
    <w:rsid w:val="00D4154B"/>
    <w:rsid w:val="00D415DF"/>
    <w:rsid w:val="00D41612"/>
    <w:rsid w:val="00D4163A"/>
    <w:rsid w:val="00D4171B"/>
    <w:rsid w:val="00D41818"/>
    <w:rsid w:val="00D4197C"/>
    <w:rsid w:val="00D41C0F"/>
    <w:rsid w:val="00D41CD4"/>
    <w:rsid w:val="00D41D35"/>
    <w:rsid w:val="00D41E3B"/>
    <w:rsid w:val="00D41E42"/>
    <w:rsid w:val="00D41FD0"/>
    <w:rsid w:val="00D420FB"/>
    <w:rsid w:val="00D4216B"/>
    <w:rsid w:val="00D42214"/>
    <w:rsid w:val="00D424EE"/>
    <w:rsid w:val="00D4253E"/>
    <w:rsid w:val="00D4257B"/>
    <w:rsid w:val="00D4290C"/>
    <w:rsid w:val="00D42972"/>
    <w:rsid w:val="00D429DE"/>
    <w:rsid w:val="00D42AC6"/>
    <w:rsid w:val="00D42ADE"/>
    <w:rsid w:val="00D42B03"/>
    <w:rsid w:val="00D42B13"/>
    <w:rsid w:val="00D42B3D"/>
    <w:rsid w:val="00D42D09"/>
    <w:rsid w:val="00D42DC6"/>
    <w:rsid w:val="00D42E06"/>
    <w:rsid w:val="00D42E3D"/>
    <w:rsid w:val="00D42E56"/>
    <w:rsid w:val="00D42E67"/>
    <w:rsid w:val="00D42EFD"/>
    <w:rsid w:val="00D42F0E"/>
    <w:rsid w:val="00D43179"/>
    <w:rsid w:val="00D431EC"/>
    <w:rsid w:val="00D4320B"/>
    <w:rsid w:val="00D43293"/>
    <w:rsid w:val="00D4336C"/>
    <w:rsid w:val="00D433DC"/>
    <w:rsid w:val="00D43624"/>
    <w:rsid w:val="00D4370C"/>
    <w:rsid w:val="00D43768"/>
    <w:rsid w:val="00D439AA"/>
    <w:rsid w:val="00D43AEB"/>
    <w:rsid w:val="00D43B0F"/>
    <w:rsid w:val="00D43B32"/>
    <w:rsid w:val="00D43B33"/>
    <w:rsid w:val="00D43B39"/>
    <w:rsid w:val="00D43CAF"/>
    <w:rsid w:val="00D43CDD"/>
    <w:rsid w:val="00D43E16"/>
    <w:rsid w:val="00D43F5F"/>
    <w:rsid w:val="00D43FF6"/>
    <w:rsid w:val="00D4404B"/>
    <w:rsid w:val="00D440B4"/>
    <w:rsid w:val="00D440DD"/>
    <w:rsid w:val="00D4412B"/>
    <w:rsid w:val="00D4412D"/>
    <w:rsid w:val="00D441BD"/>
    <w:rsid w:val="00D442AC"/>
    <w:rsid w:val="00D442B5"/>
    <w:rsid w:val="00D443A8"/>
    <w:rsid w:val="00D443EB"/>
    <w:rsid w:val="00D44495"/>
    <w:rsid w:val="00D444FA"/>
    <w:rsid w:val="00D4450A"/>
    <w:rsid w:val="00D4451A"/>
    <w:rsid w:val="00D44581"/>
    <w:rsid w:val="00D4458E"/>
    <w:rsid w:val="00D446DE"/>
    <w:rsid w:val="00D4491E"/>
    <w:rsid w:val="00D44A31"/>
    <w:rsid w:val="00D44AE6"/>
    <w:rsid w:val="00D44C9B"/>
    <w:rsid w:val="00D44CDC"/>
    <w:rsid w:val="00D44ED3"/>
    <w:rsid w:val="00D44F58"/>
    <w:rsid w:val="00D44FAB"/>
    <w:rsid w:val="00D4520F"/>
    <w:rsid w:val="00D4522A"/>
    <w:rsid w:val="00D45264"/>
    <w:rsid w:val="00D452B0"/>
    <w:rsid w:val="00D4533E"/>
    <w:rsid w:val="00D45448"/>
    <w:rsid w:val="00D455A2"/>
    <w:rsid w:val="00D455A3"/>
    <w:rsid w:val="00D455AD"/>
    <w:rsid w:val="00D455C0"/>
    <w:rsid w:val="00D456D2"/>
    <w:rsid w:val="00D4580D"/>
    <w:rsid w:val="00D458EE"/>
    <w:rsid w:val="00D45933"/>
    <w:rsid w:val="00D45AE1"/>
    <w:rsid w:val="00D45B58"/>
    <w:rsid w:val="00D45B95"/>
    <w:rsid w:val="00D45C4D"/>
    <w:rsid w:val="00D45CF9"/>
    <w:rsid w:val="00D45D0B"/>
    <w:rsid w:val="00D45D4A"/>
    <w:rsid w:val="00D45FE5"/>
    <w:rsid w:val="00D46136"/>
    <w:rsid w:val="00D46158"/>
    <w:rsid w:val="00D46207"/>
    <w:rsid w:val="00D4621B"/>
    <w:rsid w:val="00D4623D"/>
    <w:rsid w:val="00D4625B"/>
    <w:rsid w:val="00D4637C"/>
    <w:rsid w:val="00D463CC"/>
    <w:rsid w:val="00D4644C"/>
    <w:rsid w:val="00D4646E"/>
    <w:rsid w:val="00D464BB"/>
    <w:rsid w:val="00D46622"/>
    <w:rsid w:val="00D466E0"/>
    <w:rsid w:val="00D4676C"/>
    <w:rsid w:val="00D46796"/>
    <w:rsid w:val="00D4679F"/>
    <w:rsid w:val="00D467A2"/>
    <w:rsid w:val="00D46883"/>
    <w:rsid w:val="00D4689B"/>
    <w:rsid w:val="00D46904"/>
    <w:rsid w:val="00D46937"/>
    <w:rsid w:val="00D46940"/>
    <w:rsid w:val="00D46AC4"/>
    <w:rsid w:val="00D46BB4"/>
    <w:rsid w:val="00D46C6F"/>
    <w:rsid w:val="00D46D68"/>
    <w:rsid w:val="00D46DF7"/>
    <w:rsid w:val="00D46FD2"/>
    <w:rsid w:val="00D4709B"/>
    <w:rsid w:val="00D470CF"/>
    <w:rsid w:val="00D471DF"/>
    <w:rsid w:val="00D471E7"/>
    <w:rsid w:val="00D472B0"/>
    <w:rsid w:val="00D472E7"/>
    <w:rsid w:val="00D4747F"/>
    <w:rsid w:val="00D47580"/>
    <w:rsid w:val="00D47606"/>
    <w:rsid w:val="00D478B1"/>
    <w:rsid w:val="00D47917"/>
    <w:rsid w:val="00D47ABD"/>
    <w:rsid w:val="00D47AEC"/>
    <w:rsid w:val="00D47B9F"/>
    <w:rsid w:val="00D47FBD"/>
    <w:rsid w:val="00D47FCD"/>
    <w:rsid w:val="00D50123"/>
    <w:rsid w:val="00D50162"/>
    <w:rsid w:val="00D501FE"/>
    <w:rsid w:val="00D50223"/>
    <w:rsid w:val="00D502B6"/>
    <w:rsid w:val="00D50315"/>
    <w:rsid w:val="00D5037B"/>
    <w:rsid w:val="00D5042F"/>
    <w:rsid w:val="00D50466"/>
    <w:rsid w:val="00D504EF"/>
    <w:rsid w:val="00D50549"/>
    <w:rsid w:val="00D505B0"/>
    <w:rsid w:val="00D505BD"/>
    <w:rsid w:val="00D507A8"/>
    <w:rsid w:val="00D5081E"/>
    <w:rsid w:val="00D50A7C"/>
    <w:rsid w:val="00D50A84"/>
    <w:rsid w:val="00D50A93"/>
    <w:rsid w:val="00D50B2B"/>
    <w:rsid w:val="00D50B93"/>
    <w:rsid w:val="00D50BDC"/>
    <w:rsid w:val="00D50D3B"/>
    <w:rsid w:val="00D50E64"/>
    <w:rsid w:val="00D50EBB"/>
    <w:rsid w:val="00D50EDF"/>
    <w:rsid w:val="00D50F72"/>
    <w:rsid w:val="00D50FE8"/>
    <w:rsid w:val="00D5109E"/>
    <w:rsid w:val="00D510B9"/>
    <w:rsid w:val="00D51124"/>
    <w:rsid w:val="00D51398"/>
    <w:rsid w:val="00D5139B"/>
    <w:rsid w:val="00D513AD"/>
    <w:rsid w:val="00D513E2"/>
    <w:rsid w:val="00D5168D"/>
    <w:rsid w:val="00D51696"/>
    <w:rsid w:val="00D5170A"/>
    <w:rsid w:val="00D5173F"/>
    <w:rsid w:val="00D517EB"/>
    <w:rsid w:val="00D517F2"/>
    <w:rsid w:val="00D51918"/>
    <w:rsid w:val="00D519D2"/>
    <w:rsid w:val="00D51B03"/>
    <w:rsid w:val="00D51D17"/>
    <w:rsid w:val="00D51D63"/>
    <w:rsid w:val="00D52027"/>
    <w:rsid w:val="00D520A1"/>
    <w:rsid w:val="00D52130"/>
    <w:rsid w:val="00D5216B"/>
    <w:rsid w:val="00D52230"/>
    <w:rsid w:val="00D5228D"/>
    <w:rsid w:val="00D52503"/>
    <w:rsid w:val="00D525D7"/>
    <w:rsid w:val="00D5267C"/>
    <w:rsid w:val="00D52683"/>
    <w:rsid w:val="00D526D1"/>
    <w:rsid w:val="00D52830"/>
    <w:rsid w:val="00D52886"/>
    <w:rsid w:val="00D52907"/>
    <w:rsid w:val="00D52B22"/>
    <w:rsid w:val="00D52BD7"/>
    <w:rsid w:val="00D52CBC"/>
    <w:rsid w:val="00D52CFC"/>
    <w:rsid w:val="00D52DB2"/>
    <w:rsid w:val="00D52E11"/>
    <w:rsid w:val="00D52E43"/>
    <w:rsid w:val="00D52E7C"/>
    <w:rsid w:val="00D52F3F"/>
    <w:rsid w:val="00D532E0"/>
    <w:rsid w:val="00D5336B"/>
    <w:rsid w:val="00D53395"/>
    <w:rsid w:val="00D5346D"/>
    <w:rsid w:val="00D536FB"/>
    <w:rsid w:val="00D53759"/>
    <w:rsid w:val="00D539AB"/>
    <w:rsid w:val="00D539F8"/>
    <w:rsid w:val="00D53A26"/>
    <w:rsid w:val="00D53AAA"/>
    <w:rsid w:val="00D53B54"/>
    <w:rsid w:val="00D53BD6"/>
    <w:rsid w:val="00D53C1A"/>
    <w:rsid w:val="00D53C35"/>
    <w:rsid w:val="00D53C90"/>
    <w:rsid w:val="00D53D1C"/>
    <w:rsid w:val="00D53DB2"/>
    <w:rsid w:val="00D53EFC"/>
    <w:rsid w:val="00D53F71"/>
    <w:rsid w:val="00D54015"/>
    <w:rsid w:val="00D5419B"/>
    <w:rsid w:val="00D5422E"/>
    <w:rsid w:val="00D54363"/>
    <w:rsid w:val="00D543D7"/>
    <w:rsid w:val="00D54562"/>
    <w:rsid w:val="00D546C7"/>
    <w:rsid w:val="00D546EC"/>
    <w:rsid w:val="00D547D1"/>
    <w:rsid w:val="00D54852"/>
    <w:rsid w:val="00D54953"/>
    <w:rsid w:val="00D549F5"/>
    <w:rsid w:val="00D54A56"/>
    <w:rsid w:val="00D54A6D"/>
    <w:rsid w:val="00D54C72"/>
    <w:rsid w:val="00D54CB4"/>
    <w:rsid w:val="00D54CE7"/>
    <w:rsid w:val="00D54DAF"/>
    <w:rsid w:val="00D54DB3"/>
    <w:rsid w:val="00D54E33"/>
    <w:rsid w:val="00D54F93"/>
    <w:rsid w:val="00D550AC"/>
    <w:rsid w:val="00D5543F"/>
    <w:rsid w:val="00D55456"/>
    <w:rsid w:val="00D554C9"/>
    <w:rsid w:val="00D55603"/>
    <w:rsid w:val="00D557B3"/>
    <w:rsid w:val="00D557CB"/>
    <w:rsid w:val="00D5582F"/>
    <w:rsid w:val="00D55916"/>
    <w:rsid w:val="00D5595D"/>
    <w:rsid w:val="00D5597A"/>
    <w:rsid w:val="00D55A00"/>
    <w:rsid w:val="00D55A52"/>
    <w:rsid w:val="00D55AC3"/>
    <w:rsid w:val="00D55C8E"/>
    <w:rsid w:val="00D55D74"/>
    <w:rsid w:val="00D55F38"/>
    <w:rsid w:val="00D56114"/>
    <w:rsid w:val="00D56207"/>
    <w:rsid w:val="00D56237"/>
    <w:rsid w:val="00D5624B"/>
    <w:rsid w:val="00D5626D"/>
    <w:rsid w:val="00D562C2"/>
    <w:rsid w:val="00D562D3"/>
    <w:rsid w:val="00D562E0"/>
    <w:rsid w:val="00D564FC"/>
    <w:rsid w:val="00D56523"/>
    <w:rsid w:val="00D5652D"/>
    <w:rsid w:val="00D565AE"/>
    <w:rsid w:val="00D565CC"/>
    <w:rsid w:val="00D56682"/>
    <w:rsid w:val="00D5687C"/>
    <w:rsid w:val="00D568B9"/>
    <w:rsid w:val="00D568ED"/>
    <w:rsid w:val="00D56A4A"/>
    <w:rsid w:val="00D56A70"/>
    <w:rsid w:val="00D56A87"/>
    <w:rsid w:val="00D56B33"/>
    <w:rsid w:val="00D56C29"/>
    <w:rsid w:val="00D56E79"/>
    <w:rsid w:val="00D56E84"/>
    <w:rsid w:val="00D5722D"/>
    <w:rsid w:val="00D57277"/>
    <w:rsid w:val="00D572B3"/>
    <w:rsid w:val="00D5730A"/>
    <w:rsid w:val="00D57373"/>
    <w:rsid w:val="00D5757E"/>
    <w:rsid w:val="00D575B0"/>
    <w:rsid w:val="00D575D1"/>
    <w:rsid w:val="00D576FB"/>
    <w:rsid w:val="00D57709"/>
    <w:rsid w:val="00D577BD"/>
    <w:rsid w:val="00D5793E"/>
    <w:rsid w:val="00D57A2E"/>
    <w:rsid w:val="00D57A59"/>
    <w:rsid w:val="00D57ACC"/>
    <w:rsid w:val="00D57B78"/>
    <w:rsid w:val="00D57C66"/>
    <w:rsid w:val="00D57DF6"/>
    <w:rsid w:val="00D57E2B"/>
    <w:rsid w:val="00D57EC1"/>
    <w:rsid w:val="00D57ED8"/>
    <w:rsid w:val="00D57F1F"/>
    <w:rsid w:val="00D57F63"/>
    <w:rsid w:val="00D60021"/>
    <w:rsid w:val="00D60168"/>
    <w:rsid w:val="00D602E3"/>
    <w:rsid w:val="00D603CB"/>
    <w:rsid w:val="00D60467"/>
    <w:rsid w:val="00D6049C"/>
    <w:rsid w:val="00D6050C"/>
    <w:rsid w:val="00D605FC"/>
    <w:rsid w:val="00D60621"/>
    <w:rsid w:val="00D60662"/>
    <w:rsid w:val="00D607A1"/>
    <w:rsid w:val="00D6096A"/>
    <w:rsid w:val="00D60974"/>
    <w:rsid w:val="00D609B8"/>
    <w:rsid w:val="00D609F3"/>
    <w:rsid w:val="00D60A02"/>
    <w:rsid w:val="00D60A1A"/>
    <w:rsid w:val="00D60AB4"/>
    <w:rsid w:val="00D60BBE"/>
    <w:rsid w:val="00D60BC0"/>
    <w:rsid w:val="00D60D18"/>
    <w:rsid w:val="00D60DFC"/>
    <w:rsid w:val="00D60E1D"/>
    <w:rsid w:val="00D60F91"/>
    <w:rsid w:val="00D60FB0"/>
    <w:rsid w:val="00D6100B"/>
    <w:rsid w:val="00D6105F"/>
    <w:rsid w:val="00D610A2"/>
    <w:rsid w:val="00D6115C"/>
    <w:rsid w:val="00D6117D"/>
    <w:rsid w:val="00D611AC"/>
    <w:rsid w:val="00D6124A"/>
    <w:rsid w:val="00D61298"/>
    <w:rsid w:val="00D6159A"/>
    <w:rsid w:val="00D61604"/>
    <w:rsid w:val="00D61698"/>
    <w:rsid w:val="00D616F2"/>
    <w:rsid w:val="00D6179B"/>
    <w:rsid w:val="00D617B2"/>
    <w:rsid w:val="00D617BE"/>
    <w:rsid w:val="00D61898"/>
    <w:rsid w:val="00D618F7"/>
    <w:rsid w:val="00D61909"/>
    <w:rsid w:val="00D61923"/>
    <w:rsid w:val="00D61A1E"/>
    <w:rsid w:val="00D61A9D"/>
    <w:rsid w:val="00D61ADD"/>
    <w:rsid w:val="00D61B64"/>
    <w:rsid w:val="00D61B77"/>
    <w:rsid w:val="00D61BDB"/>
    <w:rsid w:val="00D61C62"/>
    <w:rsid w:val="00D61CF4"/>
    <w:rsid w:val="00D61D2E"/>
    <w:rsid w:val="00D61E9F"/>
    <w:rsid w:val="00D61EB1"/>
    <w:rsid w:val="00D6218B"/>
    <w:rsid w:val="00D622D1"/>
    <w:rsid w:val="00D622D2"/>
    <w:rsid w:val="00D62314"/>
    <w:rsid w:val="00D6236D"/>
    <w:rsid w:val="00D6264D"/>
    <w:rsid w:val="00D6268B"/>
    <w:rsid w:val="00D6283C"/>
    <w:rsid w:val="00D62848"/>
    <w:rsid w:val="00D62854"/>
    <w:rsid w:val="00D628A7"/>
    <w:rsid w:val="00D628D0"/>
    <w:rsid w:val="00D62ACF"/>
    <w:rsid w:val="00D62B21"/>
    <w:rsid w:val="00D62BA7"/>
    <w:rsid w:val="00D62C93"/>
    <w:rsid w:val="00D62CB9"/>
    <w:rsid w:val="00D62D49"/>
    <w:rsid w:val="00D62D62"/>
    <w:rsid w:val="00D62DF3"/>
    <w:rsid w:val="00D62E11"/>
    <w:rsid w:val="00D62E1C"/>
    <w:rsid w:val="00D62E39"/>
    <w:rsid w:val="00D62E66"/>
    <w:rsid w:val="00D62EE2"/>
    <w:rsid w:val="00D62EF8"/>
    <w:rsid w:val="00D62F08"/>
    <w:rsid w:val="00D62F0D"/>
    <w:rsid w:val="00D62F38"/>
    <w:rsid w:val="00D62F41"/>
    <w:rsid w:val="00D62F62"/>
    <w:rsid w:val="00D62F82"/>
    <w:rsid w:val="00D63001"/>
    <w:rsid w:val="00D63051"/>
    <w:rsid w:val="00D630D0"/>
    <w:rsid w:val="00D6314E"/>
    <w:rsid w:val="00D631C2"/>
    <w:rsid w:val="00D631D5"/>
    <w:rsid w:val="00D63311"/>
    <w:rsid w:val="00D634CC"/>
    <w:rsid w:val="00D63512"/>
    <w:rsid w:val="00D63535"/>
    <w:rsid w:val="00D635B0"/>
    <w:rsid w:val="00D63613"/>
    <w:rsid w:val="00D63657"/>
    <w:rsid w:val="00D636BC"/>
    <w:rsid w:val="00D636CE"/>
    <w:rsid w:val="00D636F9"/>
    <w:rsid w:val="00D6372E"/>
    <w:rsid w:val="00D63789"/>
    <w:rsid w:val="00D637E2"/>
    <w:rsid w:val="00D63834"/>
    <w:rsid w:val="00D639B1"/>
    <w:rsid w:val="00D63C04"/>
    <w:rsid w:val="00D63DB5"/>
    <w:rsid w:val="00D63DF0"/>
    <w:rsid w:val="00D63DF7"/>
    <w:rsid w:val="00D63E62"/>
    <w:rsid w:val="00D63E78"/>
    <w:rsid w:val="00D63ECF"/>
    <w:rsid w:val="00D640CE"/>
    <w:rsid w:val="00D641D0"/>
    <w:rsid w:val="00D64242"/>
    <w:rsid w:val="00D6427F"/>
    <w:rsid w:val="00D642C7"/>
    <w:rsid w:val="00D64367"/>
    <w:rsid w:val="00D6452F"/>
    <w:rsid w:val="00D646F2"/>
    <w:rsid w:val="00D647DE"/>
    <w:rsid w:val="00D64805"/>
    <w:rsid w:val="00D648FE"/>
    <w:rsid w:val="00D6491B"/>
    <w:rsid w:val="00D64A7D"/>
    <w:rsid w:val="00D64AA9"/>
    <w:rsid w:val="00D64C65"/>
    <w:rsid w:val="00D64D2B"/>
    <w:rsid w:val="00D64E1E"/>
    <w:rsid w:val="00D64EB7"/>
    <w:rsid w:val="00D64F4C"/>
    <w:rsid w:val="00D650A2"/>
    <w:rsid w:val="00D65194"/>
    <w:rsid w:val="00D65203"/>
    <w:rsid w:val="00D65262"/>
    <w:rsid w:val="00D653A6"/>
    <w:rsid w:val="00D653AC"/>
    <w:rsid w:val="00D65660"/>
    <w:rsid w:val="00D656F4"/>
    <w:rsid w:val="00D65716"/>
    <w:rsid w:val="00D65827"/>
    <w:rsid w:val="00D658A3"/>
    <w:rsid w:val="00D6591B"/>
    <w:rsid w:val="00D65B1B"/>
    <w:rsid w:val="00D65BFF"/>
    <w:rsid w:val="00D65C77"/>
    <w:rsid w:val="00D65D7C"/>
    <w:rsid w:val="00D65F73"/>
    <w:rsid w:val="00D65F9F"/>
    <w:rsid w:val="00D65FC9"/>
    <w:rsid w:val="00D66081"/>
    <w:rsid w:val="00D660FB"/>
    <w:rsid w:val="00D66180"/>
    <w:rsid w:val="00D6646E"/>
    <w:rsid w:val="00D66474"/>
    <w:rsid w:val="00D66476"/>
    <w:rsid w:val="00D66623"/>
    <w:rsid w:val="00D666D7"/>
    <w:rsid w:val="00D669B5"/>
    <w:rsid w:val="00D66B4D"/>
    <w:rsid w:val="00D66CE7"/>
    <w:rsid w:val="00D66D1F"/>
    <w:rsid w:val="00D66EC5"/>
    <w:rsid w:val="00D66F1F"/>
    <w:rsid w:val="00D66FBB"/>
    <w:rsid w:val="00D67032"/>
    <w:rsid w:val="00D67033"/>
    <w:rsid w:val="00D6704D"/>
    <w:rsid w:val="00D670A8"/>
    <w:rsid w:val="00D67189"/>
    <w:rsid w:val="00D67299"/>
    <w:rsid w:val="00D67319"/>
    <w:rsid w:val="00D6731B"/>
    <w:rsid w:val="00D673F4"/>
    <w:rsid w:val="00D676E7"/>
    <w:rsid w:val="00D67817"/>
    <w:rsid w:val="00D678FC"/>
    <w:rsid w:val="00D67935"/>
    <w:rsid w:val="00D6799B"/>
    <w:rsid w:val="00D67B08"/>
    <w:rsid w:val="00D67B92"/>
    <w:rsid w:val="00D67C60"/>
    <w:rsid w:val="00D67C7E"/>
    <w:rsid w:val="00D67D43"/>
    <w:rsid w:val="00D70078"/>
    <w:rsid w:val="00D7042F"/>
    <w:rsid w:val="00D70455"/>
    <w:rsid w:val="00D70500"/>
    <w:rsid w:val="00D70519"/>
    <w:rsid w:val="00D70838"/>
    <w:rsid w:val="00D708DE"/>
    <w:rsid w:val="00D7090F"/>
    <w:rsid w:val="00D709C4"/>
    <w:rsid w:val="00D709F8"/>
    <w:rsid w:val="00D70CF7"/>
    <w:rsid w:val="00D70DF3"/>
    <w:rsid w:val="00D70EC2"/>
    <w:rsid w:val="00D70F01"/>
    <w:rsid w:val="00D70F7B"/>
    <w:rsid w:val="00D710B2"/>
    <w:rsid w:val="00D710BA"/>
    <w:rsid w:val="00D71137"/>
    <w:rsid w:val="00D7120A"/>
    <w:rsid w:val="00D7126E"/>
    <w:rsid w:val="00D713EE"/>
    <w:rsid w:val="00D71404"/>
    <w:rsid w:val="00D715F8"/>
    <w:rsid w:val="00D71618"/>
    <w:rsid w:val="00D71673"/>
    <w:rsid w:val="00D716B6"/>
    <w:rsid w:val="00D71759"/>
    <w:rsid w:val="00D717D7"/>
    <w:rsid w:val="00D71867"/>
    <w:rsid w:val="00D71942"/>
    <w:rsid w:val="00D7197E"/>
    <w:rsid w:val="00D71A22"/>
    <w:rsid w:val="00D71B6B"/>
    <w:rsid w:val="00D71C39"/>
    <w:rsid w:val="00D71C44"/>
    <w:rsid w:val="00D71E76"/>
    <w:rsid w:val="00D71EB0"/>
    <w:rsid w:val="00D71F40"/>
    <w:rsid w:val="00D72032"/>
    <w:rsid w:val="00D720D5"/>
    <w:rsid w:val="00D72281"/>
    <w:rsid w:val="00D724F1"/>
    <w:rsid w:val="00D72530"/>
    <w:rsid w:val="00D725FA"/>
    <w:rsid w:val="00D72648"/>
    <w:rsid w:val="00D7276C"/>
    <w:rsid w:val="00D72787"/>
    <w:rsid w:val="00D7278B"/>
    <w:rsid w:val="00D728E3"/>
    <w:rsid w:val="00D728F8"/>
    <w:rsid w:val="00D72A49"/>
    <w:rsid w:val="00D72C63"/>
    <w:rsid w:val="00D72D8C"/>
    <w:rsid w:val="00D72DA1"/>
    <w:rsid w:val="00D72EA2"/>
    <w:rsid w:val="00D72EE2"/>
    <w:rsid w:val="00D72F04"/>
    <w:rsid w:val="00D72F28"/>
    <w:rsid w:val="00D73038"/>
    <w:rsid w:val="00D731EC"/>
    <w:rsid w:val="00D73204"/>
    <w:rsid w:val="00D73288"/>
    <w:rsid w:val="00D73323"/>
    <w:rsid w:val="00D7358F"/>
    <w:rsid w:val="00D73666"/>
    <w:rsid w:val="00D736B6"/>
    <w:rsid w:val="00D73720"/>
    <w:rsid w:val="00D73770"/>
    <w:rsid w:val="00D7387C"/>
    <w:rsid w:val="00D7388C"/>
    <w:rsid w:val="00D738E6"/>
    <w:rsid w:val="00D73922"/>
    <w:rsid w:val="00D73993"/>
    <w:rsid w:val="00D739D9"/>
    <w:rsid w:val="00D739EF"/>
    <w:rsid w:val="00D73B22"/>
    <w:rsid w:val="00D73D1D"/>
    <w:rsid w:val="00D73D45"/>
    <w:rsid w:val="00D73E82"/>
    <w:rsid w:val="00D73EAF"/>
    <w:rsid w:val="00D73F1D"/>
    <w:rsid w:val="00D73FB7"/>
    <w:rsid w:val="00D7412E"/>
    <w:rsid w:val="00D741DE"/>
    <w:rsid w:val="00D74222"/>
    <w:rsid w:val="00D7424D"/>
    <w:rsid w:val="00D7453E"/>
    <w:rsid w:val="00D74577"/>
    <w:rsid w:val="00D74633"/>
    <w:rsid w:val="00D747C0"/>
    <w:rsid w:val="00D747E7"/>
    <w:rsid w:val="00D747F9"/>
    <w:rsid w:val="00D748C7"/>
    <w:rsid w:val="00D7492C"/>
    <w:rsid w:val="00D74934"/>
    <w:rsid w:val="00D749A5"/>
    <w:rsid w:val="00D74AED"/>
    <w:rsid w:val="00D74B30"/>
    <w:rsid w:val="00D74D08"/>
    <w:rsid w:val="00D74D32"/>
    <w:rsid w:val="00D74DD9"/>
    <w:rsid w:val="00D74FED"/>
    <w:rsid w:val="00D75091"/>
    <w:rsid w:val="00D75240"/>
    <w:rsid w:val="00D752AF"/>
    <w:rsid w:val="00D75448"/>
    <w:rsid w:val="00D7549A"/>
    <w:rsid w:val="00D754F5"/>
    <w:rsid w:val="00D7564C"/>
    <w:rsid w:val="00D75654"/>
    <w:rsid w:val="00D756B6"/>
    <w:rsid w:val="00D757CE"/>
    <w:rsid w:val="00D757FF"/>
    <w:rsid w:val="00D7593A"/>
    <w:rsid w:val="00D7595A"/>
    <w:rsid w:val="00D75D82"/>
    <w:rsid w:val="00D75F16"/>
    <w:rsid w:val="00D75F2B"/>
    <w:rsid w:val="00D75F63"/>
    <w:rsid w:val="00D75F8F"/>
    <w:rsid w:val="00D7614C"/>
    <w:rsid w:val="00D761F9"/>
    <w:rsid w:val="00D76244"/>
    <w:rsid w:val="00D76305"/>
    <w:rsid w:val="00D763BE"/>
    <w:rsid w:val="00D76422"/>
    <w:rsid w:val="00D76438"/>
    <w:rsid w:val="00D76454"/>
    <w:rsid w:val="00D766A2"/>
    <w:rsid w:val="00D768B0"/>
    <w:rsid w:val="00D7698C"/>
    <w:rsid w:val="00D769B4"/>
    <w:rsid w:val="00D76A1D"/>
    <w:rsid w:val="00D76BB7"/>
    <w:rsid w:val="00D76BE0"/>
    <w:rsid w:val="00D76BE1"/>
    <w:rsid w:val="00D76C4C"/>
    <w:rsid w:val="00D76C98"/>
    <w:rsid w:val="00D76CB7"/>
    <w:rsid w:val="00D76D71"/>
    <w:rsid w:val="00D76E9A"/>
    <w:rsid w:val="00D76EDB"/>
    <w:rsid w:val="00D76F20"/>
    <w:rsid w:val="00D76F3E"/>
    <w:rsid w:val="00D76F63"/>
    <w:rsid w:val="00D76FAE"/>
    <w:rsid w:val="00D77061"/>
    <w:rsid w:val="00D770B7"/>
    <w:rsid w:val="00D772AC"/>
    <w:rsid w:val="00D77371"/>
    <w:rsid w:val="00D77436"/>
    <w:rsid w:val="00D774B4"/>
    <w:rsid w:val="00D775E9"/>
    <w:rsid w:val="00D775EB"/>
    <w:rsid w:val="00D775F8"/>
    <w:rsid w:val="00D77677"/>
    <w:rsid w:val="00D776CC"/>
    <w:rsid w:val="00D77723"/>
    <w:rsid w:val="00D77742"/>
    <w:rsid w:val="00D7774A"/>
    <w:rsid w:val="00D7774C"/>
    <w:rsid w:val="00D77831"/>
    <w:rsid w:val="00D7795A"/>
    <w:rsid w:val="00D77966"/>
    <w:rsid w:val="00D7799B"/>
    <w:rsid w:val="00D779C5"/>
    <w:rsid w:val="00D77A00"/>
    <w:rsid w:val="00D77AA6"/>
    <w:rsid w:val="00D77DCA"/>
    <w:rsid w:val="00D77E78"/>
    <w:rsid w:val="00D77EC2"/>
    <w:rsid w:val="00D77F3C"/>
    <w:rsid w:val="00D77F86"/>
    <w:rsid w:val="00D77FC3"/>
    <w:rsid w:val="00D80038"/>
    <w:rsid w:val="00D800BD"/>
    <w:rsid w:val="00D8015A"/>
    <w:rsid w:val="00D80201"/>
    <w:rsid w:val="00D80291"/>
    <w:rsid w:val="00D80304"/>
    <w:rsid w:val="00D80388"/>
    <w:rsid w:val="00D803CB"/>
    <w:rsid w:val="00D803F8"/>
    <w:rsid w:val="00D8041E"/>
    <w:rsid w:val="00D805D1"/>
    <w:rsid w:val="00D80627"/>
    <w:rsid w:val="00D80747"/>
    <w:rsid w:val="00D80748"/>
    <w:rsid w:val="00D80818"/>
    <w:rsid w:val="00D80850"/>
    <w:rsid w:val="00D808CC"/>
    <w:rsid w:val="00D809E0"/>
    <w:rsid w:val="00D80DF6"/>
    <w:rsid w:val="00D80E6F"/>
    <w:rsid w:val="00D80EC9"/>
    <w:rsid w:val="00D80F75"/>
    <w:rsid w:val="00D80FA7"/>
    <w:rsid w:val="00D81038"/>
    <w:rsid w:val="00D8116B"/>
    <w:rsid w:val="00D81236"/>
    <w:rsid w:val="00D81250"/>
    <w:rsid w:val="00D813C3"/>
    <w:rsid w:val="00D814CD"/>
    <w:rsid w:val="00D81577"/>
    <w:rsid w:val="00D815DF"/>
    <w:rsid w:val="00D8162C"/>
    <w:rsid w:val="00D8162D"/>
    <w:rsid w:val="00D81752"/>
    <w:rsid w:val="00D8176F"/>
    <w:rsid w:val="00D81836"/>
    <w:rsid w:val="00D81878"/>
    <w:rsid w:val="00D81897"/>
    <w:rsid w:val="00D81960"/>
    <w:rsid w:val="00D819F3"/>
    <w:rsid w:val="00D81A1A"/>
    <w:rsid w:val="00D81A87"/>
    <w:rsid w:val="00D81A8A"/>
    <w:rsid w:val="00D81A90"/>
    <w:rsid w:val="00D81B84"/>
    <w:rsid w:val="00D81E30"/>
    <w:rsid w:val="00D81E6F"/>
    <w:rsid w:val="00D81FD2"/>
    <w:rsid w:val="00D820D6"/>
    <w:rsid w:val="00D82128"/>
    <w:rsid w:val="00D821FB"/>
    <w:rsid w:val="00D8225D"/>
    <w:rsid w:val="00D822F2"/>
    <w:rsid w:val="00D822F7"/>
    <w:rsid w:val="00D82629"/>
    <w:rsid w:val="00D8266A"/>
    <w:rsid w:val="00D82701"/>
    <w:rsid w:val="00D8276C"/>
    <w:rsid w:val="00D82976"/>
    <w:rsid w:val="00D82ACA"/>
    <w:rsid w:val="00D82B8F"/>
    <w:rsid w:val="00D82C39"/>
    <w:rsid w:val="00D82C6E"/>
    <w:rsid w:val="00D82D64"/>
    <w:rsid w:val="00D82DBD"/>
    <w:rsid w:val="00D82E29"/>
    <w:rsid w:val="00D82ED9"/>
    <w:rsid w:val="00D82F0F"/>
    <w:rsid w:val="00D82F18"/>
    <w:rsid w:val="00D82F6C"/>
    <w:rsid w:val="00D82F94"/>
    <w:rsid w:val="00D8300E"/>
    <w:rsid w:val="00D8363A"/>
    <w:rsid w:val="00D8364F"/>
    <w:rsid w:val="00D837B4"/>
    <w:rsid w:val="00D837ED"/>
    <w:rsid w:val="00D83855"/>
    <w:rsid w:val="00D8389B"/>
    <w:rsid w:val="00D83A6F"/>
    <w:rsid w:val="00D83AD5"/>
    <w:rsid w:val="00D83C48"/>
    <w:rsid w:val="00D83CFA"/>
    <w:rsid w:val="00D83DF3"/>
    <w:rsid w:val="00D83ECB"/>
    <w:rsid w:val="00D83F02"/>
    <w:rsid w:val="00D83FDD"/>
    <w:rsid w:val="00D84075"/>
    <w:rsid w:val="00D8407A"/>
    <w:rsid w:val="00D84128"/>
    <w:rsid w:val="00D84133"/>
    <w:rsid w:val="00D84205"/>
    <w:rsid w:val="00D84268"/>
    <w:rsid w:val="00D842F6"/>
    <w:rsid w:val="00D8439D"/>
    <w:rsid w:val="00D8450F"/>
    <w:rsid w:val="00D8454F"/>
    <w:rsid w:val="00D84630"/>
    <w:rsid w:val="00D84817"/>
    <w:rsid w:val="00D84828"/>
    <w:rsid w:val="00D848D8"/>
    <w:rsid w:val="00D848E3"/>
    <w:rsid w:val="00D84994"/>
    <w:rsid w:val="00D849D5"/>
    <w:rsid w:val="00D84A95"/>
    <w:rsid w:val="00D84AFD"/>
    <w:rsid w:val="00D84C2D"/>
    <w:rsid w:val="00D84D2E"/>
    <w:rsid w:val="00D84DFD"/>
    <w:rsid w:val="00D84EDE"/>
    <w:rsid w:val="00D84EF7"/>
    <w:rsid w:val="00D84F48"/>
    <w:rsid w:val="00D84FDC"/>
    <w:rsid w:val="00D850F0"/>
    <w:rsid w:val="00D850F7"/>
    <w:rsid w:val="00D85146"/>
    <w:rsid w:val="00D85197"/>
    <w:rsid w:val="00D851D4"/>
    <w:rsid w:val="00D851E7"/>
    <w:rsid w:val="00D8523F"/>
    <w:rsid w:val="00D852CD"/>
    <w:rsid w:val="00D85317"/>
    <w:rsid w:val="00D85352"/>
    <w:rsid w:val="00D85380"/>
    <w:rsid w:val="00D853B2"/>
    <w:rsid w:val="00D855A3"/>
    <w:rsid w:val="00D85610"/>
    <w:rsid w:val="00D8564E"/>
    <w:rsid w:val="00D85818"/>
    <w:rsid w:val="00D85AEE"/>
    <w:rsid w:val="00D85B52"/>
    <w:rsid w:val="00D85B9A"/>
    <w:rsid w:val="00D85E16"/>
    <w:rsid w:val="00D85E36"/>
    <w:rsid w:val="00D85EC7"/>
    <w:rsid w:val="00D85F3F"/>
    <w:rsid w:val="00D85F5C"/>
    <w:rsid w:val="00D85F6D"/>
    <w:rsid w:val="00D8601E"/>
    <w:rsid w:val="00D86284"/>
    <w:rsid w:val="00D86366"/>
    <w:rsid w:val="00D8639A"/>
    <w:rsid w:val="00D863D4"/>
    <w:rsid w:val="00D8642D"/>
    <w:rsid w:val="00D86601"/>
    <w:rsid w:val="00D8662C"/>
    <w:rsid w:val="00D866F0"/>
    <w:rsid w:val="00D8679C"/>
    <w:rsid w:val="00D86973"/>
    <w:rsid w:val="00D869A6"/>
    <w:rsid w:val="00D869DB"/>
    <w:rsid w:val="00D86B26"/>
    <w:rsid w:val="00D86C6E"/>
    <w:rsid w:val="00D86C8C"/>
    <w:rsid w:val="00D86DC6"/>
    <w:rsid w:val="00D86E51"/>
    <w:rsid w:val="00D86F98"/>
    <w:rsid w:val="00D8709C"/>
    <w:rsid w:val="00D8721D"/>
    <w:rsid w:val="00D8735D"/>
    <w:rsid w:val="00D873BF"/>
    <w:rsid w:val="00D87416"/>
    <w:rsid w:val="00D87453"/>
    <w:rsid w:val="00D874B8"/>
    <w:rsid w:val="00D87736"/>
    <w:rsid w:val="00D877D6"/>
    <w:rsid w:val="00D8786D"/>
    <w:rsid w:val="00D87884"/>
    <w:rsid w:val="00D878F0"/>
    <w:rsid w:val="00D8794B"/>
    <w:rsid w:val="00D87968"/>
    <w:rsid w:val="00D8798B"/>
    <w:rsid w:val="00D879DD"/>
    <w:rsid w:val="00D87A4D"/>
    <w:rsid w:val="00D87A90"/>
    <w:rsid w:val="00D87B3D"/>
    <w:rsid w:val="00D87B5B"/>
    <w:rsid w:val="00D87C22"/>
    <w:rsid w:val="00D87DFD"/>
    <w:rsid w:val="00D87E34"/>
    <w:rsid w:val="00D87E61"/>
    <w:rsid w:val="00D87E97"/>
    <w:rsid w:val="00D87F0A"/>
    <w:rsid w:val="00D87F8E"/>
    <w:rsid w:val="00D87F90"/>
    <w:rsid w:val="00D902F9"/>
    <w:rsid w:val="00D9030B"/>
    <w:rsid w:val="00D903F7"/>
    <w:rsid w:val="00D904F4"/>
    <w:rsid w:val="00D906B5"/>
    <w:rsid w:val="00D9071C"/>
    <w:rsid w:val="00D90775"/>
    <w:rsid w:val="00D907B7"/>
    <w:rsid w:val="00D907F9"/>
    <w:rsid w:val="00D90803"/>
    <w:rsid w:val="00D90913"/>
    <w:rsid w:val="00D909B4"/>
    <w:rsid w:val="00D90A07"/>
    <w:rsid w:val="00D90B0E"/>
    <w:rsid w:val="00D90CEC"/>
    <w:rsid w:val="00D90D0C"/>
    <w:rsid w:val="00D90D3A"/>
    <w:rsid w:val="00D90DB1"/>
    <w:rsid w:val="00D90DF7"/>
    <w:rsid w:val="00D90EFE"/>
    <w:rsid w:val="00D90F22"/>
    <w:rsid w:val="00D90F28"/>
    <w:rsid w:val="00D9100F"/>
    <w:rsid w:val="00D9118B"/>
    <w:rsid w:val="00D911D1"/>
    <w:rsid w:val="00D911DD"/>
    <w:rsid w:val="00D91410"/>
    <w:rsid w:val="00D9142E"/>
    <w:rsid w:val="00D914B1"/>
    <w:rsid w:val="00D916A7"/>
    <w:rsid w:val="00D917C6"/>
    <w:rsid w:val="00D917E2"/>
    <w:rsid w:val="00D91A22"/>
    <w:rsid w:val="00D91A27"/>
    <w:rsid w:val="00D91A73"/>
    <w:rsid w:val="00D91B52"/>
    <w:rsid w:val="00D91B54"/>
    <w:rsid w:val="00D91C40"/>
    <w:rsid w:val="00D91C47"/>
    <w:rsid w:val="00D91C49"/>
    <w:rsid w:val="00D91DA1"/>
    <w:rsid w:val="00D91E52"/>
    <w:rsid w:val="00D91EAC"/>
    <w:rsid w:val="00D91F62"/>
    <w:rsid w:val="00D91FD6"/>
    <w:rsid w:val="00D91FDB"/>
    <w:rsid w:val="00D9211C"/>
    <w:rsid w:val="00D9220D"/>
    <w:rsid w:val="00D922C4"/>
    <w:rsid w:val="00D92320"/>
    <w:rsid w:val="00D9239C"/>
    <w:rsid w:val="00D92464"/>
    <w:rsid w:val="00D9274B"/>
    <w:rsid w:val="00D92770"/>
    <w:rsid w:val="00D927B2"/>
    <w:rsid w:val="00D928FD"/>
    <w:rsid w:val="00D92917"/>
    <w:rsid w:val="00D92A6B"/>
    <w:rsid w:val="00D92B1E"/>
    <w:rsid w:val="00D92BC9"/>
    <w:rsid w:val="00D92E8D"/>
    <w:rsid w:val="00D92E9C"/>
    <w:rsid w:val="00D92FBB"/>
    <w:rsid w:val="00D93035"/>
    <w:rsid w:val="00D930ED"/>
    <w:rsid w:val="00D9320F"/>
    <w:rsid w:val="00D932AD"/>
    <w:rsid w:val="00D933F0"/>
    <w:rsid w:val="00D93598"/>
    <w:rsid w:val="00D93614"/>
    <w:rsid w:val="00D93640"/>
    <w:rsid w:val="00D93734"/>
    <w:rsid w:val="00D93789"/>
    <w:rsid w:val="00D93A02"/>
    <w:rsid w:val="00D93AD8"/>
    <w:rsid w:val="00D93C30"/>
    <w:rsid w:val="00D93E87"/>
    <w:rsid w:val="00D93EBE"/>
    <w:rsid w:val="00D93FA0"/>
    <w:rsid w:val="00D94010"/>
    <w:rsid w:val="00D9404E"/>
    <w:rsid w:val="00D94152"/>
    <w:rsid w:val="00D9417B"/>
    <w:rsid w:val="00D94398"/>
    <w:rsid w:val="00D943EF"/>
    <w:rsid w:val="00D9440A"/>
    <w:rsid w:val="00D94480"/>
    <w:rsid w:val="00D944F7"/>
    <w:rsid w:val="00D9450D"/>
    <w:rsid w:val="00D946ED"/>
    <w:rsid w:val="00D947D5"/>
    <w:rsid w:val="00D948B7"/>
    <w:rsid w:val="00D948D8"/>
    <w:rsid w:val="00D94A18"/>
    <w:rsid w:val="00D94B39"/>
    <w:rsid w:val="00D94C4B"/>
    <w:rsid w:val="00D94C59"/>
    <w:rsid w:val="00D94EC5"/>
    <w:rsid w:val="00D94F2D"/>
    <w:rsid w:val="00D94FE1"/>
    <w:rsid w:val="00D95023"/>
    <w:rsid w:val="00D950E5"/>
    <w:rsid w:val="00D95243"/>
    <w:rsid w:val="00D954D1"/>
    <w:rsid w:val="00D95583"/>
    <w:rsid w:val="00D9567B"/>
    <w:rsid w:val="00D9568B"/>
    <w:rsid w:val="00D957E3"/>
    <w:rsid w:val="00D957FE"/>
    <w:rsid w:val="00D959A1"/>
    <w:rsid w:val="00D95A5C"/>
    <w:rsid w:val="00D95B4C"/>
    <w:rsid w:val="00D95B98"/>
    <w:rsid w:val="00D95DEC"/>
    <w:rsid w:val="00D95E2A"/>
    <w:rsid w:val="00D95E56"/>
    <w:rsid w:val="00D95F05"/>
    <w:rsid w:val="00D95F2A"/>
    <w:rsid w:val="00D95F36"/>
    <w:rsid w:val="00D95FA4"/>
    <w:rsid w:val="00D95FCF"/>
    <w:rsid w:val="00D96228"/>
    <w:rsid w:val="00D962C2"/>
    <w:rsid w:val="00D962D7"/>
    <w:rsid w:val="00D96450"/>
    <w:rsid w:val="00D964DE"/>
    <w:rsid w:val="00D9652B"/>
    <w:rsid w:val="00D965D0"/>
    <w:rsid w:val="00D965D9"/>
    <w:rsid w:val="00D96700"/>
    <w:rsid w:val="00D96909"/>
    <w:rsid w:val="00D96940"/>
    <w:rsid w:val="00D96ACC"/>
    <w:rsid w:val="00D96B8B"/>
    <w:rsid w:val="00D96C19"/>
    <w:rsid w:val="00D96C54"/>
    <w:rsid w:val="00D96CBF"/>
    <w:rsid w:val="00D96D5A"/>
    <w:rsid w:val="00D96DB5"/>
    <w:rsid w:val="00D96E32"/>
    <w:rsid w:val="00D96E8E"/>
    <w:rsid w:val="00D96EC0"/>
    <w:rsid w:val="00D96EF7"/>
    <w:rsid w:val="00D96F12"/>
    <w:rsid w:val="00D97052"/>
    <w:rsid w:val="00D97092"/>
    <w:rsid w:val="00D970DF"/>
    <w:rsid w:val="00D9715B"/>
    <w:rsid w:val="00D971A2"/>
    <w:rsid w:val="00D972F5"/>
    <w:rsid w:val="00D97334"/>
    <w:rsid w:val="00D9735F"/>
    <w:rsid w:val="00D9739C"/>
    <w:rsid w:val="00D973C0"/>
    <w:rsid w:val="00D9749C"/>
    <w:rsid w:val="00D974DD"/>
    <w:rsid w:val="00D975C9"/>
    <w:rsid w:val="00D977C1"/>
    <w:rsid w:val="00D977FF"/>
    <w:rsid w:val="00D97968"/>
    <w:rsid w:val="00D97A1E"/>
    <w:rsid w:val="00D97B5A"/>
    <w:rsid w:val="00D97B5F"/>
    <w:rsid w:val="00D97C11"/>
    <w:rsid w:val="00D97C4A"/>
    <w:rsid w:val="00D97D39"/>
    <w:rsid w:val="00D97D96"/>
    <w:rsid w:val="00DA0099"/>
    <w:rsid w:val="00DA0195"/>
    <w:rsid w:val="00DA02BF"/>
    <w:rsid w:val="00DA05D4"/>
    <w:rsid w:val="00DA05D5"/>
    <w:rsid w:val="00DA0625"/>
    <w:rsid w:val="00DA062B"/>
    <w:rsid w:val="00DA07F6"/>
    <w:rsid w:val="00DA0817"/>
    <w:rsid w:val="00DA08E3"/>
    <w:rsid w:val="00DA091D"/>
    <w:rsid w:val="00DA0B29"/>
    <w:rsid w:val="00DA0CBE"/>
    <w:rsid w:val="00DA0D35"/>
    <w:rsid w:val="00DA0D8C"/>
    <w:rsid w:val="00DA0DB2"/>
    <w:rsid w:val="00DA0E74"/>
    <w:rsid w:val="00DA0E84"/>
    <w:rsid w:val="00DA0EDF"/>
    <w:rsid w:val="00DA0EE9"/>
    <w:rsid w:val="00DA0F1C"/>
    <w:rsid w:val="00DA0F92"/>
    <w:rsid w:val="00DA1081"/>
    <w:rsid w:val="00DA1176"/>
    <w:rsid w:val="00DA121E"/>
    <w:rsid w:val="00DA1289"/>
    <w:rsid w:val="00DA14B0"/>
    <w:rsid w:val="00DA155A"/>
    <w:rsid w:val="00DA16D9"/>
    <w:rsid w:val="00DA17BF"/>
    <w:rsid w:val="00DA17D7"/>
    <w:rsid w:val="00DA1947"/>
    <w:rsid w:val="00DA1960"/>
    <w:rsid w:val="00DA1A08"/>
    <w:rsid w:val="00DA1B35"/>
    <w:rsid w:val="00DA1B5A"/>
    <w:rsid w:val="00DA1B8C"/>
    <w:rsid w:val="00DA1C0A"/>
    <w:rsid w:val="00DA1D3E"/>
    <w:rsid w:val="00DA1E6E"/>
    <w:rsid w:val="00DA1F58"/>
    <w:rsid w:val="00DA2006"/>
    <w:rsid w:val="00DA200B"/>
    <w:rsid w:val="00DA2138"/>
    <w:rsid w:val="00DA225A"/>
    <w:rsid w:val="00DA236E"/>
    <w:rsid w:val="00DA2418"/>
    <w:rsid w:val="00DA2466"/>
    <w:rsid w:val="00DA24CB"/>
    <w:rsid w:val="00DA25C3"/>
    <w:rsid w:val="00DA26E2"/>
    <w:rsid w:val="00DA2872"/>
    <w:rsid w:val="00DA290B"/>
    <w:rsid w:val="00DA2980"/>
    <w:rsid w:val="00DA29C2"/>
    <w:rsid w:val="00DA2AB7"/>
    <w:rsid w:val="00DA2BC0"/>
    <w:rsid w:val="00DA2BCC"/>
    <w:rsid w:val="00DA2BCD"/>
    <w:rsid w:val="00DA2C20"/>
    <w:rsid w:val="00DA2C28"/>
    <w:rsid w:val="00DA2C4A"/>
    <w:rsid w:val="00DA2DAB"/>
    <w:rsid w:val="00DA2F1F"/>
    <w:rsid w:val="00DA2F2E"/>
    <w:rsid w:val="00DA307D"/>
    <w:rsid w:val="00DA3113"/>
    <w:rsid w:val="00DA31A6"/>
    <w:rsid w:val="00DA3200"/>
    <w:rsid w:val="00DA329E"/>
    <w:rsid w:val="00DA3437"/>
    <w:rsid w:val="00DA3687"/>
    <w:rsid w:val="00DA36AE"/>
    <w:rsid w:val="00DA376B"/>
    <w:rsid w:val="00DA3816"/>
    <w:rsid w:val="00DA382B"/>
    <w:rsid w:val="00DA3988"/>
    <w:rsid w:val="00DA3A03"/>
    <w:rsid w:val="00DA3A0C"/>
    <w:rsid w:val="00DA3C5D"/>
    <w:rsid w:val="00DA3DDB"/>
    <w:rsid w:val="00DA3E9C"/>
    <w:rsid w:val="00DA3F93"/>
    <w:rsid w:val="00DA4079"/>
    <w:rsid w:val="00DA4091"/>
    <w:rsid w:val="00DA4110"/>
    <w:rsid w:val="00DA4176"/>
    <w:rsid w:val="00DA41BE"/>
    <w:rsid w:val="00DA41C4"/>
    <w:rsid w:val="00DA420F"/>
    <w:rsid w:val="00DA442B"/>
    <w:rsid w:val="00DA4524"/>
    <w:rsid w:val="00DA4554"/>
    <w:rsid w:val="00DA461F"/>
    <w:rsid w:val="00DA46ED"/>
    <w:rsid w:val="00DA4784"/>
    <w:rsid w:val="00DA479C"/>
    <w:rsid w:val="00DA47B7"/>
    <w:rsid w:val="00DA47C3"/>
    <w:rsid w:val="00DA48B8"/>
    <w:rsid w:val="00DA48F0"/>
    <w:rsid w:val="00DA4A1B"/>
    <w:rsid w:val="00DA4B1E"/>
    <w:rsid w:val="00DA4D60"/>
    <w:rsid w:val="00DA4F8A"/>
    <w:rsid w:val="00DA4FE3"/>
    <w:rsid w:val="00DA4FEA"/>
    <w:rsid w:val="00DA52AA"/>
    <w:rsid w:val="00DA53CA"/>
    <w:rsid w:val="00DA5501"/>
    <w:rsid w:val="00DA578C"/>
    <w:rsid w:val="00DA58CA"/>
    <w:rsid w:val="00DA5B07"/>
    <w:rsid w:val="00DA5B24"/>
    <w:rsid w:val="00DA5BB1"/>
    <w:rsid w:val="00DA5C15"/>
    <w:rsid w:val="00DA5D49"/>
    <w:rsid w:val="00DA5D79"/>
    <w:rsid w:val="00DA5D8A"/>
    <w:rsid w:val="00DA5E31"/>
    <w:rsid w:val="00DA5E62"/>
    <w:rsid w:val="00DA5E97"/>
    <w:rsid w:val="00DA5F93"/>
    <w:rsid w:val="00DA6081"/>
    <w:rsid w:val="00DA6083"/>
    <w:rsid w:val="00DA6133"/>
    <w:rsid w:val="00DA61D3"/>
    <w:rsid w:val="00DA630F"/>
    <w:rsid w:val="00DA631D"/>
    <w:rsid w:val="00DA6458"/>
    <w:rsid w:val="00DA6795"/>
    <w:rsid w:val="00DA67AE"/>
    <w:rsid w:val="00DA67FC"/>
    <w:rsid w:val="00DA69AA"/>
    <w:rsid w:val="00DA6A3F"/>
    <w:rsid w:val="00DA6C07"/>
    <w:rsid w:val="00DA6C22"/>
    <w:rsid w:val="00DA6D6E"/>
    <w:rsid w:val="00DA6D75"/>
    <w:rsid w:val="00DA6D85"/>
    <w:rsid w:val="00DA6DFF"/>
    <w:rsid w:val="00DA6F48"/>
    <w:rsid w:val="00DA6F50"/>
    <w:rsid w:val="00DA7030"/>
    <w:rsid w:val="00DA705D"/>
    <w:rsid w:val="00DA707D"/>
    <w:rsid w:val="00DA7090"/>
    <w:rsid w:val="00DA70C6"/>
    <w:rsid w:val="00DA7170"/>
    <w:rsid w:val="00DA72B1"/>
    <w:rsid w:val="00DA730E"/>
    <w:rsid w:val="00DA73C6"/>
    <w:rsid w:val="00DA7577"/>
    <w:rsid w:val="00DA763D"/>
    <w:rsid w:val="00DA785F"/>
    <w:rsid w:val="00DA78B8"/>
    <w:rsid w:val="00DA793F"/>
    <w:rsid w:val="00DA7945"/>
    <w:rsid w:val="00DA7CBF"/>
    <w:rsid w:val="00DA7DEB"/>
    <w:rsid w:val="00DB00EC"/>
    <w:rsid w:val="00DB01D6"/>
    <w:rsid w:val="00DB0242"/>
    <w:rsid w:val="00DB028C"/>
    <w:rsid w:val="00DB02A5"/>
    <w:rsid w:val="00DB0315"/>
    <w:rsid w:val="00DB04A7"/>
    <w:rsid w:val="00DB05D5"/>
    <w:rsid w:val="00DB05FF"/>
    <w:rsid w:val="00DB090C"/>
    <w:rsid w:val="00DB0B14"/>
    <w:rsid w:val="00DB0B73"/>
    <w:rsid w:val="00DB0BDA"/>
    <w:rsid w:val="00DB0D3C"/>
    <w:rsid w:val="00DB0D58"/>
    <w:rsid w:val="00DB0DA1"/>
    <w:rsid w:val="00DB0E6A"/>
    <w:rsid w:val="00DB0E6C"/>
    <w:rsid w:val="00DB0F18"/>
    <w:rsid w:val="00DB1053"/>
    <w:rsid w:val="00DB1117"/>
    <w:rsid w:val="00DB1140"/>
    <w:rsid w:val="00DB12BE"/>
    <w:rsid w:val="00DB1360"/>
    <w:rsid w:val="00DB13DC"/>
    <w:rsid w:val="00DB13F0"/>
    <w:rsid w:val="00DB14BA"/>
    <w:rsid w:val="00DB15FE"/>
    <w:rsid w:val="00DB1741"/>
    <w:rsid w:val="00DB18B8"/>
    <w:rsid w:val="00DB18D4"/>
    <w:rsid w:val="00DB1A36"/>
    <w:rsid w:val="00DB1AD8"/>
    <w:rsid w:val="00DB1BFA"/>
    <w:rsid w:val="00DB1C1A"/>
    <w:rsid w:val="00DB1C47"/>
    <w:rsid w:val="00DB1DCD"/>
    <w:rsid w:val="00DB1F24"/>
    <w:rsid w:val="00DB2055"/>
    <w:rsid w:val="00DB21F2"/>
    <w:rsid w:val="00DB228C"/>
    <w:rsid w:val="00DB22C9"/>
    <w:rsid w:val="00DB22E2"/>
    <w:rsid w:val="00DB2427"/>
    <w:rsid w:val="00DB2462"/>
    <w:rsid w:val="00DB2655"/>
    <w:rsid w:val="00DB265B"/>
    <w:rsid w:val="00DB29C5"/>
    <w:rsid w:val="00DB29F4"/>
    <w:rsid w:val="00DB2A01"/>
    <w:rsid w:val="00DB2BD3"/>
    <w:rsid w:val="00DB2D1B"/>
    <w:rsid w:val="00DB2E3A"/>
    <w:rsid w:val="00DB2EDB"/>
    <w:rsid w:val="00DB2F46"/>
    <w:rsid w:val="00DB2F82"/>
    <w:rsid w:val="00DB308B"/>
    <w:rsid w:val="00DB31CB"/>
    <w:rsid w:val="00DB3245"/>
    <w:rsid w:val="00DB3302"/>
    <w:rsid w:val="00DB3306"/>
    <w:rsid w:val="00DB33CF"/>
    <w:rsid w:val="00DB34F6"/>
    <w:rsid w:val="00DB358B"/>
    <w:rsid w:val="00DB364C"/>
    <w:rsid w:val="00DB37EC"/>
    <w:rsid w:val="00DB38D9"/>
    <w:rsid w:val="00DB391E"/>
    <w:rsid w:val="00DB395C"/>
    <w:rsid w:val="00DB3A02"/>
    <w:rsid w:val="00DB3A1A"/>
    <w:rsid w:val="00DB3AA0"/>
    <w:rsid w:val="00DB3BAB"/>
    <w:rsid w:val="00DB3BC5"/>
    <w:rsid w:val="00DB3CD4"/>
    <w:rsid w:val="00DB3EB2"/>
    <w:rsid w:val="00DB3F5B"/>
    <w:rsid w:val="00DB41FD"/>
    <w:rsid w:val="00DB4311"/>
    <w:rsid w:val="00DB4334"/>
    <w:rsid w:val="00DB4390"/>
    <w:rsid w:val="00DB44CA"/>
    <w:rsid w:val="00DB44EA"/>
    <w:rsid w:val="00DB45EF"/>
    <w:rsid w:val="00DB4734"/>
    <w:rsid w:val="00DB48D3"/>
    <w:rsid w:val="00DB4934"/>
    <w:rsid w:val="00DB4940"/>
    <w:rsid w:val="00DB4B60"/>
    <w:rsid w:val="00DB4C9E"/>
    <w:rsid w:val="00DB4CF3"/>
    <w:rsid w:val="00DB4DA1"/>
    <w:rsid w:val="00DB4EEC"/>
    <w:rsid w:val="00DB4EEF"/>
    <w:rsid w:val="00DB4F5B"/>
    <w:rsid w:val="00DB50BC"/>
    <w:rsid w:val="00DB50E0"/>
    <w:rsid w:val="00DB52C7"/>
    <w:rsid w:val="00DB52E7"/>
    <w:rsid w:val="00DB52F7"/>
    <w:rsid w:val="00DB532F"/>
    <w:rsid w:val="00DB53A4"/>
    <w:rsid w:val="00DB5582"/>
    <w:rsid w:val="00DB5622"/>
    <w:rsid w:val="00DB5873"/>
    <w:rsid w:val="00DB59DD"/>
    <w:rsid w:val="00DB59EB"/>
    <w:rsid w:val="00DB5A0F"/>
    <w:rsid w:val="00DB5A67"/>
    <w:rsid w:val="00DB5B02"/>
    <w:rsid w:val="00DB5B5A"/>
    <w:rsid w:val="00DB5C72"/>
    <w:rsid w:val="00DB5D98"/>
    <w:rsid w:val="00DB5E61"/>
    <w:rsid w:val="00DB5E62"/>
    <w:rsid w:val="00DB5F1A"/>
    <w:rsid w:val="00DB5F23"/>
    <w:rsid w:val="00DB5F90"/>
    <w:rsid w:val="00DB5FF9"/>
    <w:rsid w:val="00DB606E"/>
    <w:rsid w:val="00DB60ED"/>
    <w:rsid w:val="00DB6101"/>
    <w:rsid w:val="00DB6132"/>
    <w:rsid w:val="00DB6135"/>
    <w:rsid w:val="00DB62C4"/>
    <w:rsid w:val="00DB638A"/>
    <w:rsid w:val="00DB640D"/>
    <w:rsid w:val="00DB6437"/>
    <w:rsid w:val="00DB64DC"/>
    <w:rsid w:val="00DB6534"/>
    <w:rsid w:val="00DB66EB"/>
    <w:rsid w:val="00DB6741"/>
    <w:rsid w:val="00DB6774"/>
    <w:rsid w:val="00DB682D"/>
    <w:rsid w:val="00DB6890"/>
    <w:rsid w:val="00DB6897"/>
    <w:rsid w:val="00DB68C5"/>
    <w:rsid w:val="00DB68FC"/>
    <w:rsid w:val="00DB6949"/>
    <w:rsid w:val="00DB6958"/>
    <w:rsid w:val="00DB69A5"/>
    <w:rsid w:val="00DB6A7B"/>
    <w:rsid w:val="00DB6B2D"/>
    <w:rsid w:val="00DB6BB3"/>
    <w:rsid w:val="00DB6BE4"/>
    <w:rsid w:val="00DB6BEA"/>
    <w:rsid w:val="00DB6C76"/>
    <w:rsid w:val="00DB6C79"/>
    <w:rsid w:val="00DB6E2E"/>
    <w:rsid w:val="00DB6F25"/>
    <w:rsid w:val="00DB6F90"/>
    <w:rsid w:val="00DB6FF0"/>
    <w:rsid w:val="00DB70C8"/>
    <w:rsid w:val="00DB7277"/>
    <w:rsid w:val="00DB72C0"/>
    <w:rsid w:val="00DB7519"/>
    <w:rsid w:val="00DB75A0"/>
    <w:rsid w:val="00DB76B1"/>
    <w:rsid w:val="00DB7746"/>
    <w:rsid w:val="00DB774E"/>
    <w:rsid w:val="00DB7794"/>
    <w:rsid w:val="00DB7848"/>
    <w:rsid w:val="00DB7B37"/>
    <w:rsid w:val="00DB7C04"/>
    <w:rsid w:val="00DB7CF2"/>
    <w:rsid w:val="00DB7DF4"/>
    <w:rsid w:val="00DB7EA7"/>
    <w:rsid w:val="00DB7EEF"/>
    <w:rsid w:val="00DC0034"/>
    <w:rsid w:val="00DC01C2"/>
    <w:rsid w:val="00DC0204"/>
    <w:rsid w:val="00DC030F"/>
    <w:rsid w:val="00DC037B"/>
    <w:rsid w:val="00DC0391"/>
    <w:rsid w:val="00DC0507"/>
    <w:rsid w:val="00DC054F"/>
    <w:rsid w:val="00DC05DF"/>
    <w:rsid w:val="00DC0694"/>
    <w:rsid w:val="00DC06C8"/>
    <w:rsid w:val="00DC0929"/>
    <w:rsid w:val="00DC0968"/>
    <w:rsid w:val="00DC098F"/>
    <w:rsid w:val="00DC0A20"/>
    <w:rsid w:val="00DC0A3B"/>
    <w:rsid w:val="00DC0CED"/>
    <w:rsid w:val="00DC0DAC"/>
    <w:rsid w:val="00DC0DBA"/>
    <w:rsid w:val="00DC0DBF"/>
    <w:rsid w:val="00DC0DC5"/>
    <w:rsid w:val="00DC0E05"/>
    <w:rsid w:val="00DC0FDE"/>
    <w:rsid w:val="00DC0FF4"/>
    <w:rsid w:val="00DC102C"/>
    <w:rsid w:val="00DC109C"/>
    <w:rsid w:val="00DC135C"/>
    <w:rsid w:val="00DC13CB"/>
    <w:rsid w:val="00DC13DD"/>
    <w:rsid w:val="00DC1469"/>
    <w:rsid w:val="00DC15B3"/>
    <w:rsid w:val="00DC16A6"/>
    <w:rsid w:val="00DC16D6"/>
    <w:rsid w:val="00DC1768"/>
    <w:rsid w:val="00DC17AF"/>
    <w:rsid w:val="00DC18A9"/>
    <w:rsid w:val="00DC1A09"/>
    <w:rsid w:val="00DC1A58"/>
    <w:rsid w:val="00DC1ADF"/>
    <w:rsid w:val="00DC1C71"/>
    <w:rsid w:val="00DC1CEA"/>
    <w:rsid w:val="00DC1DAA"/>
    <w:rsid w:val="00DC1F12"/>
    <w:rsid w:val="00DC2005"/>
    <w:rsid w:val="00DC2082"/>
    <w:rsid w:val="00DC2167"/>
    <w:rsid w:val="00DC228C"/>
    <w:rsid w:val="00DC231C"/>
    <w:rsid w:val="00DC2376"/>
    <w:rsid w:val="00DC23B4"/>
    <w:rsid w:val="00DC266D"/>
    <w:rsid w:val="00DC283F"/>
    <w:rsid w:val="00DC2874"/>
    <w:rsid w:val="00DC2939"/>
    <w:rsid w:val="00DC2A41"/>
    <w:rsid w:val="00DC2A43"/>
    <w:rsid w:val="00DC2AE5"/>
    <w:rsid w:val="00DC2B68"/>
    <w:rsid w:val="00DC2C15"/>
    <w:rsid w:val="00DC2C4B"/>
    <w:rsid w:val="00DC2D2E"/>
    <w:rsid w:val="00DC2DC1"/>
    <w:rsid w:val="00DC2DD7"/>
    <w:rsid w:val="00DC2EEC"/>
    <w:rsid w:val="00DC2FE7"/>
    <w:rsid w:val="00DC305D"/>
    <w:rsid w:val="00DC30FE"/>
    <w:rsid w:val="00DC321D"/>
    <w:rsid w:val="00DC32C0"/>
    <w:rsid w:val="00DC339C"/>
    <w:rsid w:val="00DC33C6"/>
    <w:rsid w:val="00DC3455"/>
    <w:rsid w:val="00DC3520"/>
    <w:rsid w:val="00DC36D5"/>
    <w:rsid w:val="00DC3723"/>
    <w:rsid w:val="00DC37F7"/>
    <w:rsid w:val="00DC37FC"/>
    <w:rsid w:val="00DC394E"/>
    <w:rsid w:val="00DC39AB"/>
    <w:rsid w:val="00DC3A2B"/>
    <w:rsid w:val="00DC3B25"/>
    <w:rsid w:val="00DC3D4A"/>
    <w:rsid w:val="00DC401B"/>
    <w:rsid w:val="00DC4137"/>
    <w:rsid w:val="00DC41D6"/>
    <w:rsid w:val="00DC41DF"/>
    <w:rsid w:val="00DC422B"/>
    <w:rsid w:val="00DC4464"/>
    <w:rsid w:val="00DC44E9"/>
    <w:rsid w:val="00DC4516"/>
    <w:rsid w:val="00DC456C"/>
    <w:rsid w:val="00DC45F7"/>
    <w:rsid w:val="00DC4689"/>
    <w:rsid w:val="00DC468E"/>
    <w:rsid w:val="00DC478B"/>
    <w:rsid w:val="00DC4842"/>
    <w:rsid w:val="00DC487C"/>
    <w:rsid w:val="00DC495B"/>
    <w:rsid w:val="00DC49C9"/>
    <w:rsid w:val="00DC4B12"/>
    <w:rsid w:val="00DC4BD0"/>
    <w:rsid w:val="00DC4DD7"/>
    <w:rsid w:val="00DC4E12"/>
    <w:rsid w:val="00DC4E1D"/>
    <w:rsid w:val="00DC4E56"/>
    <w:rsid w:val="00DC4E61"/>
    <w:rsid w:val="00DC4F28"/>
    <w:rsid w:val="00DC5092"/>
    <w:rsid w:val="00DC512A"/>
    <w:rsid w:val="00DC5186"/>
    <w:rsid w:val="00DC5191"/>
    <w:rsid w:val="00DC5196"/>
    <w:rsid w:val="00DC52AD"/>
    <w:rsid w:val="00DC5417"/>
    <w:rsid w:val="00DC547C"/>
    <w:rsid w:val="00DC55A5"/>
    <w:rsid w:val="00DC5648"/>
    <w:rsid w:val="00DC566C"/>
    <w:rsid w:val="00DC56A2"/>
    <w:rsid w:val="00DC58A0"/>
    <w:rsid w:val="00DC597E"/>
    <w:rsid w:val="00DC5992"/>
    <w:rsid w:val="00DC59D7"/>
    <w:rsid w:val="00DC5A1E"/>
    <w:rsid w:val="00DC5AFA"/>
    <w:rsid w:val="00DC5C09"/>
    <w:rsid w:val="00DC5C2F"/>
    <w:rsid w:val="00DC5C55"/>
    <w:rsid w:val="00DC5EDC"/>
    <w:rsid w:val="00DC5F39"/>
    <w:rsid w:val="00DC5F3C"/>
    <w:rsid w:val="00DC5F74"/>
    <w:rsid w:val="00DC6016"/>
    <w:rsid w:val="00DC6063"/>
    <w:rsid w:val="00DC60CC"/>
    <w:rsid w:val="00DC60FA"/>
    <w:rsid w:val="00DC61EE"/>
    <w:rsid w:val="00DC6304"/>
    <w:rsid w:val="00DC6309"/>
    <w:rsid w:val="00DC639D"/>
    <w:rsid w:val="00DC66EB"/>
    <w:rsid w:val="00DC672A"/>
    <w:rsid w:val="00DC685E"/>
    <w:rsid w:val="00DC68DB"/>
    <w:rsid w:val="00DC68E6"/>
    <w:rsid w:val="00DC693A"/>
    <w:rsid w:val="00DC6962"/>
    <w:rsid w:val="00DC6B8A"/>
    <w:rsid w:val="00DC6DF6"/>
    <w:rsid w:val="00DC6E57"/>
    <w:rsid w:val="00DC6EFF"/>
    <w:rsid w:val="00DC6F75"/>
    <w:rsid w:val="00DC6F89"/>
    <w:rsid w:val="00DC6F8E"/>
    <w:rsid w:val="00DC6F95"/>
    <w:rsid w:val="00DC702E"/>
    <w:rsid w:val="00DC7117"/>
    <w:rsid w:val="00DC713E"/>
    <w:rsid w:val="00DC71F8"/>
    <w:rsid w:val="00DC74DD"/>
    <w:rsid w:val="00DC753A"/>
    <w:rsid w:val="00DC75FF"/>
    <w:rsid w:val="00DC7688"/>
    <w:rsid w:val="00DC7842"/>
    <w:rsid w:val="00DC7A99"/>
    <w:rsid w:val="00DC7AAF"/>
    <w:rsid w:val="00DC7B67"/>
    <w:rsid w:val="00DC7BCB"/>
    <w:rsid w:val="00DC7C96"/>
    <w:rsid w:val="00DC7D25"/>
    <w:rsid w:val="00DC7D2A"/>
    <w:rsid w:val="00DC7D70"/>
    <w:rsid w:val="00DC7DAB"/>
    <w:rsid w:val="00DC7DEF"/>
    <w:rsid w:val="00DD0067"/>
    <w:rsid w:val="00DD0183"/>
    <w:rsid w:val="00DD0189"/>
    <w:rsid w:val="00DD025F"/>
    <w:rsid w:val="00DD0285"/>
    <w:rsid w:val="00DD032D"/>
    <w:rsid w:val="00DD03CE"/>
    <w:rsid w:val="00DD07D2"/>
    <w:rsid w:val="00DD0862"/>
    <w:rsid w:val="00DD0909"/>
    <w:rsid w:val="00DD09A2"/>
    <w:rsid w:val="00DD09CA"/>
    <w:rsid w:val="00DD0C81"/>
    <w:rsid w:val="00DD0CAA"/>
    <w:rsid w:val="00DD0D13"/>
    <w:rsid w:val="00DD0D4B"/>
    <w:rsid w:val="00DD0E12"/>
    <w:rsid w:val="00DD0E95"/>
    <w:rsid w:val="00DD0EBB"/>
    <w:rsid w:val="00DD0F39"/>
    <w:rsid w:val="00DD1033"/>
    <w:rsid w:val="00DD10E7"/>
    <w:rsid w:val="00DD111C"/>
    <w:rsid w:val="00DD114B"/>
    <w:rsid w:val="00DD119D"/>
    <w:rsid w:val="00DD1252"/>
    <w:rsid w:val="00DD126C"/>
    <w:rsid w:val="00DD1303"/>
    <w:rsid w:val="00DD14E1"/>
    <w:rsid w:val="00DD1570"/>
    <w:rsid w:val="00DD171E"/>
    <w:rsid w:val="00DD1830"/>
    <w:rsid w:val="00DD18C1"/>
    <w:rsid w:val="00DD1B6E"/>
    <w:rsid w:val="00DD1B8B"/>
    <w:rsid w:val="00DD1D9A"/>
    <w:rsid w:val="00DD1F56"/>
    <w:rsid w:val="00DD1FBE"/>
    <w:rsid w:val="00DD205A"/>
    <w:rsid w:val="00DD20B3"/>
    <w:rsid w:val="00DD21E3"/>
    <w:rsid w:val="00DD2253"/>
    <w:rsid w:val="00DD225E"/>
    <w:rsid w:val="00DD2289"/>
    <w:rsid w:val="00DD234F"/>
    <w:rsid w:val="00DD239F"/>
    <w:rsid w:val="00DD23D5"/>
    <w:rsid w:val="00DD2451"/>
    <w:rsid w:val="00DD2649"/>
    <w:rsid w:val="00DD27A5"/>
    <w:rsid w:val="00DD2880"/>
    <w:rsid w:val="00DD2B10"/>
    <w:rsid w:val="00DD2B26"/>
    <w:rsid w:val="00DD2C57"/>
    <w:rsid w:val="00DD2DBB"/>
    <w:rsid w:val="00DD2EFC"/>
    <w:rsid w:val="00DD2F43"/>
    <w:rsid w:val="00DD2F6F"/>
    <w:rsid w:val="00DD2FEC"/>
    <w:rsid w:val="00DD3030"/>
    <w:rsid w:val="00DD30E1"/>
    <w:rsid w:val="00DD3191"/>
    <w:rsid w:val="00DD31E5"/>
    <w:rsid w:val="00DD3296"/>
    <w:rsid w:val="00DD32DC"/>
    <w:rsid w:val="00DD3356"/>
    <w:rsid w:val="00DD33C1"/>
    <w:rsid w:val="00DD353D"/>
    <w:rsid w:val="00DD35A2"/>
    <w:rsid w:val="00DD3650"/>
    <w:rsid w:val="00DD36F2"/>
    <w:rsid w:val="00DD377E"/>
    <w:rsid w:val="00DD380A"/>
    <w:rsid w:val="00DD3868"/>
    <w:rsid w:val="00DD3907"/>
    <w:rsid w:val="00DD395B"/>
    <w:rsid w:val="00DD39A7"/>
    <w:rsid w:val="00DD3C11"/>
    <w:rsid w:val="00DD3C32"/>
    <w:rsid w:val="00DD3ED7"/>
    <w:rsid w:val="00DD3EF7"/>
    <w:rsid w:val="00DD4162"/>
    <w:rsid w:val="00DD4178"/>
    <w:rsid w:val="00DD4181"/>
    <w:rsid w:val="00DD41EF"/>
    <w:rsid w:val="00DD43BA"/>
    <w:rsid w:val="00DD443E"/>
    <w:rsid w:val="00DD4447"/>
    <w:rsid w:val="00DD4622"/>
    <w:rsid w:val="00DD468D"/>
    <w:rsid w:val="00DD46AB"/>
    <w:rsid w:val="00DD487F"/>
    <w:rsid w:val="00DD48F8"/>
    <w:rsid w:val="00DD4A69"/>
    <w:rsid w:val="00DD4B27"/>
    <w:rsid w:val="00DD4B2D"/>
    <w:rsid w:val="00DD4D46"/>
    <w:rsid w:val="00DD4DFD"/>
    <w:rsid w:val="00DD4F62"/>
    <w:rsid w:val="00DD5087"/>
    <w:rsid w:val="00DD512C"/>
    <w:rsid w:val="00DD519E"/>
    <w:rsid w:val="00DD52B3"/>
    <w:rsid w:val="00DD5489"/>
    <w:rsid w:val="00DD55DC"/>
    <w:rsid w:val="00DD5610"/>
    <w:rsid w:val="00DD5666"/>
    <w:rsid w:val="00DD5717"/>
    <w:rsid w:val="00DD572B"/>
    <w:rsid w:val="00DD587A"/>
    <w:rsid w:val="00DD588F"/>
    <w:rsid w:val="00DD598F"/>
    <w:rsid w:val="00DD59E1"/>
    <w:rsid w:val="00DD5A72"/>
    <w:rsid w:val="00DD5B83"/>
    <w:rsid w:val="00DD5DC2"/>
    <w:rsid w:val="00DD5EA4"/>
    <w:rsid w:val="00DD5EAD"/>
    <w:rsid w:val="00DD5F4E"/>
    <w:rsid w:val="00DD601B"/>
    <w:rsid w:val="00DD602B"/>
    <w:rsid w:val="00DD60FE"/>
    <w:rsid w:val="00DD616A"/>
    <w:rsid w:val="00DD618A"/>
    <w:rsid w:val="00DD61A0"/>
    <w:rsid w:val="00DD6283"/>
    <w:rsid w:val="00DD6293"/>
    <w:rsid w:val="00DD6318"/>
    <w:rsid w:val="00DD6455"/>
    <w:rsid w:val="00DD67AC"/>
    <w:rsid w:val="00DD69CE"/>
    <w:rsid w:val="00DD6B2D"/>
    <w:rsid w:val="00DD6B71"/>
    <w:rsid w:val="00DD6BB4"/>
    <w:rsid w:val="00DD6D2D"/>
    <w:rsid w:val="00DD6FDF"/>
    <w:rsid w:val="00DD7008"/>
    <w:rsid w:val="00DD7017"/>
    <w:rsid w:val="00DD7106"/>
    <w:rsid w:val="00DD71A9"/>
    <w:rsid w:val="00DD728A"/>
    <w:rsid w:val="00DD73C5"/>
    <w:rsid w:val="00DD7439"/>
    <w:rsid w:val="00DD755C"/>
    <w:rsid w:val="00DD765B"/>
    <w:rsid w:val="00DD772D"/>
    <w:rsid w:val="00DD776E"/>
    <w:rsid w:val="00DD77B7"/>
    <w:rsid w:val="00DD77E1"/>
    <w:rsid w:val="00DD7814"/>
    <w:rsid w:val="00DD784F"/>
    <w:rsid w:val="00DD785A"/>
    <w:rsid w:val="00DD78E7"/>
    <w:rsid w:val="00DD797A"/>
    <w:rsid w:val="00DD7A5D"/>
    <w:rsid w:val="00DD7AFC"/>
    <w:rsid w:val="00DD7B1B"/>
    <w:rsid w:val="00DD7DA0"/>
    <w:rsid w:val="00DD7E9F"/>
    <w:rsid w:val="00DE002F"/>
    <w:rsid w:val="00DE006A"/>
    <w:rsid w:val="00DE0242"/>
    <w:rsid w:val="00DE055A"/>
    <w:rsid w:val="00DE0585"/>
    <w:rsid w:val="00DE0597"/>
    <w:rsid w:val="00DE05E4"/>
    <w:rsid w:val="00DE0783"/>
    <w:rsid w:val="00DE07E0"/>
    <w:rsid w:val="00DE07F0"/>
    <w:rsid w:val="00DE07F8"/>
    <w:rsid w:val="00DE085F"/>
    <w:rsid w:val="00DE0C05"/>
    <w:rsid w:val="00DE0C77"/>
    <w:rsid w:val="00DE0E27"/>
    <w:rsid w:val="00DE0F74"/>
    <w:rsid w:val="00DE10DC"/>
    <w:rsid w:val="00DE1185"/>
    <w:rsid w:val="00DE1198"/>
    <w:rsid w:val="00DE11CA"/>
    <w:rsid w:val="00DE1224"/>
    <w:rsid w:val="00DE126D"/>
    <w:rsid w:val="00DE13BB"/>
    <w:rsid w:val="00DE1423"/>
    <w:rsid w:val="00DE1499"/>
    <w:rsid w:val="00DE15C3"/>
    <w:rsid w:val="00DE16E5"/>
    <w:rsid w:val="00DE1988"/>
    <w:rsid w:val="00DE1A4D"/>
    <w:rsid w:val="00DE1A97"/>
    <w:rsid w:val="00DE1AC2"/>
    <w:rsid w:val="00DE1B83"/>
    <w:rsid w:val="00DE1B98"/>
    <w:rsid w:val="00DE1C64"/>
    <w:rsid w:val="00DE1FFD"/>
    <w:rsid w:val="00DE20C4"/>
    <w:rsid w:val="00DE20E1"/>
    <w:rsid w:val="00DE2111"/>
    <w:rsid w:val="00DE21F0"/>
    <w:rsid w:val="00DE22F4"/>
    <w:rsid w:val="00DE247F"/>
    <w:rsid w:val="00DE2485"/>
    <w:rsid w:val="00DE24C5"/>
    <w:rsid w:val="00DE25D3"/>
    <w:rsid w:val="00DE278B"/>
    <w:rsid w:val="00DE27C0"/>
    <w:rsid w:val="00DE27E0"/>
    <w:rsid w:val="00DE28A9"/>
    <w:rsid w:val="00DE29EC"/>
    <w:rsid w:val="00DE2A10"/>
    <w:rsid w:val="00DE2A58"/>
    <w:rsid w:val="00DE2ABA"/>
    <w:rsid w:val="00DE2B98"/>
    <w:rsid w:val="00DE2D0A"/>
    <w:rsid w:val="00DE2D32"/>
    <w:rsid w:val="00DE2E8F"/>
    <w:rsid w:val="00DE2F21"/>
    <w:rsid w:val="00DE2F7F"/>
    <w:rsid w:val="00DE2F81"/>
    <w:rsid w:val="00DE2FCA"/>
    <w:rsid w:val="00DE2FCC"/>
    <w:rsid w:val="00DE3148"/>
    <w:rsid w:val="00DE3155"/>
    <w:rsid w:val="00DE3471"/>
    <w:rsid w:val="00DE35F6"/>
    <w:rsid w:val="00DE375A"/>
    <w:rsid w:val="00DE379D"/>
    <w:rsid w:val="00DE37C4"/>
    <w:rsid w:val="00DE397B"/>
    <w:rsid w:val="00DE3BA2"/>
    <w:rsid w:val="00DE3C2D"/>
    <w:rsid w:val="00DE3CF9"/>
    <w:rsid w:val="00DE3D77"/>
    <w:rsid w:val="00DE3D99"/>
    <w:rsid w:val="00DE3E40"/>
    <w:rsid w:val="00DE3EB3"/>
    <w:rsid w:val="00DE3F0F"/>
    <w:rsid w:val="00DE4178"/>
    <w:rsid w:val="00DE428E"/>
    <w:rsid w:val="00DE43B5"/>
    <w:rsid w:val="00DE4406"/>
    <w:rsid w:val="00DE4410"/>
    <w:rsid w:val="00DE4479"/>
    <w:rsid w:val="00DE4485"/>
    <w:rsid w:val="00DE44AA"/>
    <w:rsid w:val="00DE465A"/>
    <w:rsid w:val="00DE46D9"/>
    <w:rsid w:val="00DE46E0"/>
    <w:rsid w:val="00DE478A"/>
    <w:rsid w:val="00DE47AF"/>
    <w:rsid w:val="00DE48BE"/>
    <w:rsid w:val="00DE4979"/>
    <w:rsid w:val="00DE4986"/>
    <w:rsid w:val="00DE49BC"/>
    <w:rsid w:val="00DE4AC8"/>
    <w:rsid w:val="00DE4BDC"/>
    <w:rsid w:val="00DE4C2C"/>
    <w:rsid w:val="00DE4D07"/>
    <w:rsid w:val="00DE4E63"/>
    <w:rsid w:val="00DE4F33"/>
    <w:rsid w:val="00DE4FF9"/>
    <w:rsid w:val="00DE50D1"/>
    <w:rsid w:val="00DE5246"/>
    <w:rsid w:val="00DE52FB"/>
    <w:rsid w:val="00DE536A"/>
    <w:rsid w:val="00DE544C"/>
    <w:rsid w:val="00DE5472"/>
    <w:rsid w:val="00DE5508"/>
    <w:rsid w:val="00DE562C"/>
    <w:rsid w:val="00DE5673"/>
    <w:rsid w:val="00DE5757"/>
    <w:rsid w:val="00DE576A"/>
    <w:rsid w:val="00DE5893"/>
    <w:rsid w:val="00DE58D8"/>
    <w:rsid w:val="00DE5A6B"/>
    <w:rsid w:val="00DE5A71"/>
    <w:rsid w:val="00DE5C70"/>
    <w:rsid w:val="00DE5D07"/>
    <w:rsid w:val="00DE5D39"/>
    <w:rsid w:val="00DE5D3C"/>
    <w:rsid w:val="00DE5E62"/>
    <w:rsid w:val="00DE5EE5"/>
    <w:rsid w:val="00DE6014"/>
    <w:rsid w:val="00DE6060"/>
    <w:rsid w:val="00DE6137"/>
    <w:rsid w:val="00DE637A"/>
    <w:rsid w:val="00DE6546"/>
    <w:rsid w:val="00DE65C6"/>
    <w:rsid w:val="00DE6728"/>
    <w:rsid w:val="00DE6829"/>
    <w:rsid w:val="00DE69A5"/>
    <w:rsid w:val="00DE6A93"/>
    <w:rsid w:val="00DE6A94"/>
    <w:rsid w:val="00DE6AA4"/>
    <w:rsid w:val="00DE6B39"/>
    <w:rsid w:val="00DE6BD0"/>
    <w:rsid w:val="00DE6D9A"/>
    <w:rsid w:val="00DE6E21"/>
    <w:rsid w:val="00DE6F6C"/>
    <w:rsid w:val="00DE70DA"/>
    <w:rsid w:val="00DE7157"/>
    <w:rsid w:val="00DE719B"/>
    <w:rsid w:val="00DE735D"/>
    <w:rsid w:val="00DE736C"/>
    <w:rsid w:val="00DE7518"/>
    <w:rsid w:val="00DE75F2"/>
    <w:rsid w:val="00DE7685"/>
    <w:rsid w:val="00DE76A7"/>
    <w:rsid w:val="00DE7852"/>
    <w:rsid w:val="00DE78A1"/>
    <w:rsid w:val="00DE799C"/>
    <w:rsid w:val="00DE7AA5"/>
    <w:rsid w:val="00DE7C55"/>
    <w:rsid w:val="00DE7D80"/>
    <w:rsid w:val="00DE7D90"/>
    <w:rsid w:val="00DE7DEB"/>
    <w:rsid w:val="00DE7FF7"/>
    <w:rsid w:val="00DF012D"/>
    <w:rsid w:val="00DF04C6"/>
    <w:rsid w:val="00DF04E5"/>
    <w:rsid w:val="00DF04E9"/>
    <w:rsid w:val="00DF05BE"/>
    <w:rsid w:val="00DF05C6"/>
    <w:rsid w:val="00DF0613"/>
    <w:rsid w:val="00DF0700"/>
    <w:rsid w:val="00DF0727"/>
    <w:rsid w:val="00DF07A9"/>
    <w:rsid w:val="00DF0918"/>
    <w:rsid w:val="00DF0A8C"/>
    <w:rsid w:val="00DF0B05"/>
    <w:rsid w:val="00DF0BDF"/>
    <w:rsid w:val="00DF0BE1"/>
    <w:rsid w:val="00DF0C62"/>
    <w:rsid w:val="00DF0C84"/>
    <w:rsid w:val="00DF0D39"/>
    <w:rsid w:val="00DF1017"/>
    <w:rsid w:val="00DF1023"/>
    <w:rsid w:val="00DF11A0"/>
    <w:rsid w:val="00DF13AE"/>
    <w:rsid w:val="00DF1470"/>
    <w:rsid w:val="00DF1617"/>
    <w:rsid w:val="00DF1688"/>
    <w:rsid w:val="00DF169D"/>
    <w:rsid w:val="00DF16B1"/>
    <w:rsid w:val="00DF188F"/>
    <w:rsid w:val="00DF19F9"/>
    <w:rsid w:val="00DF19FC"/>
    <w:rsid w:val="00DF1A61"/>
    <w:rsid w:val="00DF1A76"/>
    <w:rsid w:val="00DF1A89"/>
    <w:rsid w:val="00DF1A97"/>
    <w:rsid w:val="00DF1AE4"/>
    <w:rsid w:val="00DF1CB0"/>
    <w:rsid w:val="00DF1D1B"/>
    <w:rsid w:val="00DF1D46"/>
    <w:rsid w:val="00DF1D4D"/>
    <w:rsid w:val="00DF1DAA"/>
    <w:rsid w:val="00DF1F30"/>
    <w:rsid w:val="00DF200F"/>
    <w:rsid w:val="00DF2058"/>
    <w:rsid w:val="00DF20AA"/>
    <w:rsid w:val="00DF20F5"/>
    <w:rsid w:val="00DF20FA"/>
    <w:rsid w:val="00DF2188"/>
    <w:rsid w:val="00DF2264"/>
    <w:rsid w:val="00DF232D"/>
    <w:rsid w:val="00DF23A0"/>
    <w:rsid w:val="00DF240A"/>
    <w:rsid w:val="00DF2474"/>
    <w:rsid w:val="00DF2943"/>
    <w:rsid w:val="00DF2A2C"/>
    <w:rsid w:val="00DF2B28"/>
    <w:rsid w:val="00DF2C82"/>
    <w:rsid w:val="00DF2E21"/>
    <w:rsid w:val="00DF3078"/>
    <w:rsid w:val="00DF31D6"/>
    <w:rsid w:val="00DF320F"/>
    <w:rsid w:val="00DF3220"/>
    <w:rsid w:val="00DF32BA"/>
    <w:rsid w:val="00DF3462"/>
    <w:rsid w:val="00DF3478"/>
    <w:rsid w:val="00DF34D7"/>
    <w:rsid w:val="00DF3565"/>
    <w:rsid w:val="00DF3571"/>
    <w:rsid w:val="00DF366C"/>
    <w:rsid w:val="00DF3671"/>
    <w:rsid w:val="00DF37F5"/>
    <w:rsid w:val="00DF3883"/>
    <w:rsid w:val="00DF3896"/>
    <w:rsid w:val="00DF3933"/>
    <w:rsid w:val="00DF3B53"/>
    <w:rsid w:val="00DF3BEB"/>
    <w:rsid w:val="00DF3D5E"/>
    <w:rsid w:val="00DF3DFB"/>
    <w:rsid w:val="00DF3E1C"/>
    <w:rsid w:val="00DF3E50"/>
    <w:rsid w:val="00DF3F6A"/>
    <w:rsid w:val="00DF3FF7"/>
    <w:rsid w:val="00DF3FFE"/>
    <w:rsid w:val="00DF405F"/>
    <w:rsid w:val="00DF4186"/>
    <w:rsid w:val="00DF4238"/>
    <w:rsid w:val="00DF451D"/>
    <w:rsid w:val="00DF4599"/>
    <w:rsid w:val="00DF45C7"/>
    <w:rsid w:val="00DF4705"/>
    <w:rsid w:val="00DF4726"/>
    <w:rsid w:val="00DF4941"/>
    <w:rsid w:val="00DF4992"/>
    <w:rsid w:val="00DF4A8F"/>
    <w:rsid w:val="00DF4AA4"/>
    <w:rsid w:val="00DF4BDF"/>
    <w:rsid w:val="00DF4D03"/>
    <w:rsid w:val="00DF4D16"/>
    <w:rsid w:val="00DF4D7B"/>
    <w:rsid w:val="00DF50FA"/>
    <w:rsid w:val="00DF516C"/>
    <w:rsid w:val="00DF518A"/>
    <w:rsid w:val="00DF5194"/>
    <w:rsid w:val="00DF529A"/>
    <w:rsid w:val="00DF5341"/>
    <w:rsid w:val="00DF5409"/>
    <w:rsid w:val="00DF5583"/>
    <w:rsid w:val="00DF5674"/>
    <w:rsid w:val="00DF56D2"/>
    <w:rsid w:val="00DF5721"/>
    <w:rsid w:val="00DF5728"/>
    <w:rsid w:val="00DF5831"/>
    <w:rsid w:val="00DF5A96"/>
    <w:rsid w:val="00DF5B19"/>
    <w:rsid w:val="00DF5B2E"/>
    <w:rsid w:val="00DF5E61"/>
    <w:rsid w:val="00DF5E63"/>
    <w:rsid w:val="00DF5EA6"/>
    <w:rsid w:val="00DF5EE6"/>
    <w:rsid w:val="00DF5F51"/>
    <w:rsid w:val="00DF5FA0"/>
    <w:rsid w:val="00DF6073"/>
    <w:rsid w:val="00DF60EA"/>
    <w:rsid w:val="00DF6206"/>
    <w:rsid w:val="00DF6271"/>
    <w:rsid w:val="00DF62BD"/>
    <w:rsid w:val="00DF635E"/>
    <w:rsid w:val="00DF6362"/>
    <w:rsid w:val="00DF63B3"/>
    <w:rsid w:val="00DF641F"/>
    <w:rsid w:val="00DF645B"/>
    <w:rsid w:val="00DF6552"/>
    <w:rsid w:val="00DF6588"/>
    <w:rsid w:val="00DF65A9"/>
    <w:rsid w:val="00DF6610"/>
    <w:rsid w:val="00DF66AB"/>
    <w:rsid w:val="00DF6728"/>
    <w:rsid w:val="00DF678F"/>
    <w:rsid w:val="00DF67B9"/>
    <w:rsid w:val="00DF67BC"/>
    <w:rsid w:val="00DF6824"/>
    <w:rsid w:val="00DF6835"/>
    <w:rsid w:val="00DF6892"/>
    <w:rsid w:val="00DF68AF"/>
    <w:rsid w:val="00DF6926"/>
    <w:rsid w:val="00DF6962"/>
    <w:rsid w:val="00DF696E"/>
    <w:rsid w:val="00DF69D6"/>
    <w:rsid w:val="00DF6B7E"/>
    <w:rsid w:val="00DF6D94"/>
    <w:rsid w:val="00DF6F4C"/>
    <w:rsid w:val="00DF7135"/>
    <w:rsid w:val="00DF7152"/>
    <w:rsid w:val="00DF7242"/>
    <w:rsid w:val="00DF7270"/>
    <w:rsid w:val="00DF72A3"/>
    <w:rsid w:val="00DF7308"/>
    <w:rsid w:val="00DF7408"/>
    <w:rsid w:val="00DF74CF"/>
    <w:rsid w:val="00DF75F7"/>
    <w:rsid w:val="00DF7754"/>
    <w:rsid w:val="00DF77F4"/>
    <w:rsid w:val="00DF783F"/>
    <w:rsid w:val="00DF786C"/>
    <w:rsid w:val="00DF78AA"/>
    <w:rsid w:val="00DF78D2"/>
    <w:rsid w:val="00DF7935"/>
    <w:rsid w:val="00DF7B48"/>
    <w:rsid w:val="00DF7C52"/>
    <w:rsid w:val="00DF7D7C"/>
    <w:rsid w:val="00DF7DCC"/>
    <w:rsid w:val="00DF7F35"/>
    <w:rsid w:val="00DF7F42"/>
    <w:rsid w:val="00E0020D"/>
    <w:rsid w:val="00E004E6"/>
    <w:rsid w:val="00E005CD"/>
    <w:rsid w:val="00E006CD"/>
    <w:rsid w:val="00E00724"/>
    <w:rsid w:val="00E0073A"/>
    <w:rsid w:val="00E00873"/>
    <w:rsid w:val="00E00900"/>
    <w:rsid w:val="00E00909"/>
    <w:rsid w:val="00E00931"/>
    <w:rsid w:val="00E00A0A"/>
    <w:rsid w:val="00E00B03"/>
    <w:rsid w:val="00E00B18"/>
    <w:rsid w:val="00E00B57"/>
    <w:rsid w:val="00E00B69"/>
    <w:rsid w:val="00E00C33"/>
    <w:rsid w:val="00E00C43"/>
    <w:rsid w:val="00E00CA0"/>
    <w:rsid w:val="00E00DB3"/>
    <w:rsid w:val="00E00DDF"/>
    <w:rsid w:val="00E00EE3"/>
    <w:rsid w:val="00E00F72"/>
    <w:rsid w:val="00E01147"/>
    <w:rsid w:val="00E0120B"/>
    <w:rsid w:val="00E0127B"/>
    <w:rsid w:val="00E012D6"/>
    <w:rsid w:val="00E01309"/>
    <w:rsid w:val="00E013C0"/>
    <w:rsid w:val="00E013DA"/>
    <w:rsid w:val="00E01410"/>
    <w:rsid w:val="00E0163F"/>
    <w:rsid w:val="00E01684"/>
    <w:rsid w:val="00E0176C"/>
    <w:rsid w:val="00E018CE"/>
    <w:rsid w:val="00E0199F"/>
    <w:rsid w:val="00E019D8"/>
    <w:rsid w:val="00E01A62"/>
    <w:rsid w:val="00E01B84"/>
    <w:rsid w:val="00E01C25"/>
    <w:rsid w:val="00E01DE3"/>
    <w:rsid w:val="00E01E69"/>
    <w:rsid w:val="00E01EA9"/>
    <w:rsid w:val="00E01EB2"/>
    <w:rsid w:val="00E02036"/>
    <w:rsid w:val="00E0220A"/>
    <w:rsid w:val="00E02290"/>
    <w:rsid w:val="00E024F2"/>
    <w:rsid w:val="00E02509"/>
    <w:rsid w:val="00E0265B"/>
    <w:rsid w:val="00E02698"/>
    <w:rsid w:val="00E02713"/>
    <w:rsid w:val="00E02719"/>
    <w:rsid w:val="00E027AA"/>
    <w:rsid w:val="00E027C0"/>
    <w:rsid w:val="00E028A4"/>
    <w:rsid w:val="00E02922"/>
    <w:rsid w:val="00E02B42"/>
    <w:rsid w:val="00E02B9B"/>
    <w:rsid w:val="00E02C7A"/>
    <w:rsid w:val="00E02E6B"/>
    <w:rsid w:val="00E02E95"/>
    <w:rsid w:val="00E02F70"/>
    <w:rsid w:val="00E030B9"/>
    <w:rsid w:val="00E0317D"/>
    <w:rsid w:val="00E0320C"/>
    <w:rsid w:val="00E0322B"/>
    <w:rsid w:val="00E0333D"/>
    <w:rsid w:val="00E03389"/>
    <w:rsid w:val="00E0341E"/>
    <w:rsid w:val="00E0347D"/>
    <w:rsid w:val="00E0349E"/>
    <w:rsid w:val="00E03545"/>
    <w:rsid w:val="00E035A3"/>
    <w:rsid w:val="00E036B3"/>
    <w:rsid w:val="00E03725"/>
    <w:rsid w:val="00E037C4"/>
    <w:rsid w:val="00E03A31"/>
    <w:rsid w:val="00E03B04"/>
    <w:rsid w:val="00E03B1D"/>
    <w:rsid w:val="00E03C33"/>
    <w:rsid w:val="00E03C80"/>
    <w:rsid w:val="00E03D34"/>
    <w:rsid w:val="00E03D43"/>
    <w:rsid w:val="00E03D62"/>
    <w:rsid w:val="00E03EBB"/>
    <w:rsid w:val="00E03FF3"/>
    <w:rsid w:val="00E04386"/>
    <w:rsid w:val="00E04737"/>
    <w:rsid w:val="00E0479F"/>
    <w:rsid w:val="00E04800"/>
    <w:rsid w:val="00E048B4"/>
    <w:rsid w:val="00E048C7"/>
    <w:rsid w:val="00E04A4F"/>
    <w:rsid w:val="00E04AA0"/>
    <w:rsid w:val="00E04BF5"/>
    <w:rsid w:val="00E04C21"/>
    <w:rsid w:val="00E04DC0"/>
    <w:rsid w:val="00E04E90"/>
    <w:rsid w:val="00E0509A"/>
    <w:rsid w:val="00E0510E"/>
    <w:rsid w:val="00E05164"/>
    <w:rsid w:val="00E05178"/>
    <w:rsid w:val="00E0528F"/>
    <w:rsid w:val="00E052D0"/>
    <w:rsid w:val="00E053E2"/>
    <w:rsid w:val="00E0545C"/>
    <w:rsid w:val="00E054C3"/>
    <w:rsid w:val="00E0570B"/>
    <w:rsid w:val="00E057FC"/>
    <w:rsid w:val="00E05964"/>
    <w:rsid w:val="00E05B6C"/>
    <w:rsid w:val="00E05BDD"/>
    <w:rsid w:val="00E05D89"/>
    <w:rsid w:val="00E05F0C"/>
    <w:rsid w:val="00E060A0"/>
    <w:rsid w:val="00E060FE"/>
    <w:rsid w:val="00E061DB"/>
    <w:rsid w:val="00E06284"/>
    <w:rsid w:val="00E06304"/>
    <w:rsid w:val="00E06314"/>
    <w:rsid w:val="00E06424"/>
    <w:rsid w:val="00E06433"/>
    <w:rsid w:val="00E0651F"/>
    <w:rsid w:val="00E065E5"/>
    <w:rsid w:val="00E067BB"/>
    <w:rsid w:val="00E068B0"/>
    <w:rsid w:val="00E068FF"/>
    <w:rsid w:val="00E06973"/>
    <w:rsid w:val="00E0698D"/>
    <w:rsid w:val="00E06A26"/>
    <w:rsid w:val="00E06AB4"/>
    <w:rsid w:val="00E06B0A"/>
    <w:rsid w:val="00E06B20"/>
    <w:rsid w:val="00E06BA1"/>
    <w:rsid w:val="00E06C83"/>
    <w:rsid w:val="00E06EBA"/>
    <w:rsid w:val="00E06EC4"/>
    <w:rsid w:val="00E06EFE"/>
    <w:rsid w:val="00E06F11"/>
    <w:rsid w:val="00E06F82"/>
    <w:rsid w:val="00E06F8C"/>
    <w:rsid w:val="00E071C9"/>
    <w:rsid w:val="00E07206"/>
    <w:rsid w:val="00E072C7"/>
    <w:rsid w:val="00E0735F"/>
    <w:rsid w:val="00E074D3"/>
    <w:rsid w:val="00E07607"/>
    <w:rsid w:val="00E0765D"/>
    <w:rsid w:val="00E0787C"/>
    <w:rsid w:val="00E07976"/>
    <w:rsid w:val="00E07A19"/>
    <w:rsid w:val="00E07A2F"/>
    <w:rsid w:val="00E07A77"/>
    <w:rsid w:val="00E07C52"/>
    <w:rsid w:val="00E07D3E"/>
    <w:rsid w:val="00E07DA8"/>
    <w:rsid w:val="00E07E75"/>
    <w:rsid w:val="00E07EE2"/>
    <w:rsid w:val="00E07F09"/>
    <w:rsid w:val="00E07F4A"/>
    <w:rsid w:val="00E1000A"/>
    <w:rsid w:val="00E1009C"/>
    <w:rsid w:val="00E10171"/>
    <w:rsid w:val="00E1037C"/>
    <w:rsid w:val="00E10493"/>
    <w:rsid w:val="00E10716"/>
    <w:rsid w:val="00E10732"/>
    <w:rsid w:val="00E1079D"/>
    <w:rsid w:val="00E1081D"/>
    <w:rsid w:val="00E10839"/>
    <w:rsid w:val="00E109BC"/>
    <w:rsid w:val="00E10A67"/>
    <w:rsid w:val="00E10AD4"/>
    <w:rsid w:val="00E10B04"/>
    <w:rsid w:val="00E10B82"/>
    <w:rsid w:val="00E10C1D"/>
    <w:rsid w:val="00E10C46"/>
    <w:rsid w:val="00E10C9B"/>
    <w:rsid w:val="00E10D9F"/>
    <w:rsid w:val="00E10E48"/>
    <w:rsid w:val="00E10F83"/>
    <w:rsid w:val="00E11236"/>
    <w:rsid w:val="00E11284"/>
    <w:rsid w:val="00E11400"/>
    <w:rsid w:val="00E115CB"/>
    <w:rsid w:val="00E11667"/>
    <w:rsid w:val="00E117DE"/>
    <w:rsid w:val="00E118A4"/>
    <w:rsid w:val="00E11A70"/>
    <w:rsid w:val="00E11AD1"/>
    <w:rsid w:val="00E11BC6"/>
    <w:rsid w:val="00E11CFF"/>
    <w:rsid w:val="00E11FC4"/>
    <w:rsid w:val="00E120B3"/>
    <w:rsid w:val="00E12129"/>
    <w:rsid w:val="00E12155"/>
    <w:rsid w:val="00E1225F"/>
    <w:rsid w:val="00E1239E"/>
    <w:rsid w:val="00E124C9"/>
    <w:rsid w:val="00E12526"/>
    <w:rsid w:val="00E125A3"/>
    <w:rsid w:val="00E1260F"/>
    <w:rsid w:val="00E1263F"/>
    <w:rsid w:val="00E126FB"/>
    <w:rsid w:val="00E127DA"/>
    <w:rsid w:val="00E12838"/>
    <w:rsid w:val="00E128D5"/>
    <w:rsid w:val="00E129D6"/>
    <w:rsid w:val="00E12AE9"/>
    <w:rsid w:val="00E12C03"/>
    <w:rsid w:val="00E12D1E"/>
    <w:rsid w:val="00E12DAA"/>
    <w:rsid w:val="00E12FB4"/>
    <w:rsid w:val="00E12FCB"/>
    <w:rsid w:val="00E130FF"/>
    <w:rsid w:val="00E13185"/>
    <w:rsid w:val="00E13282"/>
    <w:rsid w:val="00E132CF"/>
    <w:rsid w:val="00E13311"/>
    <w:rsid w:val="00E1358B"/>
    <w:rsid w:val="00E135D9"/>
    <w:rsid w:val="00E13811"/>
    <w:rsid w:val="00E13893"/>
    <w:rsid w:val="00E13AC2"/>
    <w:rsid w:val="00E13B26"/>
    <w:rsid w:val="00E13B28"/>
    <w:rsid w:val="00E13B34"/>
    <w:rsid w:val="00E13C1D"/>
    <w:rsid w:val="00E13C30"/>
    <w:rsid w:val="00E13CAA"/>
    <w:rsid w:val="00E13E45"/>
    <w:rsid w:val="00E14107"/>
    <w:rsid w:val="00E141B6"/>
    <w:rsid w:val="00E1420D"/>
    <w:rsid w:val="00E142F7"/>
    <w:rsid w:val="00E146FA"/>
    <w:rsid w:val="00E1490B"/>
    <w:rsid w:val="00E149D1"/>
    <w:rsid w:val="00E14B3B"/>
    <w:rsid w:val="00E14B49"/>
    <w:rsid w:val="00E14BA4"/>
    <w:rsid w:val="00E14E79"/>
    <w:rsid w:val="00E14FA2"/>
    <w:rsid w:val="00E1503B"/>
    <w:rsid w:val="00E15041"/>
    <w:rsid w:val="00E150D9"/>
    <w:rsid w:val="00E150DA"/>
    <w:rsid w:val="00E150F0"/>
    <w:rsid w:val="00E152EF"/>
    <w:rsid w:val="00E1538D"/>
    <w:rsid w:val="00E154EA"/>
    <w:rsid w:val="00E15501"/>
    <w:rsid w:val="00E1565D"/>
    <w:rsid w:val="00E1570A"/>
    <w:rsid w:val="00E158DA"/>
    <w:rsid w:val="00E158F4"/>
    <w:rsid w:val="00E15A7A"/>
    <w:rsid w:val="00E15B24"/>
    <w:rsid w:val="00E15C2F"/>
    <w:rsid w:val="00E15C30"/>
    <w:rsid w:val="00E15C6C"/>
    <w:rsid w:val="00E15CED"/>
    <w:rsid w:val="00E15D51"/>
    <w:rsid w:val="00E15D6F"/>
    <w:rsid w:val="00E15DA2"/>
    <w:rsid w:val="00E15E04"/>
    <w:rsid w:val="00E15E2C"/>
    <w:rsid w:val="00E15E4B"/>
    <w:rsid w:val="00E1606E"/>
    <w:rsid w:val="00E1616A"/>
    <w:rsid w:val="00E1622A"/>
    <w:rsid w:val="00E162B9"/>
    <w:rsid w:val="00E16464"/>
    <w:rsid w:val="00E165C9"/>
    <w:rsid w:val="00E16635"/>
    <w:rsid w:val="00E16650"/>
    <w:rsid w:val="00E16662"/>
    <w:rsid w:val="00E16668"/>
    <w:rsid w:val="00E168D8"/>
    <w:rsid w:val="00E16AB4"/>
    <w:rsid w:val="00E16CB0"/>
    <w:rsid w:val="00E16E1A"/>
    <w:rsid w:val="00E16E60"/>
    <w:rsid w:val="00E16F0B"/>
    <w:rsid w:val="00E16F5E"/>
    <w:rsid w:val="00E16FD6"/>
    <w:rsid w:val="00E170AE"/>
    <w:rsid w:val="00E171A0"/>
    <w:rsid w:val="00E17200"/>
    <w:rsid w:val="00E17280"/>
    <w:rsid w:val="00E172A3"/>
    <w:rsid w:val="00E174DB"/>
    <w:rsid w:val="00E174F7"/>
    <w:rsid w:val="00E1759C"/>
    <w:rsid w:val="00E1763F"/>
    <w:rsid w:val="00E17679"/>
    <w:rsid w:val="00E17841"/>
    <w:rsid w:val="00E17954"/>
    <w:rsid w:val="00E17A08"/>
    <w:rsid w:val="00E17A3E"/>
    <w:rsid w:val="00E17A5B"/>
    <w:rsid w:val="00E17B6C"/>
    <w:rsid w:val="00E17BB8"/>
    <w:rsid w:val="00E17BBA"/>
    <w:rsid w:val="00E17CD5"/>
    <w:rsid w:val="00E17D04"/>
    <w:rsid w:val="00E17D40"/>
    <w:rsid w:val="00E17D82"/>
    <w:rsid w:val="00E17DDB"/>
    <w:rsid w:val="00E17E39"/>
    <w:rsid w:val="00E17F25"/>
    <w:rsid w:val="00E20048"/>
    <w:rsid w:val="00E200DD"/>
    <w:rsid w:val="00E2024A"/>
    <w:rsid w:val="00E2024F"/>
    <w:rsid w:val="00E20372"/>
    <w:rsid w:val="00E2048C"/>
    <w:rsid w:val="00E205E9"/>
    <w:rsid w:val="00E206BD"/>
    <w:rsid w:val="00E209D2"/>
    <w:rsid w:val="00E20AB9"/>
    <w:rsid w:val="00E20DA5"/>
    <w:rsid w:val="00E20E18"/>
    <w:rsid w:val="00E20E88"/>
    <w:rsid w:val="00E21048"/>
    <w:rsid w:val="00E21087"/>
    <w:rsid w:val="00E21289"/>
    <w:rsid w:val="00E2130F"/>
    <w:rsid w:val="00E2139B"/>
    <w:rsid w:val="00E21504"/>
    <w:rsid w:val="00E21519"/>
    <w:rsid w:val="00E2157A"/>
    <w:rsid w:val="00E215E5"/>
    <w:rsid w:val="00E2160C"/>
    <w:rsid w:val="00E218A2"/>
    <w:rsid w:val="00E21933"/>
    <w:rsid w:val="00E219EF"/>
    <w:rsid w:val="00E21C54"/>
    <w:rsid w:val="00E21CC5"/>
    <w:rsid w:val="00E21D2D"/>
    <w:rsid w:val="00E21D70"/>
    <w:rsid w:val="00E21E49"/>
    <w:rsid w:val="00E2212A"/>
    <w:rsid w:val="00E22332"/>
    <w:rsid w:val="00E2236A"/>
    <w:rsid w:val="00E224E1"/>
    <w:rsid w:val="00E22522"/>
    <w:rsid w:val="00E22620"/>
    <w:rsid w:val="00E2262D"/>
    <w:rsid w:val="00E226DE"/>
    <w:rsid w:val="00E2275E"/>
    <w:rsid w:val="00E227C3"/>
    <w:rsid w:val="00E228D1"/>
    <w:rsid w:val="00E229C1"/>
    <w:rsid w:val="00E229F8"/>
    <w:rsid w:val="00E22A90"/>
    <w:rsid w:val="00E22ACB"/>
    <w:rsid w:val="00E22B4F"/>
    <w:rsid w:val="00E22B77"/>
    <w:rsid w:val="00E22C56"/>
    <w:rsid w:val="00E22CF3"/>
    <w:rsid w:val="00E22EDE"/>
    <w:rsid w:val="00E23025"/>
    <w:rsid w:val="00E2309A"/>
    <w:rsid w:val="00E230BE"/>
    <w:rsid w:val="00E231C5"/>
    <w:rsid w:val="00E232C7"/>
    <w:rsid w:val="00E232DE"/>
    <w:rsid w:val="00E2347C"/>
    <w:rsid w:val="00E234F3"/>
    <w:rsid w:val="00E2351E"/>
    <w:rsid w:val="00E2376A"/>
    <w:rsid w:val="00E23A02"/>
    <w:rsid w:val="00E23B78"/>
    <w:rsid w:val="00E23BC3"/>
    <w:rsid w:val="00E23BCA"/>
    <w:rsid w:val="00E23BEE"/>
    <w:rsid w:val="00E23C5D"/>
    <w:rsid w:val="00E23C9E"/>
    <w:rsid w:val="00E23FAA"/>
    <w:rsid w:val="00E240FA"/>
    <w:rsid w:val="00E24123"/>
    <w:rsid w:val="00E242E3"/>
    <w:rsid w:val="00E2436B"/>
    <w:rsid w:val="00E2440E"/>
    <w:rsid w:val="00E244E8"/>
    <w:rsid w:val="00E24526"/>
    <w:rsid w:val="00E2455A"/>
    <w:rsid w:val="00E245A3"/>
    <w:rsid w:val="00E24971"/>
    <w:rsid w:val="00E24A02"/>
    <w:rsid w:val="00E24AAA"/>
    <w:rsid w:val="00E24B50"/>
    <w:rsid w:val="00E24B54"/>
    <w:rsid w:val="00E24BB3"/>
    <w:rsid w:val="00E24BDF"/>
    <w:rsid w:val="00E24BEF"/>
    <w:rsid w:val="00E24C41"/>
    <w:rsid w:val="00E24EB9"/>
    <w:rsid w:val="00E24FBD"/>
    <w:rsid w:val="00E25037"/>
    <w:rsid w:val="00E2503E"/>
    <w:rsid w:val="00E250BE"/>
    <w:rsid w:val="00E250C2"/>
    <w:rsid w:val="00E2511C"/>
    <w:rsid w:val="00E25177"/>
    <w:rsid w:val="00E2519B"/>
    <w:rsid w:val="00E25214"/>
    <w:rsid w:val="00E252E2"/>
    <w:rsid w:val="00E2531C"/>
    <w:rsid w:val="00E2534A"/>
    <w:rsid w:val="00E253F1"/>
    <w:rsid w:val="00E25525"/>
    <w:rsid w:val="00E25556"/>
    <w:rsid w:val="00E255D7"/>
    <w:rsid w:val="00E2562D"/>
    <w:rsid w:val="00E2569D"/>
    <w:rsid w:val="00E257C8"/>
    <w:rsid w:val="00E25A1D"/>
    <w:rsid w:val="00E25A33"/>
    <w:rsid w:val="00E25B30"/>
    <w:rsid w:val="00E25BF7"/>
    <w:rsid w:val="00E25CC0"/>
    <w:rsid w:val="00E25CEB"/>
    <w:rsid w:val="00E25D5A"/>
    <w:rsid w:val="00E25D6C"/>
    <w:rsid w:val="00E25D73"/>
    <w:rsid w:val="00E25D7C"/>
    <w:rsid w:val="00E25DA9"/>
    <w:rsid w:val="00E25DBA"/>
    <w:rsid w:val="00E26272"/>
    <w:rsid w:val="00E26524"/>
    <w:rsid w:val="00E2669C"/>
    <w:rsid w:val="00E266C9"/>
    <w:rsid w:val="00E2670B"/>
    <w:rsid w:val="00E26757"/>
    <w:rsid w:val="00E26821"/>
    <w:rsid w:val="00E268F9"/>
    <w:rsid w:val="00E26920"/>
    <w:rsid w:val="00E26B51"/>
    <w:rsid w:val="00E26B95"/>
    <w:rsid w:val="00E26BED"/>
    <w:rsid w:val="00E26BFD"/>
    <w:rsid w:val="00E26C78"/>
    <w:rsid w:val="00E26CF0"/>
    <w:rsid w:val="00E26D08"/>
    <w:rsid w:val="00E26DDB"/>
    <w:rsid w:val="00E26E60"/>
    <w:rsid w:val="00E26E96"/>
    <w:rsid w:val="00E26FE9"/>
    <w:rsid w:val="00E27022"/>
    <w:rsid w:val="00E2719A"/>
    <w:rsid w:val="00E272A8"/>
    <w:rsid w:val="00E27381"/>
    <w:rsid w:val="00E27405"/>
    <w:rsid w:val="00E275C1"/>
    <w:rsid w:val="00E2760F"/>
    <w:rsid w:val="00E276E6"/>
    <w:rsid w:val="00E278AA"/>
    <w:rsid w:val="00E27A00"/>
    <w:rsid w:val="00E27A35"/>
    <w:rsid w:val="00E27A71"/>
    <w:rsid w:val="00E27C38"/>
    <w:rsid w:val="00E27E72"/>
    <w:rsid w:val="00E27E95"/>
    <w:rsid w:val="00E27EC6"/>
    <w:rsid w:val="00E27EF3"/>
    <w:rsid w:val="00E27FB2"/>
    <w:rsid w:val="00E30179"/>
    <w:rsid w:val="00E30317"/>
    <w:rsid w:val="00E30332"/>
    <w:rsid w:val="00E303DD"/>
    <w:rsid w:val="00E303E6"/>
    <w:rsid w:val="00E3050D"/>
    <w:rsid w:val="00E3052A"/>
    <w:rsid w:val="00E3068D"/>
    <w:rsid w:val="00E306EF"/>
    <w:rsid w:val="00E30845"/>
    <w:rsid w:val="00E308A9"/>
    <w:rsid w:val="00E308D7"/>
    <w:rsid w:val="00E30928"/>
    <w:rsid w:val="00E30984"/>
    <w:rsid w:val="00E309C7"/>
    <w:rsid w:val="00E30A30"/>
    <w:rsid w:val="00E30B95"/>
    <w:rsid w:val="00E30C03"/>
    <w:rsid w:val="00E30CE0"/>
    <w:rsid w:val="00E30D70"/>
    <w:rsid w:val="00E30E51"/>
    <w:rsid w:val="00E311A4"/>
    <w:rsid w:val="00E31251"/>
    <w:rsid w:val="00E312C3"/>
    <w:rsid w:val="00E31328"/>
    <w:rsid w:val="00E313E1"/>
    <w:rsid w:val="00E313F9"/>
    <w:rsid w:val="00E3145D"/>
    <w:rsid w:val="00E314D3"/>
    <w:rsid w:val="00E31528"/>
    <w:rsid w:val="00E31611"/>
    <w:rsid w:val="00E31614"/>
    <w:rsid w:val="00E31639"/>
    <w:rsid w:val="00E3163E"/>
    <w:rsid w:val="00E31698"/>
    <w:rsid w:val="00E317F9"/>
    <w:rsid w:val="00E317FB"/>
    <w:rsid w:val="00E318CC"/>
    <w:rsid w:val="00E319DD"/>
    <w:rsid w:val="00E31B8E"/>
    <w:rsid w:val="00E31C14"/>
    <w:rsid w:val="00E31CF1"/>
    <w:rsid w:val="00E31D98"/>
    <w:rsid w:val="00E31EE6"/>
    <w:rsid w:val="00E31F47"/>
    <w:rsid w:val="00E31FB0"/>
    <w:rsid w:val="00E32009"/>
    <w:rsid w:val="00E3220B"/>
    <w:rsid w:val="00E3228D"/>
    <w:rsid w:val="00E3237C"/>
    <w:rsid w:val="00E32387"/>
    <w:rsid w:val="00E3245C"/>
    <w:rsid w:val="00E32580"/>
    <w:rsid w:val="00E32636"/>
    <w:rsid w:val="00E32657"/>
    <w:rsid w:val="00E327A4"/>
    <w:rsid w:val="00E327A6"/>
    <w:rsid w:val="00E327BF"/>
    <w:rsid w:val="00E32852"/>
    <w:rsid w:val="00E328D7"/>
    <w:rsid w:val="00E328E2"/>
    <w:rsid w:val="00E32B88"/>
    <w:rsid w:val="00E32B91"/>
    <w:rsid w:val="00E32C4B"/>
    <w:rsid w:val="00E32D10"/>
    <w:rsid w:val="00E32D7B"/>
    <w:rsid w:val="00E32DD5"/>
    <w:rsid w:val="00E33055"/>
    <w:rsid w:val="00E3309A"/>
    <w:rsid w:val="00E330DE"/>
    <w:rsid w:val="00E33150"/>
    <w:rsid w:val="00E33157"/>
    <w:rsid w:val="00E333CC"/>
    <w:rsid w:val="00E33561"/>
    <w:rsid w:val="00E3365D"/>
    <w:rsid w:val="00E3366D"/>
    <w:rsid w:val="00E3367D"/>
    <w:rsid w:val="00E33698"/>
    <w:rsid w:val="00E336B0"/>
    <w:rsid w:val="00E3392B"/>
    <w:rsid w:val="00E33937"/>
    <w:rsid w:val="00E33AE2"/>
    <w:rsid w:val="00E33D21"/>
    <w:rsid w:val="00E33D2D"/>
    <w:rsid w:val="00E33D6D"/>
    <w:rsid w:val="00E33DBD"/>
    <w:rsid w:val="00E33E27"/>
    <w:rsid w:val="00E33E60"/>
    <w:rsid w:val="00E33F12"/>
    <w:rsid w:val="00E33FEE"/>
    <w:rsid w:val="00E340D6"/>
    <w:rsid w:val="00E34106"/>
    <w:rsid w:val="00E34183"/>
    <w:rsid w:val="00E34184"/>
    <w:rsid w:val="00E34203"/>
    <w:rsid w:val="00E3421B"/>
    <w:rsid w:val="00E3428B"/>
    <w:rsid w:val="00E34298"/>
    <w:rsid w:val="00E342BA"/>
    <w:rsid w:val="00E343E9"/>
    <w:rsid w:val="00E34469"/>
    <w:rsid w:val="00E3464E"/>
    <w:rsid w:val="00E3469F"/>
    <w:rsid w:val="00E349E8"/>
    <w:rsid w:val="00E349F3"/>
    <w:rsid w:val="00E34ADE"/>
    <w:rsid w:val="00E34B8E"/>
    <w:rsid w:val="00E34BF1"/>
    <w:rsid w:val="00E34C1B"/>
    <w:rsid w:val="00E34C4E"/>
    <w:rsid w:val="00E34E4E"/>
    <w:rsid w:val="00E34ED7"/>
    <w:rsid w:val="00E34F2A"/>
    <w:rsid w:val="00E34F7C"/>
    <w:rsid w:val="00E34FBC"/>
    <w:rsid w:val="00E34FF0"/>
    <w:rsid w:val="00E3510D"/>
    <w:rsid w:val="00E35279"/>
    <w:rsid w:val="00E35423"/>
    <w:rsid w:val="00E3555A"/>
    <w:rsid w:val="00E356F0"/>
    <w:rsid w:val="00E3571C"/>
    <w:rsid w:val="00E359B7"/>
    <w:rsid w:val="00E35A7B"/>
    <w:rsid w:val="00E35AFE"/>
    <w:rsid w:val="00E35D26"/>
    <w:rsid w:val="00E35D6F"/>
    <w:rsid w:val="00E35DCD"/>
    <w:rsid w:val="00E35E36"/>
    <w:rsid w:val="00E35E87"/>
    <w:rsid w:val="00E36152"/>
    <w:rsid w:val="00E361B2"/>
    <w:rsid w:val="00E363BF"/>
    <w:rsid w:val="00E36467"/>
    <w:rsid w:val="00E365A3"/>
    <w:rsid w:val="00E365D5"/>
    <w:rsid w:val="00E36689"/>
    <w:rsid w:val="00E366A8"/>
    <w:rsid w:val="00E366F4"/>
    <w:rsid w:val="00E3676C"/>
    <w:rsid w:val="00E36920"/>
    <w:rsid w:val="00E36956"/>
    <w:rsid w:val="00E36A54"/>
    <w:rsid w:val="00E36B85"/>
    <w:rsid w:val="00E36BCD"/>
    <w:rsid w:val="00E36DFE"/>
    <w:rsid w:val="00E36F58"/>
    <w:rsid w:val="00E36F5B"/>
    <w:rsid w:val="00E370BF"/>
    <w:rsid w:val="00E370E0"/>
    <w:rsid w:val="00E370ED"/>
    <w:rsid w:val="00E37352"/>
    <w:rsid w:val="00E3736F"/>
    <w:rsid w:val="00E37386"/>
    <w:rsid w:val="00E37446"/>
    <w:rsid w:val="00E37578"/>
    <w:rsid w:val="00E37594"/>
    <w:rsid w:val="00E37733"/>
    <w:rsid w:val="00E378B5"/>
    <w:rsid w:val="00E378F1"/>
    <w:rsid w:val="00E37A72"/>
    <w:rsid w:val="00E37A7F"/>
    <w:rsid w:val="00E37C07"/>
    <w:rsid w:val="00E37C93"/>
    <w:rsid w:val="00E37E82"/>
    <w:rsid w:val="00E4000F"/>
    <w:rsid w:val="00E40015"/>
    <w:rsid w:val="00E40017"/>
    <w:rsid w:val="00E40036"/>
    <w:rsid w:val="00E40081"/>
    <w:rsid w:val="00E40090"/>
    <w:rsid w:val="00E400C8"/>
    <w:rsid w:val="00E40162"/>
    <w:rsid w:val="00E40231"/>
    <w:rsid w:val="00E40234"/>
    <w:rsid w:val="00E40288"/>
    <w:rsid w:val="00E402BA"/>
    <w:rsid w:val="00E403D5"/>
    <w:rsid w:val="00E403F1"/>
    <w:rsid w:val="00E404E2"/>
    <w:rsid w:val="00E40502"/>
    <w:rsid w:val="00E40537"/>
    <w:rsid w:val="00E405CD"/>
    <w:rsid w:val="00E40615"/>
    <w:rsid w:val="00E406A8"/>
    <w:rsid w:val="00E407CF"/>
    <w:rsid w:val="00E40859"/>
    <w:rsid w:val="00E4085C"/>
    <w:rsid w:val="00E408EB"/>
    <w:rsid w:val="00E409F5"/>
    <w:rsid w:val="00E409F8"/>
    <w:rsid w:val="00E40B82"/>
    <w:rsid w:val="00E40B83"/>
    <w:rsid w:val="00E40BD0"/>
    <w:rsid w:val="00E40C76"/>
    <w:rsid w:val="00E40C7F"/>
    <w:rsid w:val="00E40CE3"/>
    <w:rsid w:val="00E40E18"/>
    <w:rsid w:val="00E40F4F"/>
    <w:rsid w:val="00E40F5B"/>
    <w:rsid w:val="00E40FD5"/>
    <w:rsid w:val="00E41066"/>
    <w:rsid w:val="00E41151"/>
    <w:rsid w:val="00E41287"/>
    <w:rsid w:val="00E41321"/>
    <w:rsid w:val="00E413A1"/>
    <w:rsid w:val="00E414C5"/>
    <w:rsid w:val="00E4153A"/>
    <w:rsid w:val="00E41560"/>
    <w:rsid w:val="00E415E4"/>
    <w:rsid w:val="00E41605"/>
    <w:rsid w:val="00E41746"/>
    <w:rsid w:val="00E41748"/>
    <w:rsid w:val="00E4178B"/>
    <w:rsid w:val="00E418B5"/>
    <w:rsid w:val="00E41921"/>
    <w:rsid w:val="00E41985"/>
    <w:rsid w:val="00E419EE"/>
    <w:rsid w:val="00E41A13"/>
    <w:rsid w:val="00E41A1F"/>
    <w:rsid w:val="00E41AE0"/>
    <w:rsid w:val="00E41B33"/>
    <w:rsid w:val="00E41BAC"/>
    <w:rsid w:val="00E41C14"/>
    <w:rsid w:val="00E41D8E"/>
    <w:rsid w:val="00E41DD4"/>
    <w:rsid w:val="00E41DFA"/>
    <w:rsid w:val="00E41F18"/>
    <w:rsid w:val="00E41FE7"/>
    <w:rsid w:val="00E422EA"/>
    <w:rsid w:val="00E42450"/>
    <w:rsid w:val="00E4245E"/>
    <w:rsid w:val="00E42480"/>
    <w:rsid w:val="00E4252C"/>
    <w:rsid w:val="00E42599"/>
    <w:rsid w:val="00E425B6"/>
    <w:rsid w:val="00E425D2"/>
    <w:rsid w:val="00E4272B"/>
    <w:rsid w:val="00E428AF"/>
    <w:rsid w:val="00E428DC"/>
    <w:rsid w:val="00E428E7"/>
    <w:rsid w:val="00E42906"/>
    <w:rsid w:val="00E4290B"/>
    <w:rsid w:val="00E42A16"/>
    <w:rsid w:val="00E42A72"/>
    <w:rsid w:val="00E42B01"/>
    <w:rsid w:val="00E42B83"/>
    <w:rsid w:val="00E42BA4"/>
    <w:rsid w:val="00E42C0F"/>
    <w:rsid w:val="00E42CA8"/>
    <w:rsid w:val="00E42CDA"/>
    <w:rsid w:val="00E42D0A"/>
    <w:rsid w:val="00E42D81"/>
    <w:rsid w:val="00E42E2D"/>
    <w:rsid w:val="00E42E36"/>
    <w:rsid w:val="00E42F11"/>
    <w:rsid w:val="00E43024"/>
    <w:rsid w:val="00E432F3"/>
    <w:rsid w:val="00E43376"/>
    <w:rsid w:val="00E43390"/>
    <w:rsid w:val="00E4349C"/>
    <w:rsid w:val="00E435D6"/>
    <w:rsid w:val="00E43724"/>
    <w:rsid w:val="00E4374A"/>
    <w:rsid w:val="00E43779"/>
    <w:rsid w:val="00E4377B"/>
    <w:rsid w:val="00E43815"/>
    <w:rsid w:val="00E43A28"/>
    <w:rsid w:val="00E43AE4"/>
    <w:rsid w:val="00E43B0F"/>
    <w:rsid w:val="00E43B86"/>
    <w:rsid w:val="00E43BE9"/>
    <w:rsid w:val="00E43C0C"/>
    <w:rsid w:val="00E43D2C"/>
    <w:rsid w:val="00E43D3F"/>
    <w:rsid w:val="00E43E0F"/>
    <w:rsid w:val="00E4401A"/>
    <w:rsid w:val="00E44048"/>
    <w:rsid w:val="00E44052"/>
    <w:rsid w:val="00E440A8"/>
    <w:rsid w:val="00E441B5"/>
    <w:rsid w:val="00E44303"/>
    <w:rsid w:val="00E44669"/>
    <w:rsid w:val="00E447B5"/>
    <w:rsid w:val="00E447C7"/>
    <w:rsid w:val="00E44849"/>
    <w:rsid w:val="00E4494B"/>
    <w:rsid w:val="00E449EC"/>
    <w:rsid w:val="00E44B1F"/>
    <w:rsid w:val="00E44EA1"/>
    <w:rsid w:val="00E44EBE"/>
    <w:rsid w:val="00E44F68"/>
    <w:rsid w:val="00E45074"/>
    <w:rsid w:val="00E45136"/>
    <w:rsid w:val="00E452C7"/>
    <w:rsid w:val="00E45429"/>
    <w:rsid w:val="00E4557F"/>
    <w:rsid w:val="00E455C7"/>
    <w:rsid w:val="00E455F0"/>
    <w:rsid w:val="00E4564A"/>
    <w:rsid w:val="00E4576B"/>
    <w:rsid w:val="00E457A3"/>
    <w:rsid w:val="00E458A1"/>
    <w:rsid w:val="00E458B3"/>
    <w:rsid w:val="00E458CE"/>
    <w:rsid w:val="00E4591E"/>
    <w:rsid w:val="00E45926"/>
    <w:rsid w:val="00E45AEA"/>
    <w:rsid w:val="00E45BE5"/>
    <w:rsid w:val="00E45BF4"/>
    <w:rsid w:val="00E45EDD"/>
    <w:rsid w:val="00E45F27"/>
    <w:rsid w:val="00E45F29"/>
    <w:rsid w:val="00E45FDF"/>
    <w:rsid w:val="00E45FF6"/>
    <w:rsid w:val="00E4603B"/>
    <w:rsid w:val="00E46075"/>
    <w:rsid w:val="00E4618F"/>
    <w:rsid w:val="00E461EE"/>
    <w:rsid w:val="00E46212"/>
    <w:rsid w:val="00E46242"/>
    <w:rsid w:val="00E462B9"/>
    <w:rsid w:val="00E4630E"/>
    <w:rsid w:val="00E46386"/>
    <w:rsid w:val="00E4651D"/>
    <w:rsid w:val="00E46676"/>
    <w:rsid w:val="00E467CC"/>
    <w:rsid w:val="00E467DC"/>
    <w:rsid w:val="00E4689C"/>
    <w:rsid w:val="00E468EC"/>
    <w:rsid w:val="00E469B9"/>
    <w:rsid w:val="00E46A83"/>
    <w:rsid w:val="00E46E1C"/>
    <w:rsid w:val="00E46F74"/>
    <w:rsid w:val="00E47201"/>
    <w:rsid w:val="00E4722E"/>
    <w:rsid w:val="00E4727A"/>
    <w:rsid w:val="00E472A0"/>
    <w:rsid w:val="00E4732F"/>
    <w:rsid w:val="00E4735E"/>
    <w:rsid w:val="00E47375"/>
    <w:rsid w:val="00E4742A"/>
    <w:rsid w:val="00E4744A"/>
    <w:rsid w:val="00E47465"/>
    <w:rsid w:val="00E47678"/>
    <w:rsid w:val="00E476AA"/>
    <w:rsid w:val="00E47740"/>
    <w:rsid w:val="00E47833"/>
    <w:rsid w:val="00E4787A"/>
    <w:rsid w:val="00E47A42"/>
    <w:rsid w:val="00E47A52"/>
    <w:rsid w:val="00E47A71"/>
    <w:rsid w:val="00E47BB3"/>
    <w:rsid w:val="00E47CC9"/>
    <w:rsid w:val="00E47CCE"/>
    <w:rsid w:val="00E47CF2"/>
    <w:rsid w:val="00E47DFA"/>
    <w:rsid w:val="00E500B7"/>
    <w:rsid w:val="00E50134"/>
    <w:rsid w:val="00E5024F"/>
    <w:rsid w:val="00E50272"/>
    <w:rsid w:val="00E502F0"/>
    <w:rsid w:val="00E50495"/>
    <w:rsid w:val="00E504FF"/>
    <w:rsid w:val="00E505CE"/>
    <w:rsid w:val="00E5069A"/>
    <w:rsid w:val="00E506DE"/>
    <w:rsid w:val="00E50AC8"/>
    <w:rsid w:val="00E50BBD"/>
    <w:rsid w:val="00E50C7F"/>
    <w:rsid w:val="00E50CCE"/>
    <w:rsid w:val="00E50E5E"/>
    <w:rsid w:val="00E50E73"/>
    <w:rsid w:val="00E50E7C"/>
    <w:rsid w:val="00E50FF6"/>
    <w:rsid w:val="00E51104"/>
    <w:rsid w:val="00E51199"/>
    <w:rsid w:val="00E5134C"/>
    <w:rsid w:val="00E513D2"/>
    <w:rsid w:val="00E51414"/>
    <w:rsid w:val="00E51578"/>
    <w:rsid w:val="00E517BA"/>
    <w:rsid w:val="00E51847"/>
    <w:rsid w:val="00E51963"/>
    <w:rsid w:val="00E51999"/>
    <w:rsid w:val="00E51A9A"/>
    <w:rsid w:val="00E51AA0"/>
    <w:rsid w:val="00E51BA0"/>
    <w:rsid w:val="00E51BB7"/>
    <w:rsid w:val="00E51C02"/>
    <w:rsid w:val="00E51C15"/>
    <w:rsid w:val="00E51CA4"/>
    <w:rsid w:val="00E51E72"/>
    <w:rsid w:val="00E51ED0"/>
    <w:rsid w:val="00E51ED5"/>
    <w:rsid w:val="00E521D9"/>
    <w:rsid w:val="00E522D6"/>
    <w:rsid w:val="00E52360"/>
    <w:rsid w:val="00E5240B"/>
    <w:rsid w:val="00E525BF"/>
    <w:rsid w:val="00E52645"/>
    <w:rsid w:val="00E527B8"/>
    <w:rsid w:val="00E528E0"/>
    <w:rsid w:val="00E52923"/>
    <w:rsid w:val="00E52A23"/>
    <w:rsid w:val="00E52B21"/>
    <w:rsid w:val="00E52B9C"/>
    <w:rsid w:val="00E52C1C"/>
    <w:rsid w:val="00E52C71"/>
    <w:rsid w:val="00E52CCA"/>
    <w:rsid w:val="00E52CEF"/>
    <w:rsid w:val="00E52DA8"/>
    <w:rsid w:val="00E52EF7"/>
    <w:rsid w:val="00E52F7D"/>
    <w:rsid w:val="00E5300A"/>
    <w:rsid w:val="00E5308A"/>
    <w:rsid w:val="00E531DA"/>
    <w:rsid w:val="00E531FB"/>
    <w:rsid w:val="00E5320C"/>
    <w:rsid w:val="00E53235"/>
    <w:rsid w:val="00E532BD"/>
    <w:rsid w:val="00E5363F"/>
    <w:rsid w:val="00E53782"/>
    <w:rsid w:val="00E537B0"/>
    <w:rsid w:val="00E53A1E"/>
    <w:rsid w:val="00E53B39"/>
    <w:rsid w:val="00E53C14"/>
    <w:rsid w:val="00E53C7B"/>
    <w:rsid w:val="00E53CF4"/>
    <w:rsid w:val="00E53DA5"/>
    <w:rsid w:val="00E53DB6"/>
    <w:rsid w:val="00E53E2D"/>
    <w:rsid w:val="00E53E5B"/>
    <w:rsid w:val="00E53F79"/>
    <w:rsid w:val="00E53FCB"/>
    <w:rsid w:val="00E54098"/>
    <w:rsid w:val="00E54377"/>
    <w:rsid w:val="00E543F8"/>
    <w:rsid w:val="00E544B8"/>
    <w:rsid w:val="00E54514"/>
    <w:rsid w:val="00E54552"/>
    <w:rsid w:val="00E545A1"/>
    <w:rsid w:val="00E545D0"/>
    <w:rsid w:val="00E54661"/>
    <w:rsid w:val="00E546B1"/>
    <w:rsid w:val="00E546C9"/>
    <w:rsid w:val="00E54757"/>
    <w:rsid w:val="00E54854"/>
    <w:rsid w:val="00E548DF"/>
    <w:rsid w:val="00E549BA"/>
    <w:rsid w:val="00E54ABE"/>
    <w:rsid w:val="00E54B3B"/>
    <w:rsid w:val="00E54BA5"/>
    <w:rsid w:val="00E54C1B"/>
    <w:rsid w:val="00E54CA5"/>
    <w:rsid w:val="00E54D75"/>
    <w:rsid w:val="00E54D84"/>
    <w:rsid w:val="00E54FC8"/>
    <w:rsid w:val="00E55253"/>
    <w:rsid w:val="00E553D6"/>
    <w:rsid w:val="00E5548F"/>
    <w:rsid w:val="00E5578B"/>
    <w:rsid w:val="00E55947"/>
    <w:rsid w:val="00E559B1"/>
    <w:rsid w:val="00E55B73"/>
    <w:rsid w:val="00E55C1A"/>
    <w:rsid w:val="00E55C76"/>
    <w:rsid w:val="00E55D68"/>
    <w:rsid w:val="00E55F73"/>
    <w:rsid w:val="00E55F76"/>
    <w:rsid w:val="00E55F77"/>
    <w:rsid w:val="00E55FAC"/>
    <w:rsid w:val="00E560D6"/>
    <w:rsid w:val="00E5611C"/>
    <w:rsid w:val="00E562AE"/>
    <w:rsid w:val="00E565AB"/>
    <w:rsid w:val="00E56739"/>
    <w:rsid w:val="00E5687A"/>
    <w:rsid w:val="00E569B1"/>
    <w:rsid w:val="00E56A3E"/>
    <w:rsid w:val="00E56A4C"/>
    <w:rsid w:val="00E56AB1"/>
    <w:rsid w:val="00E56E19"/>
    <w:rsid w:val="00E56ECF"/>
    <w:rsid w:val="00E57167"/>
    <w:rsid w:val="00E57188"/>
    <w:rsid w:val="00E5720D"/>
    <w:rsid w:val="00E57342"/>
    <w:rsid w:val="00E57584"/>
    <w:rsid w:val="00E57614"/>
    <w:rsid w:val="00E57647"/>
    <w:rsid w:val="00E577BE"/>
    <w:rsid w:val="00E578AA"/>
    <w:rsid w:val="00E5793D"/>
    <w:rsid w:val="00E57943"/>
    <w:rsid w:val="00E5798A"/>
    <w:rsid w:val="00E579C6"/>
    <w:rsid w:val="00E57B8B"/>
    <w:rsid w:val="00E57CA9"/>
    <w:rsid w:val="00E57D20"/>
    <w:rsid w:val="00E57E69"/>
    <w:rsid w:val="00E57EAE"/>
    <w:rsid w:val="00E57ED8"/>
    <w:rsid w:val="00E57F4A"/>
    <w:rsid w:val="00E57FE7"/>
    <w:rsid w:val="00E60008"/>
    <w:rsid w:val="00E60099"/>
    <w:rsid w:val="00E601DE"/>
    <w:rsid w:val="00E602F6"/>
    <w:rsid w:val="00E60331"/>
    <w:rsid w:val="00E6037E"/>
    <w:rsid w:val="00E6039C"/>
    <w:rsid w:val="00E6041F"/>
    <w:rsid w:val="00E60519"/>
    <w:rsid w:val="00E605BA"/>
    <w:rsid w:val="00E605DB"/>
    <w:rsid w:val="00E6066D"/>
    <w:rsid w:val="00E607BA"/>
    <w:rsid w:val="00E6082C"/>
    <w:rsid w:val="00E60AC0"/>
    <w:rsid w:val="00E60B32"/>
    <w:rsid w:val="00E60B3A"/>
    <w:rsid w:val="00E60B6C"/>
    <w:rsid w:val="00E60C7C"/>
    <w:rsid w:val="00E60CE3"/>
    <w:rsid w:val="00E60DF5"/>
    <w:rsid w:val="00E60EA0"/>
    <w:rsid w:val="00E60F44"/>
    <w:rsid w:val="00E6103D"/>
    <w:rsid w:val="00E611B1"/>
    <w:rsid w:val="00E612EA"/>
    <w:rsid w:val="00E612F2"/>
    <w:rsid w:val="00E61417"/>
    <w:rsid w:val="00E61511"/>
    <w:rsid w:val="00E6154F"/>
    <w:rsid w:val="00E61558"/>
    <w:rsid w:val="00E615E4"/>
    <w:rsid w:val="00E61601"/>
    <w:rsid w:val="00E616CB"/>
    <w:rsid w:val="00E617B9"/>
    <w:rsid w:val="00E61835"/>
    <w:rsid w:val="00E61969"/>
    <w:rsid w:val="00E619A7"/>
    <w:rsid w:val="00E61A6F"/>
    <w:rsid w:val="00E61B4F"/>
    <w:rsid w:val="00E61CB0"/>
    <w:rsid w:val="00E61D66"/>
    <w:rsid w:val="00E61E58"/>
    <w:rsid w:val="00E61E67"/>
    <w:rsid w:val="00E61EE5"/>
    <w:rsid w:val="00E621CC"/>
    <w:rsid w:val="00E62218"/>
    <w:rsid w:val="00E6222F"/>
    <w:rsid w:val="00E62432"/>
    <w:rsid w:val="00E62516"/>
    <w:rsid w:val="00E625D0"/>
    <w:rsid w:val="00E625E3"/>
    <w:rsid w:val="00E62751"/>
    <w:rsid w:val="00E62B0F"/>
    <w:rsid w:val="00E62BCF"/>
    <w:rsid w:val="00E62C00"/>
    <w:rsid w:val="00E62C20"/>
    <w:rsid w:val="00E62D32"/>
    <w:rsid w:val="00E62E5A"/>
    <w:rsid w:val="00E63022"/>
    <w:rsid w:val="00E63071"/>
    <w:rsid w:val="00E6309C"/>
    <w:rsid w:val="00E630C7"/>
    <w:rsid w:val="00E63161"/>
    <w:rsid w:val="00E63286"/>
    <w:rsid w:val="00E632A7"/>
    <w:rsid w:val="00E634C6"/>
    <w:rsid w:val="00E63586"/>
    <w:rsid w:val="00E636BB"/>
    <w:rsid w:val="00E6374B"/>
    <w:rsid w:val="00E637AF"/>
    <w:rsid w:val="00E63884"/>
    <w:rsid w:val="00E638B6"/>
    <w:rsid w:val="00E638F0"/>
    <w:rsid w:val="00E638F3"/>
    <w:rsid w:val="00E63944"/>
    <w:rsid w:val="00E63A05"/>
    <w:rsid w:val="00E63A4B"/>
    <w:rsid w:val="00E63B19"/>
    <w:rsid w:val="00E63C27"/>
    <w:rsid w:val="00E63C87"/>
    <w:rsid w:val="00E63CC5"/>
    <w:rsid w:val="00E63D0D"/>
    <w:rsid w:val="00E63D3C"/>
    <w:rsid w:val="00E63DBB"/>
    <w:rsid w:val="00E63DDB"/>
    <w:rsid w:val="00E63DEC"/>
    <w:rsid w:val="00E63F4F"/>
    <w:rsid w:val="00E641C5"/>
    <w:rsid w:val="00E6425A"/>
    <w:rsid w:val="00E642F5"/>
    <w:rsid w:val="00E64389"/>
    <w:rsid w:val="00E64455"/>
    <w:rsid w:val="00E64479"/>
    <w:rsid w:val="00E64521"/>
    <w:rsid w:val="00E6460B"/>
    <w:rsid w:val="00E64639"/>
    <w:rsid w:val="00E6465D"/>
    <w:rsid w:val="00E6470B"/>
    <w:rsid w:val="00E6479A"/>
    <w:rsid w:val="00E6482A"/>
    <w:rsid w:val="00E6487A"/>
    <w:rsid w:val="00E6489F"/>
    <w:rsid w:val="00E64A21"/>
    <w:rsid w:val="00E64AB5"/>
    <w:rsid w:val="00E64DBA"/>
    <w:rsid w:val="00E64DDE"/>
    <w:rsid w:val="00E64EFF"/>
    <w:rsid w:val="00E65008"/>
    <w:rsid w:val="00E65341"/>
    <w:rsid w:val="00E653E8"/>
    <w:rsid w:val="00E654A2"/>
    <w:rsid w:val="00E654AD"/>
    <w:rsid w:val="00E654D7"/>
    <w:rsid w:val="00E654ED"/>
    <w:rsid w:val="00E65507"/>
    <w:rsid w:val="00E65588"/>
    <w:rsid w:val="00E657DA"/>
    <w:rsid w:val="00E65809"/>
    <w:rsid w:val="00E658F6"/>
    <w:rsid w:val="00E65C07"/>
    <w:rsid w:val="00E65C1D"/>
    <w:rsid w:val="00E65D1C"/>
    <w:rsid w:val="00E65DA0"/>
    <w:rsid w:val="00E65E95"/>
    <w:rsid w:val="00E65E9A"/>
    <w:rsid w:val="00E65F95"/>
    <w:rsid w:val="00E66186"/>
    <w:rsid w:val="00E661EF"/>
    <w:rsid w:val="00E66231"/>
    <w:rsid w:val="00E66301"/>
    <w:rsid w:val="00E66346"/>
    <w:rsid w:val="00E66357"/>
    <w:rsid w:val="00E66379"/>
    <w:rsid w:val="00E6649C"/>
    <w:rsid w:val="00E664DD"/>
    <w:rsid w:val="00E665B1"/>
    <w:rsid w:val="00E66722"/>
    <w:rsid w:val="00E6672D"/>
    <w:rsid w:val="00E667DD"/>
    <w:rsid w:val="00E66882"/>
    <w:rsid w:val="00E669D7"/>
    <w:rsid w:val="00E66ADB"/>
    <w:rsid w:val="00E66AE9"/>
    <w:rsid w:val="00E66C83"/>
    <w:rsid w:val="00E66DE5"/>
    <w:rsid w:val="00E66E09"/>
    <w:rsid w:val="00E66E68"/>
    <w:rsid w:val="00E66F52"/>
    <w:rsid w:val="00E66F7B"/>
    <w:rsid w:val="00E67014"/>
    <w:rsid w:val="00E67206"/>
    <w:rsid w:val="00E674AE"/>
    <w:rsid w:val="00E67545"/>
    <w:rsid w:val="00E6754C"/>
    <w:rsid w:val="00E675A9"/>
    <w:rsid w:val="00E67729"/>
    <w:rsid w:val="00E677A6"/>
    <w:rsid w:val="00E67839"/>
    <w:rsid w:val="00E67904"/>
    <w:rsid w:val="00E67980"/>
    <w:rsid w:val="00E67990"/>
    <w:rsid w:val="00E67A15"/>
    <w:rsid w:val="00E67C2B"/>
    <w:rsid w:val="00E67DCC"/>
    <w:rsid w:val="00E67EB1"/>
    <w:rsid w:val="00E67EFA"/>
    <w:rsid w:val="00E70020"/>
    <w:rsid w:val="00E700D7"/>
    <w:rsid w:val="00E701A3"/>
    <w:rsid w:val="00E70362"/>
    <w:rsid w:val="00E703E3"/>
    <w:rsid w:val="00E70465"/>
    <w:rsid w:val="00E704BC"/>
    <w:rsid w:val="00E704E9"/>
    <w:rsid w:val="00E70562"/>
    <w:rsid w:val="00E70608"/>
    <w:rsid w:val="00E7066A"/>
    <w:rsid w:val="00E706C4"/>
    <w:rsid w:val="00E70930"/>
    <w:rsid w:val="00E709B0"/>
    <w:rsid w:val="00E70A4F"/>
    <w:rsid w:val="00E70B4E"/>
    <w:rsid w:val="00E70BEB"/>
    <w:rsid w:val="00E70C0A"/>
    <w:rsid w:val="00E70C28"/>
    <w:rsid w:val="00E70CC5"/>
    <w:rsid w:val="00E70CC6"/>
    <w:rsid w:val="00E70DCB"/>
    <w:rsid w:val="00E70E75"/>
    <w:rsid w:val="00E711A5"/>
    <w:rsid w:val="00E711D1"/>
    <w:rsid w:val="00E7130D"/>
    <w:rsid w:val="00E714CE"/>
    <w:rsid w:val="00E71531"/>
    <w:rsid w:val="00E7155F"/>
    <w:rsid w:val="00E715FE"/>
    <w:rsid w:val="00E71723"/>
    <w:rsid w:val="00E71855"/>
    <w:rsid w:val="00E7185C"/>
    <w:rsid w:val="00E71938"/>
    <w:rsid w:val="00E71A76"/>
    <w:rsid w:val="00E71ADC"/>
    <w:rsid w:val="00E71AFF"/>
    <w:rsid w:val="00E71D64"/>
    <w:rsid w:val="00E71E3D"/>
    <w:rsid w:val="00E71FC9"/>
    <w:rsid w:val="00E72189"/>
    <w:rsid w:val="00E72400"/>
    <w:rsid w:val="00E7241D"/>
    <w:rsid w:val="00E725BA"/>
    <w:rsid w:val="00E726C9"/>
    <w:rsid w:val="00E72938"/>
    <w:rsid w:val="00E7299C"/>
    <w:rsid w:val="00E72C5D"/>
    <w:rsid w:val="00E72CF6"/>
    <w:rsid w:val="00E72D8D"/>
    <w:rsid w:val="00E72DFA"/>
    <w:rsid w:val="00E72E00"/>
    <w:rsid w:val="00E72E98"/>
    <w:rsid w:val="00E7300F"/>
    <w:rsid w:val="00E73094"/>
    <w:rsid w:val="00E730A4"/>
    <w:rsid w:val="00E7316D"/>
    <w:rsid w:val="00E73178"/>
    <w:rsid w:val="00E731FA"/>
    <w:rsid w:val="00E7320C"/>
    <w:rsid w:val="00E732FE"/>
    <w:rsid w:val="00E7342F"/>
    <w:rsid w:val="00E734F3"/>
    <w:rsid w:val="00E73615"/>
    <w:rsid w:val="00E7367D"/>
    <w:rsid w:val="00E7369C"/>
    <w:rsid w:val="00E736EA"/>
    <w:rsid w:val="00E73721"/>
    <w:rsid w:val="00E7372E"/>
    <w:rsid w:val="00E7375D"/>
    <w:rsid w:val="00E7390D"/>
    <w:rsid w:val="00E73993"/>
    <w:rsid w:val="00E73A2F"/>
    <w:rsid w:val="00E73A57"/>
    <w:rsid w:val="00E73AB2"/>
    <w:rsid w:val="00E73B92"/>
    <w:rsid w:val="00E73E53"/>
    <w:rsid w:val="00E740E0"/>
    <w:rsid w:val="00E742CC"/>
    <w:rsid w:val="00E74301"/>
    <w:rsid w:val="00E74307"/>
    <w:rsid w:val="00E7435B"/>
    <w:rsid w:val="00E74537"/>
    <w:rsid w:val="00E7460A"/>
    <w:rsid w:val="00E7460E"/>
    <w:rsid w:val="00E74640"/>
    <w:rsid w:val="00E7473C"/>
    <w:rsid w:val="00E749E7"/>
    <w:rsid w:val="00E749F7"/>
    <w:rsid w:val="00E74B54"/>
    <w:rsid w:val="00E74D28"/>
    <w:rsid w:val="00E74D4E"/>
    <w:rsid w:val="00E74EF5"/>
    <w:rsid w:val="00E751B2"/>
    <w:rsid w:val="00E751C2"/>
    <w:rsid w:val="00E751D0"/>
    <w:rsid w:val="00E75303"/>
    <w:rsid w:val="00E7540E"/>
    <w:rsid w:val="00E75435"/>
    <w:rsid w:val="00E7547D"/>
    <w:rsid w:val="00E754E2"/>
    <w:rsid w:val="00E75576"/>
    <w:rsid w:val="00E75796"/>
    <w:rsid w:val="00E75800"/>
    <w:rsid w:val="00E75819"/>
    <w:rsid w:val="00E758B7"/>
    <w:rsid w:val="00E75970"/>
    <w:rsid w:val="00E75981"/>
    <w:rsid w:val="00E759AD"/>
    <w:rsid w:val="00E759C2"/>
    <w:rsid w:val="00E75A1A"/>
    <w:rsid w:val="00E75A2A"/>
    <w:rsid w:val="00E75A68"/>
    <w:rsid w:val="00E75B17"/>
    <w:rsid w:val="00E75C0E"/>
    <w:rsid w:val="00E75C20"/>
    <w:rsid w:val="00E75C3E"/>
    <w:rsid w:val="00E75C88"/>
    <w:rsid w:val="00E75CBF"/>
    <w:rsid w:val="00E75EFD"/>
    <w:rsid w:val="00E75FC5"/>
    <w:rsid w:val="00E76016"/>
    <w:rsid w:val="00E760A1"/>
    <w:rsid w:val="00E762B5"/>
    <w:rsid w:val="00E763C1"/>
    <w:rsid w:val="00E765D9"/>
    <w:rsid w:val="00E7663E"/>
    <w:rsid w:val="00E76661"/>
    <w:rsid w:val="00E76851"/>
    <w:rsid w:val="00E7689C"/>
    <w:rsid w:val="00E768BB"/>
    <w:rsid w:val="00E76968"/>
    <w:rsid w:val="00E76B2C"/>
    <w:rsid w:val="00E76BA4"/>
    <w:rsid w:val="00E76BF1"/>
    <w:rsid w:val="00E76C28"/>
    <w:rsid w:val="00E76C6E"/>
    <w:rsid w:val="00E76CDF"/>
    <w:rsid w:val="00E76E23"/>
    <w:rsid w:val="00E76F0A"/>
    <w:rsid w:val="00E76F40"/>
    <w:rsid w:val="00E770C7"/>
    <w:rsid w:val="00E771CF"/>
    <w:rsid w:val="00E772CC"/>
    <w:rsid w:val="00E77397"/>
    <w:rsid w:val="00E77420"/>
    <w:rsid w:val="00E7749C"/>
    <w:rsid w:val="00E77618"/>
    <w:rsid w:val="00E77875"/>
    <w:rsid w:val="00E779B2"/>
    <w:rsid w:val="00E779ED"/>
    <w:rsid w:val="00E77DC6"/>
    <w:rsid w:val="00E77E17"/>
    <w:rsid w:val="00E77E91"/>
    <w:rsid w:val="00E77F5C"/>
    <w:rsid w:val="00E77FA1"/>
    <w:rsid w:val="00E800E8"/>
    <w:rsid w:val="00E80151"/>
    <w:rsid w:val="00E80154"/>
    <w:rsid w:val="00E80188"/>
    <w:rsid w:val="00E8020C"/>
    <w:rsid w:val="00E80220"/>
    <w:rsid w:val="00E80321"/>
    <w:rsid w:val="00E803B7"/>
    <w:rsid w:val="00E8040C"/>
    <w:rsid w:val="00E80618"/>
    <w:rsid w:val="00E80C01"/>
    <w:rsid w:val="00E80C15"/>
    <w:rsid w:val="00E80D63"/>
    <w:rsid w:val="00E80D6B"/>
    <w:rsid w:val="00E80EAB"/>
    <w:rsid w:val="00E80F24"/>
    <w:rsid w:val="00E80F64"/>
    <w:rsid w:val="00E80F9F"/>
    <w:rsid w:val="00E80FA2"/>
    <w:rsid w:val="00E80FCD"/>
    <w:rsid w:val="00E80FD5"/>
    <w:rsid w:val="00E810F2"/>
    <w:rsid w:val="00E81336"/>
    <w:rsid w:val="00E8137B"/>
    <w:rsid w:val="00E813BA"/>
    <w:rsid w:val="00E81405"/>
    <w:rsid w:val="00E81755"/>
    <w:rsid w:val="00E817B3"/>
    <w:rsid w:val="00E818C3"/>
    <w:rsid w:val="00E8198A"/>
    <w:rsid w:val="00E819EA"/>
    <w:rsid w:val="00E81A40"/>
    <w:rsid w:val="00E81CA9"/>
    <w:rsid w:val="00E81CC7"/>
    <w:rsid w:val="00E81CEA"/>
    <w:rsid w:val="00E81E71"/>
    <w:rsid w:val="00E81F3F"/>
    <w:rsid w:val="00E81F51"/>
    <w:rsid w:val="00E820A6"/>
    <w:rsid w:val="00E820B2"/>
    <w:rsid w:val="00E820DB"/>
    <w:rsid w:val="00E8212B"/>
    <w:rsid w:val="00E821A0"/>
    <w:rsid w:val="00E8221F"/>
    <w:rsid w:val="00E8225C"/>
    <w:rsid w:val="00E8228D"/>
    <w:rsid w:val="00E8231D"/>
    <w:rsid w:val="00E82433"/>
    <w:rsid w:val="00E824AC"/>
    <w:rsid w:val="00E824E2"/>
    <w:rsid w:val="00E8251C"/>
    <w:rsid w:val="00E82635"/>
    <w:rsid w:val="00E82647"/>
    <w:rsid w:val="00E82777"/>
    <w:rsid w:val="00E827E6"/>
    <w:rsid w:val="00E82A62"/>
    <w:rsid w:val="00E82A7D"/>
    <w:rsid w:val="00E82AE8"/>
    <w:rsid w:val="00E82AFF"/>
    <w:rsid w:val="00E82B24"/>
    <w:rsid w:val="00E82F23"/>
    <w:rsid w:val="00E82FDA"/>
    <w:rsid w:val="00E83017"/>
    <w:rsid w:val="00E832B2"/>
    <w:rsid w:val="00E8339C"/>
    <w:rsid w:val="00E833AE"/>
    <w:rsid w:val="00E83400"/>
    <w:rsid w:val="00E8340A"/>
    <w:rsid w:val="00E834E4"/>
    <w:rsid w:val="00E836B1"/>
    <w:rsid w:val="00E83879"/>
    <w:rsid w:val="00E83901"/>
    <w:rsid w:val="00E8397B"/>
    <w:rsid w:val="00E83ACA"/>
    <w:rsid w:val="00E83B02"/>
    <w:rsid w:val="00E83B17"/>
    <w:rsid w:val="00E83B32"/>
    <w:rsid w:val="00E83C07"/>
    <w:rsid w:val="00E83D1E"/>
    <w:rsid w:val="00E83D4D"/>
    <w:rsid w:val="00E83D6D"/>
    <w:rsid w:val="00E83F28"/>
    <w:rsid w:val="00E83F8B"/>
    <w:rsid w:val="00E841BF"/>
    <w:rsid w:val="00E84202"/>
    <w:rsid w:val="00E8429E"/>
    <w:rsid w:val="00E8430C"/>
    <w:rsid w:val="00E8433E"/>
    <w:rsid w:val="00E84379"/>
    <w:rsid w:val="00E84446"/>
    <w:rsid w:val="00E84582"/>
    <w:rsid w:val="00E846E1"/>
    <w:rsid w:val="00E846E6"/>
    <w:rsid w:val="00E84761"/>
    <w:rsid w:val="00E847CC"/>
    <w:rsid w:val="00E8494F"/>
    <w:rsid w:val="00E84A44"/>
    <w:rsid w:val="00E84B4D"/>
    <w:rsid w:val="00E84C64"/>
    <w:rsid w:val="00E84F5C"/>
    <w:rsid w:val="00E84F7E"/>
    <w:rsid w:val="00E84FAA"/>
    <w:rsid w:val="00E85009"/>
    <w:rsid w:val="00E8502C"/>
    <w:rsid w:val="00E85060"/>
    <w:rsid w:val="00E8507F"/>
    <w:rsid w:val="00E852C3"/>
    <w:rsid w:val="00E85358"/>
    <w:rsid w:val="00E8542C"/>
    <w:rsid w:val="00E85468"/>
    <w:rsid w:val="00E85531"/>
    <w:rsid w:val="00E8557A"/>
    <w:rsid w:val="00E85667"/>
    <w:rsid w:val="00E85678"/>
    <w:rsid w:val="00E856ED"/>
    <w:rsid w:val="00E857A6"/>
    <w:rsid w:val="00E857D4"/>
    <w:rsid w:val="00E859D1"/>
    <w:rsid w:val="00E859E0"/>
    <w:rsid w:val="00E859E2"/>
    <w:rsid w:val="00E85A01"/>
    <w:rsid w:val="00E85CFE"/>
    <w:rsid w:val="00E85DB3"/>
    <w:rsid w:val="00E85E0A"/>
    <w:rsid w:val="00E85E8A"/>
    <w:rsid w:val="00E85E95"/>
    <w:rsid w:val="00E85ED1"/>
    <w:rsid w:val="00E86091"/>
    <w:rsid w:val="00E860A6"/>
    <w:rsid w:val="00E860F0"/>
    <w:rsid w:val="00E861B4"/>
    <w:rsid w:val="00E86620"/>
    <w:rsid w:val="00E86663"/>
    <w:rsid w:val="00E866A6"/>
    <w:rsid w:val="00E86784"/>
    <w:rsid w:val="00E867DD"/>
    <w:rsid w:val="00E86887"/>
    <w:rsid w:val="00E86A2C"/>
    <w:rsid w:val="00E86A4D"/>
    <w:rsid w:val="00E86AFF"/>
    <w:rsid w:val="00E86B4B"/>
    <w:rsid w:val="00E86DDF"/>
    <w:rsid w:val="00E86EAD"/>
    <w:rsid w:val="00E86F1A"/>
    <w:rsid w:val="00E86F5D"/>
    <w:rsid w:val="00E86FE8"/>
    <w:rsid w:val="00E870A9"/>
    <w:rsid w:val="00E870C0"/>
    <w:rsid w:val="00E87116"/>
    <w:rsid w:val="00E871AE"/>
    <w:rsid w:val="00E87246"/>
    <w:rsid w:val="00E872A3"/>
    <w:rsid w:val="00E8732E"/>
    <w:rsid w:val="00E8739D"/>
    <w:rsid w:val="00E87458"/>
    <w:rsid w:val="00E87465"/>
    <w:rsid w:val="00E87477"/>
    <w:rsid w:val="00E875F9"/>
    <w:rsid w:val="00E8768E"/>
    <w:rsid w:val="00E87700"/>
    <w:rsid w:val="00E8771E"/>
    <w:rsid w:val="00E877A9"/>
    <w:rsid w:val="00E8785B"/>
    <w:rsid w:val="00E87869"/>
    <w:rsid w:val="00E87871"/>
    <w:rsid w:val="00E87B05"/>
    <w:rsid w:val="00E87B90"/>
    <w:rsid w:val="00E87E45"/>
    <w:rsid w:val="00E90019"/>
    <w:rsid w:val="00E900A2"/>
    <w:rsid w:val="00E90333"/>
    <w:rsid w:val="00E90382"/>
    <w:rsid w:val="00E903D9"/>
    <w:rsid w:val="00E905AA"/>
    <w:rsid w:val="00E905CB"/>
    <w:rsid w:val="00E906B2"/>
    <w:rsid w:val="00E90721"/>
    <w:rsid w:val="00E907ED"/>
    <w:rsid w:val="00E90904"/>
    <w:rsid w:val="00E909E9"/>
    <w:rsid w:val="00E90A50"/>
    <w:rsid w:val="00E90A61"/>
    <w:rsid w:val="00E90A96"/>
    <w:rsid w:val="00E90AB5"/>
    <w:rsid w:val="00E90AC0"/>
    <w:rsid w:val="00E90AD5"/>
    <w:rsid w:val="00E90B0B"/>
    <w:rsid w:val="00E90B44"/>
    <w:rsid w:val="00E90BCF"/>
    <w:rsid w:val="00E90BE5"/>
    <w:rsid w:val="00E90BF8"/>
    <w:rsid w:val="00E90E9F"/>
    <w:rsid w:val="00E90F4A"/>
    <w:rsid w:val="00E91053"/>
    <w:rsid w:val="00E9106B"/>
    <w:rsid w:val="00E911CB"/>
    <w:rsid w:val="00E91308"/>
    <w:rsid w:val="00E91428"/>
    <w:rsid w:val="00E914C1"/>
    <w:rsid w:val="00E915FD"/>
    <w:rsid w:val="00E91675"/>
    <w:rsid w:val="00E9173E"/>
    <w:rsid w:val="00E91763"/>
    <w:rsid w:val="00E91854"/>
    <w:rsid w:val="00E91AFD"/>
    <w:rsid w:val="00E91B24"/>
    <w:rsid w:val="00E91D52"/>
    <w:rsid w:val="00E91D89"/>
    <w:rsid w:val="00E91DC4"/>
    <w:rsid w:val="00E91E53"/>
    <w:rsid w:val="00E91EA1"/>
    <w:rsid w:val="00E91EE0"/>
    <w:rsid w:val="00E92025"/>
    <w:rsid w:val="00E92057"/>
    <w:rsid w:val="00E92107"/>
    <w:rsid w:val="00E92287"/>
    <w:rsid w:val="00E922D4"/>
    <w:rsid w:val="00E922DD"/>
    <w:rsid w:val="00E92344"/>
    <w:rsid w:val="00E92381"/>
    <w:rsid w:val="00E9246D"/>
    <w:rsid w:val="00E92555"/>
    <w:rsid w:val="00E9255B"/>
    <w:rsid w:val="00E9257C"/>
    <w:rsid w:val="00E9259A"/>
    <w:rsid w:val="00E929CF"/>
    <w:rsid w:val="00E92A0C"/>
    <w:rsid w:val="00E92A66"/>
    <w:rsid w:val="00E92B61"/>
    <w:rsid w:val="00E930A7"/>
    <w:rsid w:val="00E93131"/>
    <w:rsid w:val="00E931B3"/>
    <w:rsid w:val="00E931E5"/>
    <w:rsid w:val="00E934F5"/>
    <w:rsid w:val="00E93AF5"/>
    <w:rsid w:val="00E93B05"/>
    <w:rsid w:val="00E93BF0"/>
    <w:rsid w:val="00E93CA7"/>
    <w:rsid w:val="00E93D13"/>
    <w:rsid w:val="00E93DA5"/>
    <w:rsid w:val="00E93E7B"/>
    <w:rsid w:val="00E9401D"/>
    <w:rsid w:val="00E940F1"/>
    <w:rsid w:val="00E940F2"/>
    <w:rsid w:val="00E94178"/>
    <w:rsid w:val="00E94381"/>
    <w:rsid w:val="00E94488"/>
    <w:rsid w:val="00E94499"/>
    <w:rsid w:val="00E945A6"/>
    <w:rsid w:val="00E9467C"/>
    <w:rsid w:val="00E94724"/>
    <w:rsid w:val="00E94903"/>
    <w:rsid w:val="00E9499D"/>
    <w:rsid w:val="00E94A1A"/>
    <w:rsid w:val="00E94A70"/>
    <w:rsid w:val="00E94A7F"/>
    <w:rsid w:val="00E94A9B"/>
    <w:rsid w:val="00E94B8D"/>
    <w:rsid w:val="00E94BD8"/>
    <w:rsid w:val="00E94C30"/>
    <w:rsid w:val="00E94C3E"/>
    <w:rsid w:val="00E94C41"/>
    <w:rsid w:val="00E94C88"/>
    <w:rsid w:val="00E94D0F"/>
    <w:rsid w:val="00E94DEE"/>
    <w:rsid w:val="00E94F95"/>
    <w:rsid w:val="00E950AF"/>
    <w:rsid w:val="00E95173"/>
    <w:rsid w:val="00E952B5"/>
    <w:rsid w:val="00E95332"/>
    <w:rsid w:val="00E953C5"/>
    <w:rsid w:val="00E953DE"/>
    <w:rsid w:val="00E9549F"/>
    <w:rsid w:val="00E9559F"/>
    <w:rsid w:val="00E95693"/>
    <w:rsid w:val="00E95848"/>
    <w:rsid w:val="00E95A87"/>
    <w:rsid w:val="00E95ABF"/>
    <w:rsid w:val="00E95C57"/>
    <w:rsid w:val="00E95CFC"/>
    <w:rsid w:val="00E95D34"/>
    <w:rsid w:val="00E95DA7"/>
    <w:rsid w:val="00E95EE2"/>
    <w:rsid w:val="00E95EE5"/>
    <w:rsid w:val="00E95F10"/>
    <w:rsid w:val="00E96087"/>
    <w:rsid w:val="00E96118"/>
    <w:rsid w:val="00E96126"/>
    <w:rsid w:val="00E9622B"/>
    <w:rsid w:val="00E96302"/>
    <w:rsid w:val="00E964A0"/>
    <w:rsid w:val="00E964BE"/>
    <w:rsid w:val="00E964D3"/>
    <w:rsid w:val="00E96591"/>
    <w:rsid w:val="00E965D3"/>
    <w:rsid w:val="00E96806"/>
    <w:rsid w:val="00E96881"/>
    <w:rsid w:val="00E968CD"/>
    <w:rsid w:val="00E968E9"/>
    <w:rsid w:val="00E96A07"/>
    <w:rsid w:val="00E96A9D"/>
    <w:rsid w:val="00E96C4D"/>
    <w:rsid w:val="00E96D97"/>
    <w:rsid w:val="00E96E2A"/>
    <w:rsid w:val="00E96EAB"/>
    <w:rsid w:val="00E96ED5"/>
    <w:rsid w:val="00E9702E"/>
    <w:rsid w:val="00E97095"/>
    <w:rsid w:val="00E97347"/>
    <w:rsid w:val="00E9739E"/>
    <w:rsid w:val="00E974C7"/>
    <w:rsid w:val="00E976B0"/>
    <w:rsid w:val="00E976E1"/>
    <w:rsid w:val="00E976EC"/>
    <w:rsid w:val="00E97753"/>
    <w:rsid w:val="00E977E6"/>
    <w:rsid w:val="00E978D1"/>
    <w:rsid w:val="00E979C8"/>
    <w:rsid w:val="00E97A07"/>
    <w:rsid w:val="00E97A23"/>
    <w:rsid w:val="00E97BF9"/>
    <w:rsid w:val="00E97D16"/>
    <w:rsid w:val="00E97D53"/>
    <w:rsid w:val="00E97D54"/>
    <w:rsid w:val="00E97DC9"/>
    <w:rsid w:val="00E97E08"/>
    <w:rsid w:val="00E97E7F"/>
    <w:rsid w:val="00E97EE1"/>
    <w:rsid w:val="00E97F34"/>
    <w:rsid w:val="00EA00D1"/>
    <w:rsid w:val="00EA00D8"/>
    <w:rsid w:val="00EA01E4"/>
    <w:rsid w:val="00EA029A"/>
    <w:rsid w:val="00EA0484"/>
    <w:rsid w:val="00EA0529"/>
    <w:rsid w:val="00EA05B6"/>
    <w:rsid w:val="00EA05DA"/>
    <w:rsid w:val="00EA075A"/>
    <w:rsid w:val="00EA07DF"/>
    <w:rsid w:val="00EA07FF"/>
    <w:rsid w:val="00EA0A35"/>
    <w:rsid w:val="00EA0AE4"/>
    <w:rsid w:val="00EA0B1A"/>
    <w:rsid w:val="00EA0B52"/>
    <w:rsid w:val="00EA0C07"/>
    <w:rsid w:val="00EA0CDB"/>
    <w:rsid w:val="00EA0D1A"/>
    <w:rsid w:val="00EA0DB0"/>
    <w:rsid w:val="00EA0EAE"/>
    <w:rsid w:val="00EA0EC8"/>
    <w:rsid w:val="00EA0FEE"/>
    <w:rsid w:val="00EA11D2"/>
    <w:rsid w:val="00EA1599"/>
    <w:rsid w:val="00EA15C8"/>
    <w:rsid w:val="00EA161F"/>
    <w:rsid w:val="00EA16D4"/>
    <w:rsid w:val="00EA16FE"/>
    <w:rsid w:val="00EA182B"/>
    <w:rsid w:val="00EA182C"/>
    <w:rsid w:val="00EA1919"/>
    <w:rsid w:val="00EA1B70"/>
    <w:rsid w:val="00EA1D3D"/>
    <w:rsid w:val="00EA1FF0"/>
    <w:rsid w:val="00EA20C3"/>
    <w:rsid w:val="00EA20E5"/>
    <w:rsid w:val="00EA2125"/>
    <w:rsid w:val="00EA236E"/>
    <w:rsid w:val="00EA23CE"/>
    <w:rsid w:val="00EA2450"/>
    <w:rsid w:val="00EA24E4"/>
    <w:rsid w:val="00EA2501"/>
    <w:rsid w:val="00EA2513"/>
    <w:rsid w:val="00EA27B2"/>
    <w:rsid w:val="00EA27F6"/>
    <w:rsid w:val="00EA297B"/>
    <w:rsid w:val="00EA2A1E"/>
    <w:rsid w:val="00EA2B78"/>
    <w:rsid w:val="00EA2CF4"/>
    <w:rsid w:val="00EA2D75"/>
    <w:rsid w:val="00EA2E35"/>
    <w:rsid w:val="00EA2FF3"/>
    <w:rsid w:val="00EA30D9"/>
    <w:rsid w:val="00EA30FE"/>
    <w:rsid w:val="00EA3342"/>
    <w:rsid w:val="00EA3470"/>
    <w:rsid w:val="00EA35C0"/>
    <w:rsid w:val="00EA3696"/>
    <w:rsid w:val="00EA3764"/>
    <w:rsid w:val="00EA3793"/>
    <w:rsid w:val="00EA37C7"/>
    <w:rsid w:val="00EA38D8"/>
    <w:rsid w:val="00EA3926"/>
    <w:rsid w:val="00EA3AB3"/>
    <w:rsid w:val="00EA3AD4"/>
    <w:rsid w:val="00EA3B19"/>
    <w:rsid w:val="00EA3BA2"/>
    <w:rsid w:val="00EA3C06"/>
    <w:rsid w:val="00EA3C57"/>
    <w:rsid w:val="00EA3D70"/>
    <w:rsid w:val="00EA3E7E"/>
    <w:rsid w:val="00EA409B"/>
    <w:rsid w:val="00EA40F3"/>
    <w:rsid w:val="00EA4146"/>
    <w:rsid w:val="00EA4289"/>
    <w:rsid w:val="00EA449C"/>
    <w:rsid w:val="00EA4571"/>
    <w:rsid w:val="00EA45CD"/>
    <w:rsid w:val="00EA47F2"/>
    <w:rsid w:val="00EA4849"/>
    <w:rsid w:val="00EA49C6"/>
    <w:rsid w:val="00EA4A13"/>
    <w:rsid w:val="00EA4A3D"/>
    <w:rsid w:val="00EA4B59"/>
    <w:rsid w:val="00EA4CBA"/>
    <w:rsid w:val="00EA4D93"/>
    <w:rsid w:val="00EA501C"/>
    <w:rsid w:val="00EA5034"/>
    <w:rsid w:val="00EA50F9"/>
    <w:rsid w:val="00EA5122"/>
    <w:rsid w:val="00EA5140"/>
    <w:rsid w:val="00EA5253"/>
    <w:rsid w:val="00EA52D1"/>
    <w:rsid w:val="00EA52E0"/>
    <w:rsid w:val="00EA53B9"/>
    <w:rsid w:val="00EA53E2"/>
    <w:rsid w:val="00EA5469"/>
    <w:rsid w:val="00EA54E9"/>
    <w:rsid w:val="00EA5568"/>
    <w:rsid w:val="00EA5741"/>
    <w:rsid w:val="00EA576D"/>
    <w:rsid w:val="00EA5915"/>
    <w:rsid w:val="00EA5A48"/>
    <w:rsid w:val="00EA5B73"/>
    <w:rsid w:val="00EA5C54"/>
    <w:rsid w:val="00EA5C5C"/>
    <w:rsid w:val="00EA5D0D"/>
    <w:rsid w:val="00EA5D27"/>
    <w:rsid w:val="00EA5D30"/>
    <w:rsid w:val="00EA5DB5"/>
    <w:rsid w:val="00EA5DE5"/>
    <w:rsid w:val="00EA5F6B"/>
    <w:rsid w:val="00EA5FA6"/>
    <w:rsid w:val="00EA5FD2"/>
    <w:rsid w:val="00EA5FDA"/>
    <w:rsid w:val="00EA6189"/>
    <w:rsid w:val="00EA61F6"/>
    <w:rsid w:val="00EA637D"/>
    <w:rsid w:val="00EA63CB"/>
    <w:rsid w:val="00EA6448"/>
    <w:rsid w:val="00EA646D"/>
    <w:rsid w:val="00EA648B"/>
    <w:rsid w:val="00EA64A2"/>
    <w:rsid w:val="00EA64E5"/>
    <w:rsid w:val="00EA656A"/>
    <w:rsid w:val="00EA662A"/>
    <w:rsid w:val="00EA664E"/>
    <w:rsid w:val="00EA666B"/>
    <w:rsid w:val="00EA6716"/>
    <w:rsid w:val="00EA6A3C"/>
    <w:rsid w:val="00EA6B5B"/>
    <w:rsid w:val="00EA6BBF"/>
    <w:rsid w:val="00EA6C08"/>
    <w:rsid w:val="00EA6C2C"/>
    <w:rsid w:val="00EA6EB7"/>
    <w:rsid w:val="00EA729F"/>
    <w:rsid w:val="00EA7499"/>
    <w:rsid w:val="00EA762D"/>
    <w:rsid w:val="00EA76B3"/>
    <w:rsid w:val="00EA77BF"/>
    <w:rsid w:val="00EA7986"/>
    <w:rsid w:val="00EA79FE"/>
    <w:rsid w:val="00EA7C18"/>
    <w:rsid w:val="00EA7C46"/>
    <w:rsid w:val="00EA7D3C"/>
    <w:rsid w:val="00EB0022"/>
    <w:rsid w:val="00EB01FB"/>
    <w:rsid w:val="00EB0291"/>
    <w:rsid w:val="00EB03C6"/>
    <w:rsid w:val="00EB04F4"/>
    <w:rsid w:val="00EB0507"/>
    <w:rsid w:val="00EB065B"/>
    <w:rsid w:val="00EB0675"/>
    <w:rsid w:val="00EB06AE"/>
    <w:rsid w:val="00EB06ED"/>
    <w:rsid w:val="00EB0746"/>
    <w:rsid w:val="00EB0783"/>
    <w:rsid w:val="00EB0B15"/>
    <w:rsid w:val="00EB0C03"/>
    <w:rsid w:val="00EB0D96"/>
    <w:rsid w:val="00EB0DA1"/>
    <w:rsid w:val="00EB0E04"/>
    <w:rsid w:val="00EB0E24"/>
    <w:rsid w:val="00EB0ECA"/>
    <w:rsid w:val="00EB0EE1"/>
    <w:rsid w:val="00EB0F0C"/>
    <w:rsid w:val="00EB0F8D"/>
    <w:rsid w:val="00EB100C"/>
    <w:rsid w:val="00EB10B3"/>
    <w:rsid w:val="00EB112F"/>
    <w:rsid w:val="00EB120C"/>
    <w:rsid w:val="00EB1269"/>
    <w:rsid w:val="00EB1478"/>
    <w:rsid w:val="00EB1642"/>
    <w:rsid w:val="00EB164D"/>
    <w:rsid w:val="00EB1667"/>
    <w:rsid w:val="00EB16D9"/>
    <w:rsid w:val="00EB1725"/>
    <w:rsid w:val="00EB1780"/>
    <w:rsid w:val="00EB17D0"/>
    <w:rsid w:val="00EB1A68"/>
    <w:rsid w:val="00EB1AE7"/>
    <w:rsid w:val="00EB1B90"/>
    <w:rsid w:val="00EB1C24"/>
    <w:rsid w:val="00EB1C50"/>
    <w:rsid w:val="00EB1E31"/>
    <w:rsid w:val="00EB1E9D"/>
    <w:rsid w:val="00EB2030"/>
    <w:rsid w:val="00EB20C8"/>
    <w:rsid w:val="00EB21B9"/>
    <w:rsid w:val="00EB2210"/>
    <w:rsid w:val="00EB22A6"/>
    <w:rsid w:val="00EB22F8"/>
    <w:rsid w:val="00EB239F"/>
    <w:rsid w:val="00EB23B8"/>
    <w:rsid w:val="00EB2449"/>
    <w:rsid w:val="00EB2471"/>
    <w:rsid w:val="00EB25A8"/>
    <w:rsid w:val="00EB2655"/>
    <w:rsid w:val="00EB2682"/>
    <w:rsid w:val="00EB27F6"/>
    <w:rsid w:val="00EB28E3"/>
    <w:rsid w:val="00EB29DB"/>
    <w:rsid w:val="00EB2A15"/>
    <w:rsid w:val="00EB2AEA"/>
    <w:rsid w:val="00EB2B73"/>
    <w:rsid w:val="00EB2D2D"/>
    <w:rsid w:val="00EB2EE1"/>
    <w:rsid w:val="00EB32F3"/>
    <w:rsid w:val="00EB344C"/>
    <w:rsid w:val="00EB35FA"/>
    <w:rsid w:val="00EB365D"/>
    <w:rsid w:val="00EB36A0"/>
    <w:rsid w:val="00EB374A"/>
    <w:rsid w:val="00EB3783"/>
    <w:rsid w:val="00EB3998"/>
    <w:rsid w:val="00EB39BC"/>
    <w:rsid w:val="00EB3AC3"/>
    <w:rsid w:val="00EB3B2F"/>
    <w:rsid w:val="00EB3C37"/>
    <w:rsid w:val="00EB3C88"/>
    <w:rsid w:val="00EB3CB1"/>
    <w:rsid w:val="00EB3CF8"/>
    <w:rsid w:val="00EB3E05"/>
    <w:rsid w:val="00EB3E16"/>
    <w:rsid w:val="00EB3E65"/>
    <w:rsid w:val="00EB425D"/>
    <w:rsid w:val="00EB42ED"/>
    <w:rsid w:val="00EB454C"/>
    <w:rsid w:val="00EB4581"/>
    <w:rsid w:val="00EB46D9"/>
    <w:rsid w:val="00EB4897"/>
    <w:rsid w:val="00EB4905"/>
    <w:rsid w:val="00EB4A07"/>
    <w:rsid w:val="00EB4A33"/>
    <w:rsid w:val="00EB4B05"/>
    <w:rsid w:val="00EB4C31"/>
    <w:rsid w:val="00EB4CA5"/>
    <w:rsid w:val="00EB4D06"/>
    <w:rsid w:val="00EB4DC2"/>
    <w:rsid w:val="00EB4E2C"/>
    <w:rsid w:val="00EB4E57"/>
    <w:rsid w:val="00EB4E6B"/>
    <w:rsid w:val="00EB4F67"/>
    <w:rsid w:val="00EB4FD8"/>
    <w:rsid w:val="00EB50C7"/>
    <w:rsid w:val="00EB50F8"/>
    <w:rsid w:val="00EB5123"/>
    <w:rsid w:val="00EB52BB"/>
    <w:rsid w:val="00EB52F0"/>
    <w:rsid w:val="00EB549A"/>
    <w:rsid w:val="00EB5525"/>
    <w:rsid w:val="00EB5533"/>
    <w:rsid w:val="00EB58C4"/>
    <w:rsid w:val="00EB5A1E"/>
    <w:rsid w:val="00EB5B85"/>
    <w:rsid w:val="00EB5BAC"/>
    <w:rsid w:val="00EB5BC8"/>
    <w:rsid w:val="00EB5C5B"/>
    <w:rsid w:val="00EB5C9D"/>
    <w:rsid w:val="00EB5DE6"/>
    <w:rsid w:val="00EB5E2A"/>
    <w:rsid w:val="00EB60D3"/>
    <w:rsid w:val="00EB6235"/>
    <w:rsid w:val="00EB63EE"/>
    <w:rsid w:val="00EB63F1"/>
    <w:rsid w:val="00EB649D"/>
    <w:rsid w:val="00EB64E2"/>
    <w:rsid w:val="00EB667E"/>
    <w:rsid w:val="00EB66CF"/>
    <w:rsid w:val="00EB6902"/>
    <w:rsid w:val="00EB693C"/>
    <w:rsid w:val="00EB694A"/>
    <w:rsid w:val="00EB6981"/>
    <w:rsid w:val="00EB6A06"/>
    <w:rsid w:val="00EB6A28"/>
    <w:rsid w:val="00EB6A73"/>
    <w:rsid w:val="00EB6ACC"/>
    <w:rsid w:val="00EB6C66"/>
    <w:rsid w:val="00EB6D4F"/>
    <w:rsid w:val="00EB6DC4"/>
    <w:rsid w:val="00EB6F3B"/>
    <w:rsid w:val="00EB7052"/>
    <w:rsid w:val="00EB7086"/>
    <w:rsid w:val="00EB708A"/>
    <w:rsid w:val="00EB70CC"/>
    <w:rsid w:val="00EB71A7"/>
    <w:rsid w:val="00EB71BB"/>
    <w:rsid w:val="00EB722A"/>
    <w:rsid w:val="00EB73E5"/>
    <w:rsid w:val="00EB74A6"/>
    <w:rsid w:val="00EB74E7"/>
    <w:rsid w:val="00EB7543"/>
    <w:rsid w:val="00EB75D2"/>
    <w:rsid w:val="00EB767C"/>
    <w:rsid w:val="00EB76D5"/>
    <w:rsid w:val="00EB7829"/>
    <w:rsid w:val="00EB7887"/>
    <w:rsid w:val="00EB7984"/>
    <w:rsid w:val="00EB79B5"/>
    <w:rsid w:val="00EB7B91"/>
    <w:rsid w:val="00EB7EA2"/>
    <w:rsid w:val="00EB7F16"/>
    <w:rsid w:val="00EB7FAC"/>
    <w:rsid w:val="00EC0000"/>
    <w:rsid w:val="00EC006F"/>
    <w:rsid w:val="00EC01CF"/>
    <w:rsid w:val="00EC01EF"/>
    <w:rsid w:val="00EC0218"/>
    <w:rsid w:val="00EC0223"/>
    <w:rsid w:val="00EC02CE"/>
    <w:rsid w:val="00EC02D8"/>
    <w:rsid w:val="00EC03BA"/>
    <w:rsid w:val="00EC0503"/>
    <w:rsid w:val="00EC0602"/>
    <w:rsid w:val="00EC065C"/>
    <w:rsid w:val="00EC06B6"/>
    <w:rsid w:val="00EC0721"/>
    <w:rsid w:val="00EC08A3"/>
    <w:rsid w:val="00EC08B2"/>
    <w:rsid w:val="00EC0972"/>
    <w:rsid w:val="00EC0983"/>
    <w:rsid w:val="00EC09C2"/>
    <w:rsid w:val="00EC0ADD"/>
    <w:rsid w:val="00EC0AEB"/>
    <w:rsid w:val="00EC0C0E"/>
    <w:rsid w:val="00EC0C33"/>
    <w:rsid w:val="00EC0D7B"/>
    <w:rsid w:val="00EC0ED5"/>
    <w:rsid w:val="00EC0F5C"/>
    <w:rsid w:val="00EC0F6A"/>
    <w:rsid w:val="00EC104F"/>
    <w:rsid w:val="00EC108E"/>
    <w:rsid w:val="00EC10AB"/>
    <w:rsid w:val="00EC12AB"/>
    <w:rsid w:val="00EC14A9"/>
    <w:rsid w:val="00EC1597"/>
    <w:rsid w:val="00EC161F"/>
    <w:rsid w:val="00EC185E"/>
    <w:rsid w:val="00EC18DA"/>
    <w:rsid w:val="00EC1998"/>
    <w:rsid w:val="00EC19AC"/>
    <w:rsid w:val="00EC1BB1"/>
    <w:rsid w:val="00EC1C27"/>
    <w:rsid w:val="00EC1C8D"/>
    <w:rsid w:val="00EC1CDC"/>
    <w:rsid w:val="00EC1D80"/>
    <w:rsid w:val="00EC1DB3"/>
    <w:rsid w:val="00EC1DE2"/>
    <w:rsid w:val="00EC1E5C"/>
    <w:rsid w:val="00EC2017"/>
    <w:rsid w:val="00EC2067"/>
    <w:rsid w:val="00EC207B"/>
    <w:rsid w:val="00EC20A4"/>
    <w:rsid w:val="00EC20EE"/>
    <w:rsid w:val="00EC210C"/>
    <w:rsid w:val="00EC22D5"/>
    <w:rsid w:val="00EC2342"/>
    <w:rsid w:val="00EC2343"/>
    <w:rsid w:val="00EC2376"/>
    <w:rsid w:val="00EC23B9"/>
    <w:rsid w:val="00EC23D1"/>
    <w:rsid w:val="00EC244E"/>
    <w:rsid w:val="00EC251B"/>
    <w:rsid w:val="00EC2584"/>
    <w:rsid w:val="00EC2589"/>
    <w:rsid w:val="00EC25E7"/>
    <w:rsid w:val="00EC2684"/>
    <w:rsid w:val="00EC277A"/>
    <w:rsid w:val="00EC28F3"/>
    <w:rsid w:val="00EC2973"/>
    <w:rsid w:val="00EC2BA1"/>
    <w:rsid w:val="00EC2BA7"/>
    <w:rsid w:val="00EC2C8E"/>
    <w:rsid w:val="00EC2D55"/>
    <w:rsid w:val="00EC2D93"/>
    <w:rsid w:val="00EC2E49"/>
    <w:rsid w:val="00EC2E4E"/>
    <w:rsid w:val="00EC2F56"/>
    <w:rsid w:val="00EC304D"/>
    <w:rsid w:val="00EC3247"/>
    <w:rsid w:val="00EC328D"/>
    <w:rsid w:val="00EC32AA"/>
    <w:rsid w:val="00EC3558"/>
    <w:rsid w:val="00EC3585"/>
    <w:rsid w:val="00EC35C5"/>
    <w:rsid w:val="00EC35D6"/>
    <w:rsid w:val="00EC35E8"/>
    <w:rsid w:val="00EC3612"/>
    <w:rsid w:val="00EC3646"/>
    <w:rsid w:val="00EC376B"/>
    <w:rsid w:val="00EC37FF"/>
    <w:rsid w:val="00EC3876"/>
    <w:rsid w:val="00EC395E"/>
    <w:rsid w:val="00EC3999"/>
    <w:rsid w:val="00EC3A9A"/>
    <w:rsid w:val="00EC3BDB"/>
    <w:rsid w:val="00EC3C65"/>
    <w:rsid w:val="00EC3D14"/>
    <w:rsid w:val="00EC3F38"/>
    <w:rsid w:val="00EC3F7F"/>
    <w:rsid w:val="00EC3FA6"/>
    <w:rsid w:val="00EC3FCE"/>
    <w:rsid w:val="00EC402F"/>
    <w:rsid w:val="00EC4066"/>
    <w:rsid w:val="00EC421C"/>
    <w:rsid w:val="00EC4572"/>
    <w:rsid w:val="00EC484B"/>
    <w:rsid w:val="00EC485D"/>
    <w:rsid w:val="00EC4946"/>
    <w:rsid w:val="00EC49BC"/>
    <w:rsid w:val="00EC4B67"/>
    <w:rsid w:val="00EC4C4E"/>
    <w:rsid w:val="00EC4D06"/>
    <w:rsid w:val="00EC4FB8"/>
    <w:rsid w:val="00EC5189"/>
    <w:rsid w:val="00EC5227"/>
    <w:rsid w:val="00EC555E"/>
    <w:rsid w:val="00EC5632"/>
    <w:rsid w:val="00EC5699"/>
    <w:rsid w:val="00EC5863"/>
    <w:rsid w:val="00EC5888"/>
    <w:rsid w:val="00EC5A90"/>
    <w:rsid w:val="00EC5B44"/>
    <w:rsid w:val="00EC5C6E"/>
    <w:rsid w:val="00EC5CA2"/>
    <w:rsid w:val="00EC5CD0"/>
    <w:rsid w:val="00EC5D61"/>
    <w:rsid w:val="00EC5E60"/>
    <w:rsid w:val="00EC5E71"/>
    <w:rsid w:val="00EC5FE8"/>
    <w:rsid w:val="00EC608C"/>
    <w:rsid w:val="00EC60A4"/>
    <w:rsid w:val="00EC6191"/>
    <w:rsid w:val="00EC621A"/>
    <w:rsid w:val="00EC6285"/>
    <w:rsid w:val="00EC62AF"/>
    <w:rsid w:val="00EC637A"/>
    <w:rsid w:val="00EC6874"/>
    <w:rsid w:val="00EC696D"/>
    <w:rsid w:val="00EC6B13"/>
    <w:rsid w:val="00EC6B7B"/>
    <w:rsid w:val="00EC6FA6"/>
    <w:rsid w:val="00EC6FB9"/>
    <w:rsid w:val="00EC7424"/>
    <w:rsid w:val="00EC74DF"/>
    <w:rsid w:val="00EC759C"/>
    <w:rsid w:val="00EC7623"/>
    <w:rsid w:val="00EC763B"/>
    <w:rsid w:val="00EC7707"/>
    <w:rsid w:val="00EC782E"/>
    <w:rsid w:val="00EC7844"/>
    <w:rsid w:val="00EC796B"/>
    <w:rsid w:val="00EC7C2C"/>
    <w:rsid w:val="00EC7C47"/>
    <w:rsid w:val="00EC7C56"/>
    <w:rsid w:val="00EC7F02"/>
    <w:rsid w:val="00EC7FC9"/>
    <w:rsid w:val="00EC7FF9"/>
    <w:rsid w:val="00ED0173"/>
    <w:rsid w:val="00ED01AE"/>
    <w:rsid w:val="00ED0384"/>
    <w:rsid w:val="00ED03CA"/>
    <w:rsid w:val="00ED0490"/>
    <w:rsid w:val="00ED0591"/>
    <w:rsid w:val="00ED0592"/>
    <w:rsid w:val="00ED062B"/>
    <w:rsid w:val="00ED0AC7"/>
    <w:rsid w:val="00ED0B21"/>
    <w:rsid w:val="00ED0BAB"/>
    <w:rsid w:val="00ED0C4F"/>
    <w:rsid w:val="00ED0D2E"/>
    <w:rsid w:val="00ED0D2F"/>
    <w:rsid w:val="00ED0D93"/>
    <w:rsid w:val="00ED0DF6"/>
    <w:rsid w:val="00ED0DFE"/>
    <w:rsid w:val="00ED0F87"/>
    <w:rsid w:val="00ED0FCD"/>
    <w:rsid w:val="00ED11D2"/>
    <w:rsid w:val="00ED1202"/>
    <w:rsid w:val="00ED125D"/>
    <w:rsid w:val="00ED13DD"/>
    <w:rsid w:val="00ED1422"/>
    <w:rsid w:val="00ED145A"/>
    <w:rsid w:val="00ED175D"/>
    <w:rsid w:val="00ED17E4"/>
    <w:rsid w:val="00ED1917"/>
    <w:rsid w:val="00ED1964"/>
    <w:rsid w:val="00ED1A70"/>
    <w:rsid w:val="00ED1B04"/>
    <w:rsid w:val="00ED1B52"/>
    <w:rsid w:val="00ED1C43"/>
    <w:rsid w:val="00ED1D03"/>
    <w:rsid w:val="00ED1E4A"/>
    <w:rsid w:val="00ED1E62"/>
    <w:rsid w:val="00ED1F72"/>
    <w:rsid w:val="00ED1FC7"/>
    <w:rsid w:val="00ED230B"/>
    <w:rsid w:val="00ED23EA"/>
    <w:rsid w:val="00ED2427"/>
    <w:rsid w:val="00ED25A5"/>
    <w:rsid w:val="00ED25CF"/>
    <w:rsid w:val="00ED266C"/>
    <w:rsid w:val="00ED2790"/>
    <w:rsid w:val="00ED282D"/>
    <w:rsid w:val="00ED2888"/>
    <w:rsid w:val="00ED295E"/>
    <w:rsid w:val="00ED29BA"/>
    <w:rsid w:val="00ED2A48"/>
    <w:rsid w:val="00ED2B50"/>
    <w:rsid w:val="00ED2B84"/>
    <w:rsid w:val="00ED2BE3"/>
    <w:rsid w:val="00ED2C7E"/>
    <w:rsid w:val="00ED2EE1"/>
    <w:rsid w:val="00ED2F17"/>
    <w:rsid w:val="00ED2F4E"/>
    <w:rsid w:val="00ED2F74"/>
    <w:rsid w:val="00ED30AC"/>
    <w:rsid w:val="00ED30CC"/>
    <w:rsid w:val="00ED33CE"/>
    <w:rsid w:val="00ED3586"/>
    <w:rsid w:val="00ED37A0"/>
    <w:rsid w:val="00ED3824"/>
    <w:rsid w:val="00ED39F0"/>
    <w:rsid w:val="00ED3A08"/>
    <w:rsid w:val="00ED3A7B"/>
    <w:rsid w:val="00ED3B06"/>
    <w:rsid w:val="00ED3B7B"/>
    <w:rsid w:val="00ED3CED"/>
    <w:rsid w:val="00ED3D79"/>
    <w:rsid w:val="00ED3D80"/>
    <w:rsid w:val="00ED3E85"/>
    <w:rsid w:val="00ED3EAD"/>
    <w:rsid w:val="00ED3FD1"/>
    <w:rsid w:val="00ED42DF"/>
    <w:rsid w:val="00ED42FF"/>
    <w:rsid w:val="00ED4374"/>
    <w:rsid w:val="00ED43D3"/>
    <w:rsid w:val="00ED43FA"/>
    <w:rsid w:val="00ED4816"/>
    <w:rsid w:val="00ED4979"/>
    <w:rsid w:val="00ED49B0"/>
    <w:rsid w:val="00ED49DC"/>
    <w:rsid w:val="00ED4B86"/>
    <w:rsid w:val="00ED4C09"/>
    <w:rsid w:val="00ED4C6A"/>
    <w:rsid w:val="00ED4DEC"/>
    <w:rsid w:val="00ED4DF2"/>
    <w:rsid w:val="00ED4F11"/>
    <w:rsid w:val="00ED4F51"/>
    <w:rsid w:val="00ED501A"/>
    <w:rsid w:val="00ED50C7"/>
    <w:rsid w:val="00ED5139"/>
    <w:rsid w:val="00ED51F4"/>
    <w:rsid w:val="00ED5249"/>
    <w:rsid w:val="00ED525E"/>
    <w:rsid w:val="00ED52BF"/>
    <w:rsid w:val="00ED52EB"/>
    <w:rsid w:val="00ED5361"/>
    <w:rsid w:val="00ED53BF"/>
    <w:rsid w:val="00ED541B"/>
    <w:rsid w:val="00ED55CE"/>
    <w:rsid w:val="00ED560A"/>
    <w:rsid w:val="00ED56E2"/>
    <w:rsid w:val="00ED5711"/>
    <w:rsid w:val="00ED575F"/>
    <w:rsid w:val="00ED5835"/>
    <w:rsid w:val="00ED5A50"/>
    <w:rsid w:val="00ED5B4B"/>
    <w:rsid w:val="00ED5D62"/>
    <w:rsid w:val="00ED5FBE"/>
    <w:rsid w:val="00ED6052"/>
    <w:rsid w:val="00ED628A"/>
    <w:rsid w:val="00ED62C9"/>
    <w:rsid w:val="00ED6375"/>
    <w:rsid w:val="00ED640A"/>
    <w:rsid w:val="00ED6465"/>
    <w:rsid w:val="00ED64A3"/>
    <w:rsid w:val="00ED671B"/>
    <w:rsid w:val="00ED6A75"/>
    <w:rsid w:val="00ED6AD0"/>
    <w:rsid w:val="00ED6AF1"/>
    <w:rsid w:val="00ED6BB2"/>
    <w:rsid w:val="00ED6D8C"/>
    <w:rsid w:val="00ED6DA2"/>
    <w:rsid w:val="00ED6EE5"/>
    <w:rsid w:val="00ED6F64"/>
    <w:rsid w:val="00ED6F97"/>
    <w:rsid w:val="00ED71CC"/>
    <w:rsid w:val="00ED7200"/>
    <w:rsid w:val="00ED729F"/>
    <w:rsid w:val="00ED73EE"/>
    <w:rsid w:val="00ED7439"/>
    <w:rsid w:val="00ED746A"/>
    <w:rsid w:val="00ED758B"/>
    <w:rsid w:val="00ED7594"/>
    <w:rsid w:val="00ED7606"/>
    <w:rsid w:val="00ED76C1"/>
    <w:rsid w:val="00ED78A1"/>
    <w:rsid w:val="00ED7A56"/>
    <w:rsid w:val="00ED7AE4"/>
    <w:rsid w:val="00ED7D20"/>
    <w:rsid w:val="00ED7D2D"/>
    <w:rsid w:val="00ED7E6B"/>
    <w:rsid w:val="00ED7EC2"/>
    <w:rsid w:val="00ED7F29"/>
    <w:rsid w:val="00EDB6F8"/>
    <w:rsid w:val="00EE0015"/>
    <w:rsid w:val="00EE0024"/>
    <w:rsid w:val="00EE01FE"/>
    <w:rsid w:val="00EE020F"/>
    <w:rsid w:val="00EE025D"/>
    <w:rsid w:val="00EE037B"/>
    <w:rsid w:val="00EE050C"/>
    <w:rsid w:val="00EE05A8"/>
    <w:rsid w:val="00EE0613"/>
    <w:rsid w:val="00EE069E"/>
    <w:rsid w:val="00EE0718"/>
    <w:rsid w:val="00EE08DE"/>
    <w:rsid w:val="00EE0900"/>
    <w:rsid w:val="00EE0A6C"/>
    <w:rsid w:val="00EE0A7F"/>
    <w:rsid w:val="00EE0C70"/>
    <w:rsid w:val="00EE0D33"/>
    <w:rsid w:val="00EE0DE4"/>
    <w:rsid w:val="00EE0E20"/>
    <w:rsid w:val="00EE0E24"/>
    <w:rsid w:val="00EE0E83"/>
    <w:rsid w:val="00EE0EB1"/>
    <w:rsid w:val="00EE0FF9"/>
    <w:rsid w:val="00EE11DB"/>
    <w:rsid w:val="00EE11E2"/>
    <w:rsid w:val="00EE124A"/>
    <w:rsid w:val="00EE125B"/>
    <w:rsid w:val="00EE12D4"/>
    <w:rsid w:val="00EE12DC"/>
    <w:rsid w:val="00EE134C"/>
    <w:rsid w:val="00EE13C2"/>
    <w:rsid w:val="00EE14EA"/>
    <w:rsid w:val="00EE15FC"/>
    <w:rsid w:val="00EE1701"/>
    <w:rsid w:val="00EE189B"/>
    <w:rsid w:val="00EE189F"/>
    <w:rsid w:val="00EE18DF"/>
    <w:rsid w:val="00EE19BC"/>
    <w:rsid w:val="00EE1B3B"/>
    <w:rsid w:val="00EE1C18"/>
    <w:rsid w:val="00EE1CE4"/>
    <w:rsid w:val="00EE1D91"/>
    <w:rsid w:val="00EE1E17"/>
    <w:rsid w:val="00EE1ECD"/>
    <w:rsid w:val="00EE1F45"/>
    <w:rsid w:val="00EE1FC5"/>
    <w:rsid w:val="00EE2013"/>
    <w:rsid w:val="00EE203A"/>
    <w:rsid w:val="00EE233D"/>
    <w:rsid w:val="00EE238D"/>
    <w:rsid w:val="00EE23F5"/>
    <w:rsid w:val="00EE240B"/>
    <w:rsid w:val="00EE2545"/>
    <w:rsid w:val="00EE2642"/>
    <w:rsid w:val="00EE2787"/>
    <w:rsid w:val="00EE2874"/>
    <w:rsid w:val="00EE28F6"/>
    <w:rsid w:val="00EE2976"/>
    <w:rsid w:val="00EE29FB"/>
    <w:rsid w:val="00EE2AF3"/>
    <w:rsid w:val="00EE2B5C"/>
    <w:rsid w:val="00EE2B93"/>
    <w:rsid w:val="00EE2C97"/>
    <w:rsid w:val="00EE2CF5"/>
    <w:rsid w:val="00EE2D2B"/>
    <w:rsid w:val="00EE2DFF"/>
    <w:rsid w:val="00EE2FDC"/>
    <w:rsid w:val="00EE304E"/>
    <w:rsid w:val="00EE3076"/>
    <w:rsid w:val="00EE316F"/>
    <w:rsid w:val="00EE31EB"/>
    <w:rsid w:val="00EE329A"/>
    <w:rsid w:val="00EE32E2"/>
    <w:rsid w:val="00EE34E9"/>
    <w:rsid w:val="00EE3757"/>
    <w:rsid w:val="00EE37D2"/>
    <w:rsid w:val="00EE3866"/>
    <w:rsid w:val="00EE38FD"/>
    <w:rsid w:val="00EE3A0B"/>
    <w:rsid w:val="00EE3AC7"/>
    <w:rsid w:val="00EE3BC0"/>
    <w:rsid w:val="00EE3BEF"/>
    <w:rsid w:val="00EE3C05"/>
    <w:rsid w:val="00EE3C67"/>
    <w:rsid w:val="00EE3CCF"/>
    <w:rsid w:val="00EE3EF9"/>
    <w:rsid w:val="00EE4102"/>
    <w:rsid w:val="00EE4189"/>
    <w:rsid w:val="00EE42A7"/>
    <w:rsid w:val="00EE42D4"/>
    <w:rsid w:val="00EE4313"/>
    <w:rsid w:val="00EE43B8"/>
    <w:rsid w:val="00EE43BD"/>
    <w:rsid w:val="00EE446C"/>
    <w:rsid w:val="00EE4497"/>
    <w:rsid w:val="00EE44A4"/>
    <w:rsid w:val="00EE4510"/>
    <w:rsid w:val="00EE467F"/>
    <w:rsid w:val="00EE46A6"/>
    <w:rsid w:val="00EE4789"/>
    <w:rsid w:val="00EE4837"/>
    <w:rsid w:val="00EE4852"/>
    <w:rsid w:val="00EE4855"/>
    <w:rsid w:val="00EE487B"/>
    <w:rsid w:val="00EE4A69"/>
    <w:rsid w:val="00EE4B42"/>
    <w:rsid w:val="00EE4CB7"/>
    <w:rsid w:val="00EE4CEC"/>
    <w:rsid w:val="00EE4D67"/>
    <w:rsid w:val="00EE4D9E"/>
    <w:rsid w:val="00EE4E51"/>
    <w:rsid w:val="00EE4FC3"/>
    <w:rsid w:val="00EE524E"/>
    <w:rsid w:val="00EE5290"/>
    <w:rsid w:val="00EE52B0"/>
    <w:rsid w:val="00EE545A"/>
    <w:rsid w:val="00EE5641"/>
    <w:rsid w:val="00EE56BD"/>
    <w:rsid w:val="00EE56F6"/>
    <w:rsid w:val="00EE57DB"/>
    <w:rsid w:val="00EE5843"/>
    <w:rsid w:val="00EE58EB"/>
    <w:rsid w:val="00EE59B3"/>
    <w:rsid w:val="00EE5A45"/>
    <w:rsid w:val="00EE5A74"/>
    <w:rsid w:val="00EE5AD5"/>
    <w:rsid w:val="00EE5C02"/>
    <w:rsid w:val="00EE5C2D"/>
    <w:rsid w:val="00EE5CA0"/>
    <w:rsid w:val="00EE5CE6"/>
    <w:rsid w:val="00EE5D77"/>
    <w:rsid w:val="00EE5EB9"/>
    <w:rsid w:val="00EE5F1C"/>
    <w:rsid w:val="00EE5F4D"/>
    <w:rsid w:val="00EE5F9D"/>
    <w:rsid w:val="00EE5FBB"/>
    <w:rsid w:val="00EE60A4"/>
    <w:rsid w:val="00EE60C2"/>
    <w:rsid w:val="00EE613D"/>
    <w:rsid w:val="00EE61C1"/>
    <w:rsid w:val="00EE61D8"/>
    <w:rsid w:val="00EE6260"/>
    <w:rsid w:val="00EE62CF"/>
    <w:rsid w:val="00EE63BE"/>
    <w:rsid w:val="00EE64A4"/>
    <w:rsid w:val="00EE64B6"/>
    <w:rsid w:val="00EE64BA"/>
    <w:rsid w:val="00EE6559"/>
    <w:rsid w:val="00EE66CC"/>
    <w:rsid w:val="00EE6719"/>
    <w:rsid w:val="00EE6742"/>
    <w:rsid w:val="00EE67F6"/>
    <w:rsid w:val="00EE6B86"/>
    <w:rsid w:val="00EE6CB6"/>
    <w:rsid w:val="00EE6DA4"/>
    <w:rsid w:val="00EE6DD7"/>
    <w:rsid w:val="00EE6EB9"/>
    <w:rsid w:val="00EE6EEE"/>
    <w:rsid w:val="00EE7044"/>
    <w:rsid w:val="00EE70BF"/>
    <w:rsid w:val="00EE7112"/>
    <w:rsid w:val="00EE719C"/>
    <w:rsid w:val="00EE71CF"/>
    <w:rsid w:val="00EE7545"/>
    <w:rsid w:val="00EE75AC"/>
    <w:rsid w:val="00EE7614"/>
    <w:rsid w:val="00EE7665"/>
    <w:rsid w:val="00EE7894"/>
    <w:rsid w:val="00EE79BC"/>
    <w:rsid w:val="00EE7B60"/>
    <w:rsid w:val="00EE7C6C"/>
    <w:rsid w:val="00EE7C74"/>
    <w:rsid w:val="00EE7C7B"/>
    <w:rsid w:val="00EE7D7E"/>
    <w:rsid w:val="00EE7F9A"/>
    <w:rsid w:val="00EF00FB"/>
    <w:rsid w:val="00EF0120"/>
    <w:rsid w:val="00EF01D2"/>
    <w:rsid w:val="00EF01F6"/>
    <w:rsid w:val="00EF0247"/>
    <w:rsid w:val="00EF024E"/>
    <w:rsid w:val="00EF035E"/>
    <w:rsid w:val="00EF03F9"/>
    <w:rsid w:val="00EF04A7"/>
    <w:rsid w:val="00EF04C9"/>
    <w:rsid w:val="00EF05D3"/>
    <w:rsid w:val="00EF0642"/>
    <w:rsid w:val="00EF0890"/>
    <w:rsid w:val="00EF08CD"/>
    <w:rsid w:val="00EF0A18"/>
    <w:rsid w:val="00EF0AF5"/>
    <w:rsid w:val="00EF0B1C"/>
    <w:rsid w:val="00EF0F8F"/>
    <w:rsid w:val="00EF101F"/>
    <w:rsid w:val="00EF1089"/>
    <w:rsid w:val="00EF116C"/>
    <w:rsid w:val="00EF127C"/>
    <w:rsid w:val="00EF1285"/>
    <w:rsid w:val="00EF144A"/>
    <w:rsid w:val="00EF150E"/>
    <w:rsid w:val="00EF1533"/>
    <w:rsid w:val="00EF1538"/>
    <w:rsid w:val="00EF15D0"/>
    <w:rsid w:val="00EF160B"/>
    <w:rsid w:val="00EF1935"/>
    <w:rsid w:val="00EF198E"/>
    <w:rsid w:val="00EF1C2A"/>
    <w:rsid w:val="00EF1D98"/>
    <w:rsid w:val="00EF1E2D"/>
    <w:rsid w:val="00EF1E4B"/>
    <w:rsid w:val="00EF2112"/>
    <w:rsid w:val="00EF218F"/>
    <w:rsid w:val="00EF21A4"/>
    <w:rsid w:val="00EF2243"/>
    <w:rsid w:val="00EF22B6"/>
    <w:rsid w:val="00EF2404"/>
    <w:rsid w:val="00EF245C"/>
    <w:rsid w:val="00EF2575"/>
    <w:rsid w:val="00EF2599"/>
    <w:rsid w:val="00EF25DC"/>
    <w:rsid w:val="00EF2641"/>
    <w:rsid w:val="00EF280A"/>
    <w:rsid w:val="00EF2861"/>
    <w:rsid w:val="00EF28D6"/>
    <w:rsid w:val="00EF2958"/>
    <w:rsid w:val="00EF2ACC"/>
    <w:rsid w:val="00EF2ACE"/>
    <w:rsid w:val="00EF2AD0"/>
    <w:rsid w:val="00EF2AF6"/>
    <w:rsid w:val="00EF2C1D"/>
    <w:rsid w:val="00EF2C66"/>
    <w:rsid w:val="00EF2CB1"/>
    <w:rsid w:val="00EF2D45"/>
    <w:rsid w:val="00EF2D7D"/>
    <w:rsid w:val="00EF2DA2"/>
    <w:rsid w:val="00EF2F17"/>
    <w:rsid w:val="00EF2F3A"/>
    <w:rsid w:val="00EF2F67"/>
    <w:rsid w:val="00EF3122"/>
    <w:rsid w:val="00EF3287"/>
    <w:rsid w:val="00EF32D4"/>
    <w:rsid w:val="00EF33B3"/>
    <w:rsid w:val="00EF33BC"/>
    <w:rsid w:val="00EF33DF"/>
    <w:rsid w:val="00EF343A"/>
    <w:rsid w:val="00EF353F"/>
    <w:rsid w:val="00EF35CA"/>
    <w:rsid w:val="00EF35FA"/>
    <w:rsid w:val="00EF3673"/>
    <w:rsid w:val="00EF36C8"/>
    <w:rsid w:val="00EF37BD"/>
    <w:rsid w:val="00EF37C8"/>
    <w:rsid w:val="00EF3895"/>
    <w:rsid w:val="00EF38C2"/>
    <w:rsid w:val="00EF3B74"/>
    <w:rsid w:val="00EF3BB0"/>
    <w:rsid w:val="00EF3BB3"/>
    <w:rsid w:val="00EF3BB8"/>
    <w:rsid w:val="00EF3C6A"/>
    <w:rsid w:val="00EF3D2B"/>
    <w:rsid w:val="00EF3D3F"/>
    <w:rsid w:val="00EF3D82"/>
    <w:rsid w:val="00EF3DA3"/>
    <w:rsid w:val="00EF3E07"/>
    <w:rsid w:val="00EF3E41"/>
    <w:rsid w:val="00EF3F3B"/>
    <w:rsid w:val="00EF3FD0"/>
    <w:rsid w:val="00EF3FF8"/>
    <w:rsid w:val="00EF4077"/>
    <w:rsid w:val="00EF4178"/>
    <w:rsid w:val="00EF41B7"/>
    <w:rsid w:val="00EF4371"/>
    <w:rsid w:val="00EF4377"/>
    <w:rsid w:val="00EF4455"/>
    <w:rsid w:val="00EF459A"/>
    <w:rsid w:val="00EF459D"/>
    <w:rsid w:val="00EF4603"/>
    <w:rsid w:val="00EF46BA"/>
    <w:rsid w:val="00EF46DC"/>
    <w:rsid w:val="00EF478F"/>
    <w:rsid w:val="00EF47D3"/>
    <w:rsid w:val="00EF481A"/>
    <w:rsid w:val="00EF490F"/>
    <w:rsid w:val="00EF4971"/>
    <w:rsid w:val="00EF49FA"/>
    <w:rsid w:val="00EF4A04"/>
    <w:rsid w:val="00EF4A12"/>
    <w:rsid w:val="00EF4A7C"/>
    <w:rsid w:val="00EF4AF8"/>
    <w:rsid w:val="00EF4B6F"/>
    <w:rsid w:val="00EF4BAD"/>
    <w:rsid w:val="00EF4C3B"/>
    <w:rsid w:val="00EF4CE2"/>
    <w:rsid w:val="00EF4CF5"/>
    <w:rsid w:val="00EF4D13"/>
    <w:rsid w:val="00EF4D93"/>
    <w:rsid w:val="00EF4E46"/>
    <w:rsid w:val="00EF4FE4"/>
    <w:rsid w:val="00EF501B"/>
    <w:rsid w:val="00EF50F2"/>
    <w:rsid w:val="00EF5131"/>
    <w:rsid w:val="00EF5144"/>
    <w:rsid w:val="00EF51D4"/>
    <w:rsid w:val="00EF52BE"/>
    <w:rsid w:val="00EF576A"/>
    <w:rsid w:val="00EF58CD"/>
    <w:rsid w:val="00EF59C4"/>
    <w:rsid w:val="00EF59CB"/>
    <w:rsid w:val="00EF5BF2"/>
    <w:rsid w:val="00EF5C76"/>
    <w:rsid w:val="00EF5E9A"/>
    <w:rsid w:val="00EF6032"/>
    <w:rsid w:val="00EF6048"/>
    <w:rsid w:val="00EF608C"/>
    <w:rsid w:val="00EF6093"/>
    <w:rsid w:val="00EF60CF"/>
    <w:rsid w:val="00EF6185"/>
    <w:rsid w:val="00EF6191"/>
    <w:rsid w:val="00EF61B9"/>
    <w:rsid w:val="00EF61CC"/>
    <w:rsid w:val="00EF62CC"/>
    <w:rsid w:val="00EF62DD"/>
    <w:rsid w:val="00EF63D5"/>
    <w:rsid w:val="00EF6417"/>
    <w:rsid w:val="00EF649D"/>
    <w:rsid w:val="00EF6608"/>
    <w:rsid w:val="00EF672A"/>
    <w:rsid w:val="00EF6750"/>
    <w:rsid w:val="00EF69AB"/>
    <w:rsid w:val="00EF6AA4"/>
    <w:rsid w:val="00EF6BCD"/>
    <w:rsid w:val="00EF6C4C"/>
    <w:rsid w:val="00EF6D32"/>
    <w:rsid w:val="00EF6D36"/>
    <w:rsid w:val="00EF6D51"/>
    <w:rsid w:val="00EF6D94"/>
    <w:rsid w:val="00EF6DE0"/>
    <w:rsid w:val="00EF6E0B"/>
    <w:rsid w:val="00EF6F25"/>
    <w:rsid w:val="00EF6FDC"/>
    <w:rsid w:val="00EF70AC"/>
    <w:rsid w:val="00EF71B5"/>
    <w:rsid w:val="00EF7253"/>
    <w:rsid w:val="00EF7264"/>
    <w:rsid w:val="00EF7413"/>
    <w:rsid w:val="00EF7566"/>
    <w:rsid w:val="00EF7A61"/>
    <w:rsid w:val="00EF7B50"/>
    <w:rsid w:val="00EF7BAD"/>
    <w:rsid w:val="00EF7C5E"/>
    <w:rsid w:val="00EF7D06"/>
    <w:rsid w:val="00EF7D8E"/>
    <w:rsid w:val="00EF7EAE"/>
    <w:rsid w:val="00EF7F11"/>
    <w:rsid w:val="00EF7F3C"/>
    <w:rsid w:val="00F0007B"/>
    <w:rsid w:val="00F000B5"/>
    <w:rsid w:val="00F001C0"/>
    <w:rsid w:val="00F002E1"/>
    <w:rsid w:val="00F00818"/>
    <w:rsid w:val="00F00BC9"/>
    <w:rsid w:val="00F00BF9"/>
    <w:rsid w:val="00F00C0B"/>
    <w:rsid w:val="00F00CAE"/>
    <w:rsid w:val="00F00CB6"/>
    <w:rsid w:val="00F00D26"/>
    <w:rsid w:val="00F00D67"/>
    <w:rsid w:val="00F00E01"/>
    <w:rsid w:val="00F00EAF"/>
    <w:rsid w:val="00F00EB3"/>
    <w:rsid w:val="00F00EF0"/>
    <w:rsid w:val="00F00F59"/>
    <w:rsid w:val="00F013C0"/>
    <w:rsid w:val="00F013D0"/>
    <w:rsid w:val="00F01415"/>
    <w:rsid w:val="00F0142A"/>
    <w:rsid w:val="00F014C1"/>
    <w:rsid w:val="00F01508"/>
    <w:rsid w:val="00F01549"/>
    <w:rsid w:val="00F015A2"/>
    <w:rsid w:val="00F0163E"/>
    <w:rsid w:val="00F01749"/>
    <w:rsid w:val="00F01759"/>
    <w:rsid w:val="00F018E7"/>
    <w:rsid w:val="00F018F1"/>
    <w:rsid w:val="00F01988"/>
    <w:rsid w:val="00F01996"/>
    <w:rsid w:val="00F01A56"/>
    <w:rsid w:val="00F01BC9"/>
    <w:rsid w:val="00F01C07"/>
    <w:rsid w:val="00F01E2B"/>
    <w:rsid w:val="00F01ED8"/>
    <w:rsid w:val="00F01F4B"/>
    <w:rsid w:val="00F01FA5"/>
    <w:rsid w:val="00F022CD"/>
    <w:rsid w:val="00F022D5"/>
    <w:rsid w:val="00F02314"/>
    <w:rsid w:val="00F02356"/>
    <w:rsid w:val="00F02403"/>
    <w:rsid w:val="00F02409"/>
    <w:rsid w:val="00F02494"/>
    <w:rsid w:val="00F024FE"/>
    <w:rsid w:val="00F025CD"/>
    <w:rsid w:val="00F025D0"/>
    <w:rsid w:val="00F0263C"/>
    <w:rsid w:val="00F026CD"/>
    <w:rsid w:val="00F02712"/>
    <w:rsid w:val="00F02889"/>
    <w:rsid w:val="00F029C2"/>
    <w:rsid w:val="00F02A20"/>
    <w:rsid w:val="00F02CBE"/>
    <w:rsid w:val="00F02DDE"/>
    <w:rsid w:val="00F02E52"/>
    <w:rsid w:val="00F03183"/>
    <w:rsid w:val="00F031E0"/>
    <w:rsid w:val="00F03301"/>
    <w:rsid w:val="00F03316"/>
    <w:rsid w:val="00F03339"/>
    <w:rsid w:val="00F03344"/>
    <w:rsid w:val="00F03468"/>
    <w:rsid w:val="00F03501"/>
    <w:rsid w:val="00F03521"/>
    <w:rsid w:val="00F03600"/>
    <w:rsid w:val="00F0365A"/>
    <w:rsid w:val="00F0377B"/>
    <w:rsid w:val="00F03965"/>
    <w:rsid w:val="00F039E9"/>
    <w:rsid w:val="00F03A47"/>
    <w:rsid w:val="00F03A93"/>
    <w:rsid w:val="00F03BE9"/>
    <w:rsid w:val="00F03DDE"/>
    <w:rsid w:val="00F03E00"/>
    <w:rsid w:val="00F03EE2"/>
    <w:rsid w:val="00F040E6"/>
    <w:rsid w:val="00F041E5"/>
    <w:rsid w:val="00F04296"/>
    <w:rsid w:val="00F04344"/>
    <w:rsid w:val="00F043C4"/>
    <w:rsid w:val="00F0454D"/>
    <w:rsid w:val="00F04597"/>
    <w:rsid w:val="00F045FD"/>
    <w:rsid w:val="00F04794"/>
    <w:rsid w:val="00F047F4"/>
    <w:rsid w:val="00F0483F"/>
    <w:rsid w:val="00F04880"/>
    <w:rsid w:val="00F04881"/>
    <w:rsid w:val="00F04A43"/>
    <w:rsid w:val="00F04A44"/>
    <w:rsid w:val="00F04A47"/>
    <w:rsid w:val="00F04A98"/>
    <w:rsid w:val="00F04B1D"/>
    <w:rsid w:val="00F04E10"/>
    <w:rsid w:val="00F04E1F"/>
    <w:rsid w:val="00F04E45"/>
    <w:rsid w:val="00F05015"/>
    <w:rsid w:val="00F050F9"/>
    <w:rsid w:val="00F0513D"/>
    <w:rsid w:val="00F0515C"/>
    <w:rsid w:val="00F05178"/>
    <w:rsid w:val="00F05230"/>
    <w:rsid w:val="00F05259"/>
    <w:rsid w:val="00F052A1"/>
    <w:rsid w:val="00F052DE"/>
    <w:rsid w:val="00F053E4"/>
    <w:rsid w:val="00F0540D"/>
    <w:rsid w:val="00F05414"/>
    <w:rsid w:val="00F0577B"/>
    <w:rsid w:val="00F057D8"/>
    <w:rsid w:val="00F057F0"/>
    <w:rsid w:val="00F05825"/>
    <w:rsid w:val="00F05960"/>
    <w:rsid w:val="00F05B53"/>
    <w:rsid w:val="00F05BA5"/>
    <w:rsid w:val="00F05C8F"/>
    <w:rsid w:val="00F05DA2"/>
    <w:rsid w:val="00F05E1B"/>
    <w:rsid w:val="00F05FF9"/>
    <w:rsid w:val="00F0605A"/>
    <w:rsid w:val="00F062E9"/>
    <w:rsid w:val="00F062EF"/>
    <w:rsid w:val="00F06465"/>
    <w:rsid w:val="00F06533"/>
    <w:rsid w:val="00F06726"/>
    <w:rsid w:val="00F06814"/>
    <w:rsid w:val="00F068BD"/>
    <w:rsid w:val="00F068D7"/>
    <w:rsid w:val="00F06A0B"/>
    <w:rsid w:val="00F06A92"/>
    <w:rsid w:val="00F06BA7"/>
    <w:rsid w:val="00F06CED"/>
    <w:rsid w:val="00F06D60"/>
    <w:rsid w:val="00F06D7E"/>
    <w:rsid w:val="00F06E54"/>
    <w:rsid w:val="00F06E8F"/>
    <w:rsid w:val="00F06F18"/>
    <w:rsid w:val="00F06F6F"/>
    <w:rsid w:val="00F06FC9"/>
    <w:rsid w:val="00F070CB"/>
    <w:rsid w:val="00F0711C"/>
    <w:rsid w:val="00F071F0"/>
    <w:rsid w:val="00F07223"/>
    <w:rsid w:val="00F072C5"/>
    <w:rsid w:val="00F07307"/>
    <w:rsid w:val="00F07410"/>
    <w:rsid w:val="00F07416"/>
    <w:rsid w:val="00F07521"/>
    <w:rsid w:val="00F07539"/>
    <w:rsid w:val="00F075DB"/>
    <w:rsid w:val="00F07695"/>
    <w:rsid w:val="00F077F4"/>
    <w:rsid w:val="00F07960"/>
    <w:rsid w:val="00F07975"/>
    <w:rsid w:val="00F07A13"/>
    <w:rsid w:val="00F07AEE"/>
    <w:rsid w:val="00F07B10"/>
    <w:rsid w:val="00F07B12"/>
    <w:rsid w:val="00F07B40"/>
    <w:rsid w:val="00F07B49"/>
    <w:rsid w:val="00F07D5F"/>
    <w:rsid w:val="00F07DC7"/>
    <w:rsid w:val="00F07DDC"/>
    <w:rsid w:val="00F07F18"/>
    <w:rsid w:val="00F07F6B"/>
    <w:rsid w:val="00F07F7C"/>
    <w:rsid w:val="00F07F9C"/>
    <w:rsid w:val="00F0C387"/>
    <w:rsid w:val="00F1017F"/>
    <w:rsid w:val="00F101A0"/>
    <w:rsid w:val="00F1020F"/>
    <w:rsid w:val="00F10227"/>
    <w:rsid w:val="00F10243"/>
    <w:rsid w:val="00F1026B"/>
    <w:rsid w:val="00F1029C"/>
    <w:rsid w:val="00F103B9"/>
    <w:rsid w:val="00F10430"/>
    <w:rsid w:val="00F106A1"/>
    <w:rsid w:val="00F1079C"/>
    <w:rsid w:val="00F1079D"/>
    <w:rsid w:val="00F10928"/>
    <w:rsid w:val="00F10A43"/>
    <w:rsid w:val="00F10AB2"/>
    <w:rsid w:val="00F10B1F"/>
    <w:rsid w:val="00F10C3B"/>
    <w:rsid w:val="00F10CE2"/>
    <w:rsid w:val="00F10D85"/>
    <w:rsid w:val="00F10D8C"/>
    <w:rsid w:val="00F10D8D"/>
    <w:rsid w:val="00F10E9A"/>
    <w:rsid w:val="00F10EEE"/>
    <w:rsid w:val="00F10FF7"/>
    <w:rsid w:val="00F11078"/>
    <w:rsid w:val="00F111F1"/>
    <w:rsid w:val="00F11236"/>
    <w:rsid w:val="00F112DD"/>
    <w:rsid w:val="00F11328"/>
    <w:rsid w:val="00F11431"/>
    <w:rsid w:val="00F11534"/>
    <w:rsid w:val="00F116E2"/>
    <w:rsid w:val="00F11738"/>
    <w:rsid w:val="00F1174A"/>
    <w:rsid w:val="00F11774"/>
    <w:rsid w:val="00F117D4"/>
    <w:rsid w:val="00F118F6"/>
    <w:rsid w:val="00F11941"/>
    <w:rsid w:val="00F11944"/>
    <w:rsid w:val="00F11A0A"/>
    <w:rsid w:val="00F11B0E"/>
    <w:rsid w:val="00F11B2F"/>
    <w:rsid w:val="00F11C10"/>
    <w:rsid w:val="00F11CA0"/>
    <w:rsid w:val="00F11CA5"/>
    <w:rsid w:val="00F11CB5"/>
    <w:rsid w:val="00F11E1A"/>
    <w:rsid w:val="00F11F64"/>
    <w:rsid w:val="00F11FBC"/>
    <w:rsid w:val="00F120A5"/>
    <w:rsid w:val="00F12261"/>
    <w:rsid w:val="00F12263"/>
    <w:rsid w:val="00F1249E"/>
    <w:rsid w:val="00F124B8"/>
    <w:rsid w:val="00F124DF"/>
    <w:rsid w:val="00F12518"/>
    <w:rsid w:val="00F12737"/>
    <w:rsid w:val="00F127A6"/>
    <w:rsid w:val="00F1285F"/>
    <w:rsid w:val="00F12983"/>
    <w:rsid w:val="00F12991"/>
    <w:rsid w:val="00F12A44"/>
    <w:rsid w:val="00F12AE7"/>
    <w:rsid w:val="00F12B8F"/>
    <w:rsid w:val="00F12CFA"/>
    <w:rsid w:val="00F12CFF"/>
    <w:rsid w:val="00F12D06"/>
    <w:rsid w:val="00F12E42"/>
    <w:rsid w:val="00F12F3B"/>
    <w:rsid w:val="00F12F4E"/>
    <w:rsid w:val="00F13015"/>
    <w:rsid w:val="00F13048"/>
    <w:rsid w:val="00F1313A"/>
    <w:rsid w:val="00F13159"/>
    <w:rsid w:val="00F1319A"/>
    <w:rsid w:val="00F13234"/>
    <w:rsid w:val="00F13340"/>
    <w:rsid w:val="00F13431"/>
    <w:rsid w:val="00F13464"/>
    <w:rsid w:val="00F134F1"/>
    <w:rsid w:val="00F13579"/>
    <w:rsid w:val="00F13617"/>
    <w:rsid w:val="00F136AA"/>
    <w:rsid w:val="00F1372A"/>
    <w:rsid w:val="00F1379D"/>
    <w:rsid w:val="00F13869"/>
    <w:rsid w:val="00F138C9"/>
    <w:rsid w:val="00F13A3B"/>
    <w:rsid w:val="00F13BE4"/>
    <w:rsid w:val="00F13C66"/>
    <w:rsid w:val="00F13C7C"/>
    <w:rsid w:val="00F13CF3"/>
    <w:rsid w:val="00F14149"/>
    <w:rsid w:val="00F14157"/>
    <w:rsid w:val="00F1417E"/>
    <w:rsid w:val="00F142B0"/>
    <w:rsid w:val="00F143D1"/>
    <w:rsid w:val="00F143D8"/>
    <w:rsid w:val="00F1445E"/>
    <w:rsid w:val="00F144B7"/>
    <w:rsid w:val="00F14616"/>
    <w:rsid w:val="00F146BA"/>
    <w:rsid w:val="00F146EC"/>
    <w:rsid w:val="00F14723"/>
    <w:rsid w:val="00F1493C"/>
    <w:rsid w:val="00F1494B"/>
    <w:rsid w:val="00F1498F"/>
    <w:rsid w:val="00F14ABA"/>
    <w:rsid w:val="00F14B6E"/>
    <w:rsid w:val="00F14BC0"/>
    <w:rsid w:val="00F14CF5"/>
    <w:rsid w:val="00F14E1F"/>
    <w:rsid w:val="00F14E2B"/>
    <w:rsid w:val="00F14F04"/>
    <w:rsid w:val="00F14F21"/>
    <w:rsid w:val="00F14F38"/>
    <w:rsid w:val="00F15147"/>
    <w:rsid w:val="00F15343"/>
    <w:rsid w:val="00F15352"/>
    <w:rsid w:val="00F15405"/>
    <w:rsid w:val="00F15431"/>
    <w:rsid w:val="00F15537"/>
    <w:rsid w:val="00F1559D"/>
    <w:rsid w:val="00F15633"/>
    <w:rsid w:val="00F15681"/>
    <w:rsid w:val="00F156EF"/>
    <w:rsid w:val="00F15710"/>
    <w:rsid w:val="00F1595C"/>
    <w:rsid w:val="00F15BF9"/>
    <w:rsid w:val="00F15DEF"/>
    <w:rsid w:val="00F15E1F"/>
    <w:rsid w:val="00F15F80"/>
    <w:rsid w:val="00F1607D"/>
    <w:rsid w:val="00F16234"/>
    <w:rsid w:val="00F162B5"/>
    <w:rsid w:val="00F16480"/>
    <w:rsid w:val="00F1657C"/>
    <w:rsid w:val="00F165AD"/>
    <w:rsid w:val="00F16657"/>
    <w:rsid w:val="00F168B6"/>
    <w:rsid w:val="00F16919"/>
    <w:rsid w:val="00F16940"/>
    <w:rsid w:val="00F16974"/>
    <w:rsid w:val="00F169FB"/>
    <w:rsid w:val="00F16A9D"/>
    <w:rsid w:val="00F16AAA"/>
    <w:rsid w:val="00F16AFF"/>
    <w:rsid w:val="00F16B32"/>
    <w:rsid w:val="00F16E7F"/>
    <w:rsid w:val="00F16EB4"/>
    <w:rsid w:val="00F1710B"/>
    <w:rsid w:val="00F17180"/>
    <w:rsid w:val="00F171EB"/>
    <w:rsid w:val="00F1727F"/>
    <w:rsid w:val="00F172F4"/>
    <w:rsid w:val="00F173D3"/>
    <w:rsid w:val="00F1747C"/>
    <w:rsid w:val="00F176E5"/>
    <w:rsid w:val="00F176E6"/>
    <w:rsid w:val="00F178C2"/>
    <w:rsid w:val="00F17923"/>
    <w:rsid w:val="00F1795D"/>
    <w:rsid w:val="00F17AFB"/>
    <w:rsid w:val="00F17D51"/>
    <w:rsid w:val="00F17E55"/>
    <w:rsid w:val="00F17EFC"/>
    <w:rsid w:val="00F17F8C"/>
    <w:rsid w:val="00F20006"/>
    <w:rsid w:val="00F20048"/>
    <w:rsid w:val="00F20168"/>
    <w:rsid w:val="00F20188"/>
    <w:rsid w:val="00F201D1"/>
    <w:rsid w:val="00F20365"/>
    <w:rsid w:val="00F2036A"/>
    <w:rsid w:val="00F203C6"/>
    <w:rsid w:val="00F2048F"/>
    <w:rsid w:val="00F2050A"/>
    <w:rsid w:val="00F205C8"/>
    <w:rsid w:val="00F206DD"/>
    <w:rsid w:val="00F2092E"/>
    <w:rsid w:val="00F209C9"/>
    <w:rsid w:val="00F20A10"/>
    <w:rsid w:val="00F20A9B"/>
    <w:rsid w:val="00F20B0E"/>
    <w:rsid w:val="00F20B31"/>
    <w:rsid w:val="00F20B53"/>
    <w:rsid w:val="00F20BEC"/>
    <w:rsid w:val="00F20BEF"/>
    <w:rsid w:val="00F20C87"/>
    <w:rsid w:val="00F20D87"/>
    <w:rsid w:val="00F20DBF"/>
    <w:rsid w:val="00F2108A"/>
    <w:rsid w:val="00F210D1"/>
    <w:rsid w:val="00F2115A"/>
    <w:rsid w:val="00F2118E"/>
    <w:rsid w:val="00F21247"/>
    <w:rsid w:val="00F212EB"/>
    <w:rsid w:val="00F2134C"/>
    <w:rsid w:val="00F213BE"/>
    <w:rsid w:val="00F21412"/>
    <w:rsid w:val="00F214DE"/>
    <w:rsid w:val="00F21505"/>
    <w:rsid w:val="00F21638"/>
    <w:rsid w:val="00F217F3"/>
    <w:rsid w:val="00F2187E"/>
    <w:rsid w:val="00F218A0"/>
    <w:rsid w:val="00F21967"/>
    <w:rsid w:val="00F219FC"/>
    <w:rsid w:val="00F21A9C"/>
    <w:rsid w:val="00F21ABC"/>
    <w:rsid w:val="00F21AE5"/>
    <w:rsid w:val="00F21B39"/>
    <w:rsid w:val="00F21BA2"/>
    <w:rsid w:val="00F21BEB"/>
    <w:rsid w:val="00F21C5A"/>
    <w:rsid w:val="00F21E3D"/>
    <w:rsid w:val="00F21F04"/>
    <w:rsid w:val="00F22047"/>
    <w:rsid w:val="00F22048"/>
    <w:rsid w:val="00F22319"/>
    <w:rsid w:val="00F223B4"/>
    <w:rsid w:val="00F223B7"/>
    <w:rsid w:val="00F22442"/>
    <w:rsid w:val="00F2261D"/>
    <w:rsid w:val="00F2263B"/>
    <w:rsid w:val="00F2265D"/>
    <w:rsid w:val="00F22662"/>
    <w:rsid w:val="00F22686"/>
    <w:rsid w:val="00F2269C"/>
    <w:rsid w:val="00F226C9"/>
    <w:rsid w:val="00F22842"/>
    <w:rsid w:val="00F22891"/>
    <w:rsid w:val="00F229A5"/>
    <w:rsid w:val="00F229A9"/>
    <w:rsid w:val="00F22C0F"/>
    <w:rsid w:val="00F22C13"/>
    <w:rsid w:val="00F22C47"/>
    <w:rsid w:val="00F22CE2"/>
    <w:rsid w:val="00F22D50"/>
    <w:rsid w:val="00F22DEC"/>
    <w:rsid w:val="00F22F70"/>
    <w:rsid w:val="00F23267"/>
    <w:rsid w:val="00F232BE"/>
    <w:rsid w:val="00F232C3"/>
    <w:rsid w:val="00F2333A"/>
    <w:rsid w:val="00F23451"/>
    <w:rsid w:val="00F234A0"/>
    <w:rsid w:val="00F2352D"/>
    <w:rsid w:val="00F2353C"/>
    <w:rsid w:val="00F235B6"/>
    <w:rsid w:val="00F2361A"/>
    <w:rsid w:val="00F23632"/>
    <w:rsid w:val="00F239C8"/>
    <w:rsid w:val="00F23A6F"/>
    <w:rsid w:val="00F23D78"/>
    <w:rsid w:val="00F23DAC"/>
    <w:rsid w:val="00F23F34"/>
    <w:rsid w:val="00F240DF"/>
    <w:rsid w:val="00F2410A"/>
    <w:rsid w:val="00F241D1"/>
    <w:rsid w:val="00F242C9"/>
    <w:rsid w:val="00F24433"/>
    <w:rsid w:val="00F2443E"/>
    <w:rsid w:val="00F244ED"/>
    <w:rsid w:val="00F2455A"/>
    <w:rsid w:val="00F24588"/>
    <w:rsid w:val="00F245EA"/>
    <w:rsid w:val="00F245F3"/>
    <w:rsid w:val="00F2466D"/>
    <w:rsid w:val="00F246AD"/>
    <w:rsid w:val="00F247C4"/>
    <w:rsid w:val="00F247D5"/>
    <w:rsid w:val="00F248B4"/>
    <w:rsid w:val="00F2490D"/>
    <w:rsid w:val="00F24A23"/>
    <w:rsid w:val="00F24A94"/>
    <w:rsid w:val="00F24B83"/>
    <w:rsid w:val="00F24CC8"/>
    <w:rsid w:val="00F24D21"/>
    <w:rsid w:val="00F24DA3"/>
    <w:rsid w:val="00F24E61"/>
    <w:rsid w:val="00F24F51"/>
    <w:rsid w:val="00F24F81"/>
    <w:rsid w:val="00F25054"/>
    <w:rsid w:val="00F25171"/>
    <w:rsid w:val="00F25319"/>
    <w:rsid w:val="00F25444"/>
    <w:rsid w:val="00F25486"/>
    <w:rsid w:val="00F25575"/>
    <w:rsid w:val="00F2565A"/>
    <w:rsid w:val="00F25992"/>
    <w:rsid w:val="00F25AAD"/>
    <w:rsid w:val="00F25AAE"/>
    <w:rsid w:val="00F25BEF"/>
    <w:rsid w:val="00F25C57"/>
    <w:rsid w:val="00F25C66"/>
    <w:rsid w:val="00F25CBE"/>
    <w:rsid w:val="00F25E24"/>
    <w:rsid w:val="00F26080"/>
    <w:rsid w:val="00F2627A"/>
    <w:rsid w:val="00F262C7"/>
    <w:rsid w:val="00F263CB"/>
    <w:rsid w:val="00F263D4"/>
    <w:rsid w:val="00F263E9"/>
    <w:rsid w:val="00F26432"/>
    <w:rsid w:val="00F26645"/>
    <w:rsid w:val="00F26757"/>
    <w:rsid w:val="00F268CD"/>
    <w:rsid w:val="00F269FA"/>
    <w:rsid w:val="00F26B9D"/>
    <w:rsid w:val="00F26BB4"/>
    <w:rsid w:val="00F26E7B"/>
    <w:rsid w:val="00F26E85"/>
    <w:rsid w:val="00F2712F"/>
    <w:rsid w:val="00F27225"/>
    <w:rsid w:val="00F27293"/>
    <w:rsid w:val="00F27365"/>
    <w:rsid w:val="00F27385"/>
    <w:rsid w:val="00F273AF"/>
    <w:rsid w:val="00F2744A"/>
    <w:rsid w:val="00F2744D"/>
    <w:rsid w:val="00F27451"/>
    <w:rsid w:val="00F274F2"/>
    <w:rsid w:val="00F2756E"/>
    <w:rsid w:val="00F277C2"/>
    <w:rsid w:val="00F278A7"/>
    <w:rsid w:val="00F278BD"/>
    <w:rsid w:val="00F27D6E"/>
    <w:rsid w:val="00F27D9F"/>
    <w:rsid w:val="00F27DC3"/>
    <w:rsid w:val="00F27DF3"/>
    <w:rsid w:val="00F27F65"/>
    <w:rsid w:val="00F27F68"/>
    <w:rsid w:val="00F27FC7"/>
    <w:rsid w:val="00F30021"/>
    <w:rsid w:val="00F3002B"/>
    <w:rsid w:val="00F30049"/>
    <w:rsid w:val="00F30070"/>
    <w:rsid w:val="00F30117"/>
    <w:rsid w:val="00F3012E"/>
    <w:rsid w:val="00F3015A"/>
    <w:rsid w:val="00F30165"/>
    <w:rsid w:val="00F3020C"/>
    <w:rsid w:val="00F30325"/>
    <w:rsid w:val="00F303FB"/>
    <w:rsid w:val="00F3047F"/>
    <w:rsid w:val="00F304B5"/>
    <w:rsid w:val="00F304C7"/>
    <w:rsid w:val="00F304FC"/>
    <w:rsid w:val="00F30528"/>
    <w:rsid w:val="00F306FD"/>
    <w:rsid w:val="00F3077F"/>
    <w:rsid w:val="00F307DC"/>
    <w:rsid w:val="00F307EB"/>
    <w:rsid w:val="00F30863"/>
    <w:rsid w:val="00F3086C"/>
    <w:rsid w:val="00F309F6"/>
    <w:rsid w:val="00F30A57"/>
    <w:rsid w:val="00F30B72"/>
    <w:rsid w:val="00F30C0C"/>
    <w:rsid w:val="00F30C8B"/>
    <w:rsid w:val="00F30E79"/>
    <w:rsid w:val="00F30E9E"/>
    <w:rsid w:val="00F30F71"/>
    <w:rsid w:val="00F30FAF"/>
    <w:rsid w:val="00F3103C"/>
    <w:rsid w:val="00F310B6"/>
    <w:rsid w:val="00F31144"/>
    <w:rsid w:val="00F3114C"/>
    <w:rsid w:val="00F311AB"/>
    <w:rsid w:val="00F31229"/>
    <w:rsid w:val="00F3125F"/>
    <w:rsid w:val="00F31297"/>
    <w:rsid w:val="00F312AB"/>
    <w:rsid w:val="00F313D1"/>
    <w:rsid w:val="00F313FD"/>
    <w:rsid w:val="00F315A3"/>
    <w:rsid w:val="00F315F0"/>
    <w:rsid w:val="00F317F9"/>
    <w:rsid w:val="00F31807"/>
    <w:rsid w:val="00F31828"/>
    <w:rsid w:val="00F3188F"/>
    <w:rsid w:val="00F31B8F"/>
    <w:rsid w:val="00F31E10"/>
    <w:rsid w:val="00F32274"/>
    <w:rsid w:val="00F322F9"/>
    <w:rsid w:val="00F32350"/>
    <w:rsid w:val="00F3235F"/>
    <w:rsid w:val="00F323FD"/>
    <w:rsid w:val="00F32513"/>
    <w:rsid w:val="00F325DB"/>
    <w:rsid w:val="00F32695"/>
    <w:rsid w:val="00F326EC"/>
    <w:rsid w:val="00F326F2"/>
    <w:rsid w:val="00F32700"/>
    <w:rsid w:val="00F327EA"/>
    <w:rsid w:val="00F329E4"/>
    <w:rsid w:val="00F329E6"/>
    <w:rsid w:val="00F32B76"/>
    <w:rsid w:val="00F32D70"/>
    <w:rsid w:val="00F32D9E"/>
    <w:rsid w:val="00F32FE7"/>
    <w:rsid w:val="00F331C4"/>
    <w:rsid w:val="00F33273"/>
    <w:rsid w:val="00F332AA"/>
    <w:rsid w:val="00F3331A"/>
    <w:rsid w:val="00F3339F"/>
    <w:rsid w:val="00F333CC"/>
    <w:rsid w:val="00F3345F"/>
    <w:rsid w:val="00F33494"/>
    <w:rsid w:val="00F334BF"/>
    <w:rsid w:val="00F33594"/>
    <w:rsid w:val="00F335F2"/>
    <w:rsid w:val="00F33805"/>
    <w:rsid w:val="00F33904"/>
    <w:rsid w:val="00F33991"/>
    <w:rsid w:val="00F33A59"/>
    <w:rsid w:val="00F33ABB"/>
    <w:rsid w:val="00F33AD1"/>
    <w:rsid w:val="00F33B8A"/>
    <w:rsid w:val="00F33BB5"/>
    <w:rsid w:val="00F33C0F"/>
    <w:rsid w:val="00F33C2C"/>
    <w:rsid w:val="00F33C48"/>
    <w:rsid w:val="00F33DAD"/>
    <w:rsid w:val="00F33DF0"/>
    <w:rsid w:val="00F3402D"/>
    <w:rsid w:val="00F34075"/>
    <w:rsid w:val="00F34093"/>
    <w:rsid w:val="00F340B1"/>
    <w:rsid w:val="00F34271"/>
    <w:rsid w:val="00F343EC"/>
    <w:rsid w:val="00F3444C"/>
    <w:rsid w:val="00F344A4"/>
    <w:rsid w:val="00F34562"/>
    <w:rsid w:val="00F346F9"/>
    <w:rsid w:val="00F34700"/>
    <w:rsid w:val="00F34725"/>
    <w:rsid w:val="00F34734"/>
    <w:rsid w:val="00F347B9"/>
    <w:rsid w:val="00F348C7"/>
    <w:rsid w:val="00F34969"/>
    <w:rsid w:val="00F349A2"/>
    <w:rsid w:val="00F34A4F"/>
    <w:rsid w:val="00F34E74"/>
    <w:rsid w:val="00F34F08"/>
    <w:rsid w:val="00F34F79"/>
    <w:rsid w:val="00F34F89"/>
    <w:rsid w:val="00F34FE9"/>
    <w:rsid w:val="00F35039"/>
    <w:rsid w:val="00F35054"/>
    <w:rsid w:val="00F350AE"/>
    <w:rsid w:val="00F3513E"/>
    <w:rsid w:val="00F35163"/>
    <w:rsid w:val="00F35198"/>
    <w:rsid w:val="00F3521F"/>
    <w:rsid w:val="00F35300"/>
    <w:rsid w:val="00F35308"/>
    <w:rsid w:val="00F354D4"/>
    <w:rsid w:val="00F3561E"/>
    <w:rsid w:val="00F3578C"/>
    <w:rsid w:val="00F358FC"/>
    <w:rsid w:val="00F35953"/>
    <w:rsid w:val="00F35976"/>
    <w:rsid w:val="00F35A76"/>
    <w:rsid w:val="00F35BB7"/>
    <w:rsid w:val="00F35CDD"/>
    <w:rsid w:val="00F35CFC"/>
    <w:rsid w:val="00F35CFD"/>
    <w:rsid w:val="00F35D5C"/>
    <w:rsid w:val="00F35F3B"/>
    <w:rsid w:val="00F35F46"/>
    <w:rsid w:val="00F361A1"/>
    <w:rsid w:val="00F36281"/>
    <w:rsid w:val="00F3631C"/>
    <w:rsid w:val="00F364CE"/>
    <w:rsid w:val="00F3657B"/>
    <w:rsid w:val="00F3665E"/>
    <w:rsid w:val="00F36678"/>
    <w:rsid w:val="00F3667E"/>
    <w:rsid w:val="00F36695"/>
    <w:rsid w:val="00F3673B"/>
    <w:rsid w:val="00F367C4"/>
    <w:rsid w:val="00F367FB"/>
    <w:rsid w:val="00F36835"/>
    <w:rsid w:val="00F36846"/>
    <w:rsid w:val="00F36853"/>
    <w:rsid w:val="00F36864"/>
    <w:rsid w:val="00F368E7"/>
    <w:rsid w:val="00F3697C"/>
    <w:rsid w:val="00F36990"/>
    <w:rsid w:val="00F36A13"/>
    <w:rsid w:val="00F36A21"/>
    <w:rsid w:val="00F36B1E"/>
    <w:rsid w:val="00F36B44"/>
    <w:rsid w:val="00F36BB2"/>
    <w:rsid w:val="00F36BCB"/>
    <w:rsid w:val="00F36C9A"/>
    <w:rsid w:val="00F36E69"/>
    <w:rsid w:val="00F36E6D"/>
    <w:rsid w:val="00F36FCF"/>
    <w:rsid w:val="00F36FE8"/>
    <w:rsid w:val="00F371B3"/>
    <w:rsid w:val="00F37431"/>
    <w:rsid w:val="00F37676"/>
    <w:rsid w:val="00F37698"/>
    <w:rsid w:val="00F37734"/>
    <w:rsid w:val="00F37776"/>
    <w:rsid w:val="00F37881"/>
    <w:rsid w:val="00F379D4"/>
    <w:rsid w:val="00F379F8"/>
    <w:rsid w:val="00F37AD4"/>
    <w:rsid w:val="00F37B3C"/>
    <w:rsid w:val="00F37BFF"/>
    <w:rsid w:val="00F37CAD"/>
    <w:rsid w:val="00F37CDA"/>
    <w:rsid w:val="00F37D7A"/>
    <w:rsid w:val="00F37DED"/>
    <w:rsid w:val="00F37DF3"/>
    <w:rsid w:val="00F37E04"/>
    <w:rsid w:val="00F37E2B"/>
    <w:rsid w:val="00F37E42"/>
    <w:rsid w:val="00F39663"/>
    <w:rsid w:val="00F401CD"/>
    <w:rsid w:val="00F40337"/>
    <w:rsid w:val="00F40366"/>
    <w:rsid w:val="00F40378"/>
    <w:rsid w:val="00F403EB"/>
    <w:rsid w:val="00F4056C"/>
    <w:rsid w:val="00F406F3"/>
    <w:rsid w:val="00F408EC"/>
    <w:rsid w:val="00F409B2"/>
    <w:rsid w:val="00F40C43"/>
    <w:rsid w:val="00F40C6D"/>
    <w:rsid w:val="00F40EB4"/>
    <w:rsid w:val="00F41189"/>
    <w:rsid w:val="00F4124E"/>
    <w:rsid w:val="00F413CF"/>
    <w:rsid w:val="00F4143A"/>
    <w:rsid w:val="00F414AA"/>
    <w:rsid w:val="00F4157F"/>
    <w:rsid w:val="00F4169F"/>
    <w:rsid w:val="00F416B0"/>
    <w:rsid w:val="00F417EA"/>
    <w:rsid w:val="00F41918"/>
    <w:rsid w:val="00F41960"/>
    <w:rsid w:val="00F419F1"/>
    <w:rsid w:val="00F41A46"/>
    <w:rsid w:val="00F41B03"/>
    <w:rsid w:val="00F41B23"/>
    <w:rsid w:val="00F41CBB"/>
    <w:rsid w:val="00F41F48"/>
    <w:rsid w:val="00F41FE4"/>
    <w:rsid w:val="00F420D5"/>
    <w:rsid w:val="00F4212D"/>
    <w:rsid w:val="00F42268"/>
    <w:rsid w:val="00F4240E"/>
    <w:rsid w:val="00F4242B"/>
    <w:rsid w:val="00F42516"/>
    <w:rsid w:val="00F425E7"/>
    <w:rsid w:val="00F426E4"/>
    <w:rsid w:val="00F426FA"/>
    <w:rsid w:val="00F42755"/>
    <w:rsid w:val="00F42804"/>
    <w:rsid w:val="00F4288F"/>
    <w:rsid w:val="00F428A6"/>
    <w:rsid w:val="00F42A76"/>
    <w:rsid w:val="00F42B9A"/>
    <w:rsid w:val="00F42BE6"/>
    <w:rsid w:val="00F4303F"/>
    <w:rsid w:val="00F43171"/>
    <w:rsid w:val="00F431D1"/>
    <w:rsid w:val="00F4323A"/>
    <w:rsid w:val="00F4327D"/>
    <w:rsid w:val="00F43453"/>
    <w:rsid w:val="00F43493"/>
    <w:rsid w:val="00F434AC"/>
    <w:rsid w:val="00F43577"/>
    <w:rsid w:val="00F435B9"/>
    <w:rsid w:val="00F436ED"/>
    <w:rsid w:val="00F43705"/>
    <w:rsid w:val="00F43744"/>
    <w:rsid w:val="00F437CD"/>
    <w:rsid w:val="00F4385E"/>
    <w:rsid w:val="00F438CC"/>
    <w:rsid w:val="00F438E9"/>
    <w:rsid w:val="00F439C1"/>
    <w:rsid w:val="00F439D3"/>
    <w:rsid w:val="00F43A52"/>
    <w:rsid w:val="00F43B40"/>
    <w:rsid w:val="00F43B69"/>
    <w:rsid w:val="00F43B87"/>
    <w:rsid w:val="00F43B9A"/>
    <w:rsid w:val="00F43BA9"/>
    <w:rsid w:val="00F43BE2"/>
    <w:rsid w:val="00F43C52"/>
    <w:rsid w:val="00F43C63"/>
    <w:rsid w:val="00F43D6C"/>
    <w:rsid w:val="00F43E7B"/>
    <w:rsid w:val="00F43E8A"/>
    <w:rsid w:val="00F43EEC"/>
    <w:rsid w:val="00F44008"/>
    <w:rsid w:val="00F440E9"/>
    <w:rsid w:val="00F44108"/>
    <w:rsid w:val="00F44148"/>
    <w:rsid w:val="00F441EB"/>
    <w:rsid w:val="00F44320"/>
    <w:rsid w:val="00F44376"/>
    <w:rsid w:val="00F44587"/>
    <w:rsid w:val="00F445DF"/>
    <w:rsid w:val="00F4466E"/>
    <w:rsid w:val="00F446F2"/>
    <w:rsid w:val="00F44709"/>
    <w:rsid w:val="00F447BD"/>
    <w:rsid w:val="00F4495C"/>
    <w:rsid w:val="00F449D6"/>
    <w:rsid w:val="00F44A4F"/>
    <w:rsid w:val="00F44AE4"/>
    <w:rsid w:val="00F44B47"/>
    <w:rsid w:val="00F44B6C"/>
    <w:rsid w:val="00F44C69"/>
    <w:rsid w:val="00F44CF1"/>
    <w:rsid w:val="00F44DB9"/>
    <w:rsid w:val="00F44E17"/>
    <w:rsid w:val="00F44E9B"/>
    <w:rsid w:val="00F44ECB"/>
    <w:rsid w:val="00F450C2"/>
    <w:rsid w:val="00F45108"/>
    <w:rsid w:val="00F451D3"/>
    <w:rsid w:val="00F4521B"/>
    <w:rsid w:val="00F45282"/>
    <w:rsid w:val="00F4532C"/>
    <w:rsid w:val="00F4542C"/>
    <w:rsid w:val="00F4550D"/>
    <w:rsid w:val="00F45564"/>
    <w:rsid w:val="00F455D1"/>
    <w:rsid w:val="00F456AA"/>
    <w:rsid w:val="00F45712"/>
    <w:rsid w:val="00F45751"/>
    <w:rsid w:val="00F457CC"/>
    <w:rsid w:val="00F4592C"/>
    <w:rsid w:val="00F4594F"/>
    <w:rsid w:val="00F45AEF"/>
    <w:rsid w:val="00F45C0E"/>
    <w:rsid w:val="00F45C1E"/>
    <w:rsid w:val="00F45E85"/>
    <w:rsid w:val="00F45F92"/>
    <w:rsid w:val="00F45FAF"/>
    <w:rsid w:val="00F46168"/>
    <w:rsid w:val="00F4617F"/>
    <w:rsid w:val="00F461A9"/>
    <w:rsid w:val="00F46216"/>
    <w:rsid w:val="00F46230"/>
    <w:rsid w:val="00F46231"/>
    <w:rsid w:val="00F46375"/>
    <w:rsid w:val="00F463EA"/>
    <w:rsid w:val="00F46462"/>
    <w:rsid w:val="00F4646D"/>
    <w:rsid w:val="00F46820"/>
    <w:rsid w:val="00F4684C"/>
    <w:rsid w:val="00F4689A"/>
    <w:rsid w:val="00F46AB8"/>
    <w:rsid w:val="00F46ACC"/>
    <w:rsid w:val="00F46AEA"/>
    <w:rsid w:val="00F46AFB"/>
    <w:rsid w:val="00F46C08"/>
    <w:rsid w:val="00F46C38"/>
    <w:rsid w:val="00F46D1E"/>
    <w:rsid w:val="00F472A9"/>
    <w:rsid w:val="00F472DC"/>
    <w:rsid w:val="00F472FC"/>
    <w:rsid w:val="00F47309"/>
    <w:rsid w:val="00F474F6"/>
    <w:rsid w:val="00F47536"/>
    <w:rsid w:val="00F475DC"/>
    <w:rsid w:val="00F47610"/>
    <w:rsid w:val="00F47673"/>
    <w:rsid w:val="00F4781A"/>
    <w:rsid w:val="00F478DA"/>
    <w:rsid w:val="00F47968"/>
    <w:rsid w:val="00F47C45"/>
    <w:rsid w:val="00F47C58"/>
    <w:rsid w:val="00F47D7D"/>
    <w:rsid w:val="00F47DA2"/>
    <w:rsid w:val="00F47F76"/>
    <w:rsid w:val="00F47F81"/>
    <w:rsid w:val="00F47FB4"/>
    <w:rsid w:val="00F5011B"/>
    <w:rsid w:val="00F50186"/>
    <w:rsid w:val="00F50360"/>
    <w:rsid w:val="00F50379"/>
    <w:rsid w:val="00F503BE"/>
    <w:rsid w:val="00F5044C"/>
    <w:rsid w:val="00F505A9"/>
    <w:rsid w:val="00F507D9"/>
    <w:rsid w:val="00F50916"/>
    <w:rsid w:val="00F50B83"/>
    <w:rsid w:val="00F50C16"/>
    <w:rsid w:val="00F50CEF"/>
    <w:rsid w:val="00F50E9C"/>
    <w:rsid w:val="00F50F1F"/>
    <w:rsid w:val="00F50F6A"/>
    <w:rsid w:val="00F5133C"/>
    <w:rsid w:val="00F51393"/>
    <w:rsid w:val="00F5145B"/>
    <w:rsid w:val="00F5174F"/>
    <w:rsid w:val="00F517BF"/>
    <w:rsid w:val="00F51848"/>
    <w:rsid w:val="00F518D3"/>
    <w:rsid w:val="00F51C78"/>
    <w:rsid w:val="00F51C9C"/>
    <w:rsid w:val="00F51D00"/>
    <w:rsid w:val="00F51D0D"/>
    <w:rsid w:val="00F51D39"/>
    <w:rsid w:val="00F51D8D"/>
    <w:rsid w:val="00F51DA2"/>
    <w:rsid w:val="00F51DFA"/>
    <w:rsid w:val="00F51E3B"/>
    <w:rsid w:val="00F51FF1"/>
    <w:rsid w:val="00F51FFF"/>
    <w:rsid w:val="00F52090"/>
    <w:rsid w:val="00F52219"/>
    <w:rsid w:val="00F52231"/>
    <w:rsid w:val="00F52273"/>
    <w:rsid w:val="00F523A6"/>
    <w:rsid w:val="00F523C7"/>
    <w:rsid w:val="00F5251B"/>
    <w:rsid w:val="00F525AE"/>
    <w:rsid w:val="00F52608"/>
    <w:rsid w:val="00F5265F"/>
    <w:rsid w:val="00F52697"/>
    <w:rsid w:val="00F5269A"/>
    <w:rsid w:val="00F526A4"/>
    <w:rsid w:val="00F526D4"/>
    <w:rsid w:val="00F526DB"/>
    <w:rsid w:val="00F52715"/>
    <w:rsid w:val="00F52801"/>
    <w:rsid w:val="00F5284E"/>
    <w:rsid w:val="00F5298B"/>
    <w:rsid w:val="00F529CF"/>
    <w:rsid w:val="00F52AAB"/>
    <w:rsid w:val="00F52AB3"/>
    <w:rsid w:val="00F52D15"/>
    <w:rsid w:val="00F52D36"/>
    <w:rsid w:val="00F52EEF"/>
    <w:rsid w:val="00F53164"/>
    <w:rsid w:val="00F5326C"/>
    <w:rsid w:val="00F53310"/>
    <w:rsid w:val="00F533B5"/>
    <w:rsid w:val="00F5345C"/>
    <w:rsid w:val="00F53494"/>
    <w:rsid w:val="00F5359F"/>
    <w:rsid w:val="00F535FF"/>
    <w:rsid w:val="00F53609"/>
    <w:rsid w:val="00F5377C"/>
    <w:rsid w:val="00F53B41"/>
    <w:rsid w:val="00F53B5A"/>
    <w:rsid w:val="00F53BA7"/>
    <w:rsid w:val="00F53BD2"/>
    <w:rsid w:val="00F53BE8"/>
    <w:rsid w:val="00F53C10"/>
    <w:rsid w:val="00F53EB3"/>
    <w:rsid w:val="00F53F02"/>
    <w:rsid w:val="00F53F41"/>
    <w:rsid w:val="00F54063"/>
    <w:rsid w:val="00F5410F"/>
    <w:rsid w:val="00F54187"/>
    <w:rsid w:val="00F5425D"/>
    <w:rsid w:val="00F54322"/>
    <w:rsid w:val="00F54358"/>
    <w:rsid w:val="00F54362"/>
    <w:rsid w:val="00F543B0"/>
    <w:rsid w:val="00F544AB"/>
    <w:rsid w:val="00F545F4"/>
    <w:rsid w:val="00F5488A"/>
    <w:rsid w:val="00F5491F"/>
    <w:rsid w:val="00F54946"/>
    <w:rsid w:val="00F54A75"/>
    <w:rsid w:val="00F54B57"/>
    <w:rsid w:val="00F54BCE"/>
    <w:rsid w:val="00F54C18"/>
    <w:rsid w:val="00F54C8A"/>
    <w:rsid w:val="00F54D58"/>
    <w:rsid w:val="00F54D76"/>
    <w:rsid w:val="00F54D88"/>
    <w:rsid w:val="00F54E1F"/>
    <w:rsid w:val="00F54E87"/>
    <w:rsid w:val="00F54EFB"/>
    <w:rsid w:val="00F55061"/>
    <w:rsid w:val="00F550E1"/>
    <w:rsid w:val="00F5514B"/>
    <w:rsid w:val="00F55221"/>
    <w:rsid w:val="00F55282"/>
    <w:rsid w:val="00F55338"/>
    <w:rsid w:val="00F553B7"/>
    <w:rsid w:val="00F553C0"/>
    <w:rsid w:val="00F553E4"/>
    <w:rsid w:val="00F55591"/>
    <w:rsid w:val="00F55760"/>
    <w:rsid w:val="00F55960"/>
    <w:rsid w:val="00F55ADD"/>
    <w:rsid w:val="00F55C1B"/>
    <w:rsid w:val="00F55C1D"/>
    <w:rsid w:val="00F55DCA"/>
    <w:rsid w:val="00F55FBD"/>
    <w:rsid w:val="00F55FE0"/>
    <w:rsid w:val="00F560EA"/>
    <w:rsid w:val="00F561CD"/>
    <w:rsid w:val="00F561D4"/>
    <w:rsid w:val="00F5628C"/>
    <w:rsid w:val="00F562B8"/>
    <w:rsid w:val="00F562BA"/>
    <w:rsid w:val="00F56322"/>
    <w:rsid w:val="00F56398"/>
    <w:rsid w:val="00F5644E"/>
    <w:rsid w:val="00F56714"/>
    <w:rsid w:val="00F56A3F"/>
    <w:rsid w:val="00F56A86"/>
    <w:rsid w:val="00F56A8B"/>
    <w:rsid w:val="00F56B30"/>
    <w:rsid w:val="00F56C0A"/>
    <w:rsid w:val="00F56D3C"/>
    <w:rsid w:val="00F56D76"/>
    <w:rsid w:val="00F570CA"/>
    <w:rsid w:val="00F572CD"/>
    <w:rsid w:val="00F57302"/>
    <w:rsid w:val="00F5730E"/>
    <w:rsid w:val="00F57354"/>
    <w:rsid w:val="00F57358"/>
    <w:rsid w:val="00F5738E"/>
    <w:rsid w:val="00F57424"/>
    <w:rsid w:val="00F575FB"/>
    <w:rsid w:val="00F57604"/>
    <w:rsid w:val="00F57674"/>
    <w:rsid w:val="00F57748"/>
    <w:rsid w:val="00F5775D"/>
    <w:rsid w:val="00F5781D"/>
    <w:rsid w:val="00F57838"/>
    <w:rsid w:val="00F57862"/>
    <w:rsid w:val="00F578B9"/>
    <w:rsid w:val="00F578C2"/>
    <w:rsid w:val="00F57989"/>
    <w:rsid w:val="00F57B05"/>
    <w:rsid w:val="00F57FD9"/>
    <w:rsid w:val="00F600F4"/>
    <w:rsid w:val="00F6010D"/>
    <w:rsid w:val="00F6024F"/>
    <w:rsid w:val="00F60293"/>
    <w:rsid w:val="00F6051B"/>
    <w:rsid w:val="00F60624"/>
    <w:rsid w:val="00F6077E"/>
    <w:rsid w:val="00F60876"/>
    <w:rsid w:val="00F608AA"/>
    <w:rsid w:val="00F608B4"/>
    <w:rsid w:val="00F6098E"/>
    <w:rsid w:val="00F60C47"/>
    <w:rsid w:val="00F60D2A"/>
    <w:rsid w:val="00F60ECE"/>
    <w:rsid w:val="00F60EF6"/>
    <w:rsid w:val="00F60F67"/>
    <w:rsid w:val="00F6100E"/>
    <w:rsid w:val="00F6111F"/>
    <w:rsid w:val="00F61168"/>
    <w:rsid w:val="00F6119E"/>
    <w:rsid w:val="00F611BF"/>
    <w:rsid w:val="00F612AC"/>
    <w:rsid w:val="00F612C5"/>
    <w:rsid w:val="00F61387"/>
    <w:rsid w:val="00F613A1"/>
    <w:rsid w:val="00F614EA"/>
    <w:rsid w:val="00F61594"/>
    <w:rsid w:val="00F615EA"/>
    <w:rsid w:val="00F616BD"/>
    <w:rsid w:val="00F616BE"/>
    <w:rsid w:val="00F617C4"/>
    <w:rsid w:val="00F617FD"/>
    <w:rsid w:val="00F61848"/>
    <w:rsid w:val="00F618AB"/>
    <w:rsid w:val="00F61D1A"/>
    <w:rsid w:val="00F61D37"/>
    <w:rsid w:val="00F61DD0"/>
    <w:rsid w:val="00F61DE5"/>
    <w:rsid w:val="00F61EF0"/>
    <w:rsid w:val="00F61F04"/>
    <w:rsid w:val="00F62017"/>
    <w:rsid w:val="00F62061"/>
    <w:rsid w:val="00F62197"/>
    <w:rsid w:val="00F621D5"/>
    <w:rsid w:val="00F6222F"/>
    <w:rsid w:val="00F622BD"/>
    <w:rsid w:val="00F622ED"/>
    <w:rsid w:val="00F62325"/>
    <w:rsid w:val="00F625AB"/>
    <w:rsid w:val="00F62670"/>
    <w:rsid w:val="00F6278B"/>
    <w:rsid w:val="00F6279A"/>
    <w:rsid w:val="00F628F2"/>
    <w:rsid w:val="00F62BD0"/>
    <w:rsid w:val="00F62BDC"/>
    <w:rsid w:val="00F62D1C"/>
    <w:rsid w:val="00F62D9C"/>
    <w:rsid w:val="00F62E48"/>
    <w:rsid w:val="00F62F8D"/>
    <w:rsid w:val="00F6305E"/>
    <w:rsid w:val="00F63153"/>
    <w:rsid w:val="00F631DA"/>
    <w:rsid w:val="00F632D6"/>
    <w:rsid w:val="00F632E5"/>
    <w:rsid w:val="00F6332B"/>
    <w:rsid w:val="00F633EB"/>
    <w:rsid w:val="00F63511"/>
    <w:rsid w:val="00F6370A"/>
    <w:rsid w:val="00F63792"/>
    <w:rsid w:val="00F637C5"/>
    <w:rsid w:val="00F63823"/>
    <w:rsid w:val="00F6388E"/>
    <w:rsid w:val="00F639D6"/>
    <w:rsid w:val="00F63B99"/>
    <w:rsid w:val="00F63CCF"/>
    <w:rsid w:val="00F63D38"/>
    <w:rsid w:val="00F63DD5"/>
    <w:rsid w:val="00F63FF5"/>
    <w:rsid w:val="00F64010"/>
    <w:rsid w:val="00F64135"/>
    <w:rsid w:val="00F6427D"/>
    <w:rsid w:val="00F642E6"/>
    <w:rsid w:val="00F64684"/>
    <w:rsid w:val="00F647AD"/>
    <w:rsid w:val="00F647B0"/>
    <w:rsid w:val="00F647D1"/>
    <w:rsid w:val="00F64843"/>
    <w:rsid w:val="00F648E4"/>
    <w:rsid w:val="00F64A5C"/>
    <w:rsid w:val="00F64A68"/>
    <w:rsid w:val="00F64DDC"/>
    <w:rsid w:val="00F64EF1"/>
    <w:rsid w:val="00F64EFE"/>
    <w:rsid w:val="00F64F66"/>
    <w:rsid w:val="00F6510D"/>
    <w:rsid w:val="00F655F5"/>
    <w:rsid w:val="00F65624"/>
    <w:rsid w:val="00F65764"/>
    <w:rsid w:val="00F65859"/>
    <w:rsid w:val="00F65888"/>
    <w:rsid w:val="00F65899"/>
    <w:rsid w:val="00F659E9"/>
    <w:rsid w:val="00F65A73"/>
    <w:rsid w:val="00F65AA5"/>
    <w:rsid w:val="00F65B89"/>
    <w:rsid w:val="00F65BDE"/>
    <w:rsid w:val="00F65C79"/>
    <w:rsid w:val="00F65CBD"/>
    <w:rsid w:val="00F65D85"/>
    <w:rsid w:val="00F65E89"/>
    <w:rsid w:val="00F661BA"/>
    <w:rsid w:val="00F661CE"/>
    <w:rsid w:val="00F6624A"/>
    <w:rsid w:val="00F6628E"/>
    <w:rsid w:val="00F663B5"/>
    <w:rsid w:val="00F663ED"/>
    <w:rsid w:val="00F66533"/>
    <w:rsid w:val="00F6658B"/>
    <w:rsid w:val="00F66783"/>
    <w:rsid w:val="00F66832"/>
    <w:rsid w:val="00F66928"/>
    <w:rsid w:val="00F66A1A"/>
    <w:rsid w:val="00F66A2D"/>
    <w:rsid w:val="00F66ADE"/>
    <w:rsid w:val="00F66BD2"/>
    <w:rsid w:val="00F66C8D"/>
    <w:rsid w:val="00F66CF1"/>
    <w:rsid w:val="00F66D7F"/>
    <w:rsid w:val="00F66E72"/>
    <w:rsid w:val="00F66E74"/>
    <w:rsid w:val="00F66E85"/>
    <w:rsid w:val="00F6704D"/>
    <w:rsid w:val="00F671F2"/>
    <w:rsid w:val="00F6721B"/>
    <w:rsid w:val="00F67374"/>
    <w:rsid w:val="00F673F2"/>
    <w:rsid w:val="00F6763D"/>
    <w:rsid w:val="00F67716"/>
    <w:rsid w:val="00F67780"/>
    <w:rsid w:val="00F67862"/>
    <w:rsid w:val="00F67994"/>
    <w:rsid w:val="00F67A0C"/>
    <w:rsid w:val="00F67A82"/>
    <w:rsid w:val="00F67B04"/>
    <w:rsid w:val="00F67BE1"/>
    <w:rsid w:val="00F67E17"/>
    <w:rsid w:val="00F67E3E"/>
    <w:rsid w:val="00F67F18"/>
    <w:rsid w:val="00F67F40"/>
    <w:rsid w:val="00F67F66"/>
    <w:rsid w:val="00F67F6E"/>
    <w:rsid w:val="00F70024"/>
    <w:rsid w:val="00F7013F"/>
    <w:rsid w:val="00F70247"/>
    <w:rsid w:val="00F70264"/>
    <w:rsid w:val="00F70267"/>
    <w:rsid w:val="00F702BD"/>
    <w:rsid w:val="00F702EF"/>
    <w:rsid w:val="00F70349"/>
    <w:rsid w:val="00F7042A"/>
    <w:rsid w:val="00F7062B"/>
    <w:rsid w:val="00F7079A"/>
    <w:rsid w:val="00F70841"/>
    <w:rsid w:val="00F7084C"/>
    <w:rsid w:val="00F7089C"/>
    <w:rsid w:val="00F70922"/>
    <w:rsid w:val="00F7095E"/>
    <w:rsid w:val="00F70971"/>
    <w:rsid w:val="00F70988"/>
    <w:rsid w:val="00F709D0"/>
    <w:rsid w:val="00F70A3A"/>
    <w:rsid w:val="00F70AA9"/>
    <w:rsid w:val="00F70AF2"/>
    <w:rsid w:val="00F70C27"/>
    <w:rsid w:val="00F70C42"/>
    <w:rsid w:val="00F70CA4"/>
    <w:rsid w:val="00F70E47"/>
    <w:rsid w:val="00F70E6D"/>
    <w:rsid w:val="00F70E72"/>
    <w:rsid w:val="00F70E81"/>
    <w:rsid w:val="00F70FE4"/>
    <w:rsid w:val="00F71028"/>
    <w:rsid w:val="00F710F2"/>
    <w:rsid w:val="00F7115F"/>
    <w:rsid w:val="00F71176"/>
    <w:rsid w:val="00F712A4"/>
    <w:rsid w:val="00F712D8"/>
    <w:rsid w:val="00F71425"/>
    <w:rsid w:val="00F71616"/>
    <w:rsid w:val="00F71627"/>
    <w:rsid w:val="00F71805"/>
    <w:rsid w:val="00F718F7"/>
    <w:rsid w:val="00F71B0C"/>
    <w:rsid w:val="00F71B27"/>
    <w:rsid w:val="00F71C16"/>
    <w:rsid w:val="00F71C78"/>
    <w:rsid w:val="00F71CAA"/>
    <w:rsid w:val="00F71CE4"/>
    <w:rsid w:val="00F71FAB"/>
    <w:rsid w:val="00F721AF"/>
    <w:rsid w:val="00F721F4"/>
    <w:rsid w:val="00F722F1"/>
    <w:rsid w:val="00F72314"/>
    <w:rsid w:val="00F723D5"/>
    <w:rsid w:val="00F72413"/>
    <w:rsid w:val="00F7242B"/>
    <w:rsid w:val="00F72436"/>
    <w:rsid w:val="00F7268C"/>
    <w:rsid w:val="00F726BF"/>
    <w:rsid w:val="00F72715"/>
    <w:rsid w:val="00F7275A"/>
    <w:rsid w:val="00F727A1"/>
    <w:rsid w:val="00F72839"/>
    <w:rsid w:val="00F72888"/>
    <w:rsid w:val="00F72904"/>
    <w:rsid w:val="00F72924"/>
    <w:rsid w:val="00F729CA"/>
    <w:rsid w:val="00F729D6"/>
    <w:rsid w:val="00F72A14"/>
    <w:rsid w:val="00F72A51"/>
    <w:rsid w:val="00F72AA7"/>
    <w:rsid w:val="00F72B88"/>
    <w:rsid w:val="00F72CE6"/>
    <w:rsid w:val="00F72EEB"/>
    <w:rsid w:val="00F731C3"/>
    <w:rsid w:val="00F73250"/>
    <w:rsid w:val="00F73378"/>
    <w:rsid w:val="00F73491"/>
    <w:rsid w:val="00F73506"/>
    <w:rsid w:val="00F7363C"/>
    <w:rsid w:val="00F73715"/>
    <w:rsid w:val="00F73744"/>
    <w:rsid w:val="00F737AC"/>
    <w:rsid w:val="00F73867"/>
    <w:rsid w:val="00F7390D"/>
    <w:rsid w:val="00F73A30"/>
    <w:rsid w:val="00F73BA2"/>
    <w:rsid w:val="00F73BA8"/>
    <w:rsid w:val="00F73D1A"/>
    <w:rsid w:val="00F73E7E"/>
    <w:rsid w:val="00F74072"/>
    <w:rsid w:val="00F74248"/>
    <w:rsid w:val="00F7435B"/>
    <w:rsid w:val="00F7444F"/>
    <w:rsid w:val="00F7474B"/>
    <w:rsid w:val="00F74829"/>
    <w:rsid w:val="00F7495C"/>
    <w:rsid w:val="00F74967"/>
    <w:rsid w:val="00F749B7"/>
    <w:rsid w:val="00F74A19"/>
    <w:rsid w:val="00F74B1D"/>
    <w:rsid w:val="00F74BC7"/>
    <w:rsid w:val="00F74FBF"/>
    <w:rsid w:val="00F74FD3"/>
    <w:rsid w:val="00F75031"/>
    <w:rsid w:val="00F7540E"/>
    <w:rsid w:val="00F75456"/>
    <w:rsid w:val="00F75819"/>
    <w:rsid w:val="00F758DB"/>
    <w:rsid w:val="00F75958"/>
    <w:rsid w:val="00F75970"/>
    <w:rsid w:val="00F7598B"/>
    <w:rsid w:val="00F75BB4"/>
    <w:rsid w:val="00F75D69"/>
    <w:rsid w:val="00F75ED2"/>
    <w:rsid w:val="00F75FE1"/>
    <w:rsid w:val="00F760B9"/>
    <w:rsid w:val="00F761FC"/>
    <w:rsid w:val="00F76419"/>
    <w:rsid w:val="00F76436"/>
    <w:rsid w:val="00F7678C"/>
    <w:rsid w:val="00F7688C"/>
    <w:rsid w:val="00F768C4"/>
    <w:rsid w:val="00F76947"/>
    <w:rsid w:val="00F769B3"/>
    <w:rsid w:val="00F76B6F"/>
    <w:rsid w:val="00F76BBA"/>
    <w:rsid w:val="00F76C46"/>
    <w:rsid w:val="00F76C81"/>
    <w:rsid w:val="00F76CA0"/>
    <w:rsid w:val="00F76D0C"/>
    <w:rsid w:val="00F76D78"/>
    <w:rsid w:val="00F76E4F"/>
    <w:rsid w:val="00F76E92"/>
    <w:rsid w:val="00F76EBF"/>
    <w:rsid w:val="00F76EF5"/>
    <w:rsid w:val="00F76FB0"/>
    <w:rsid w:val="00F76FD3"/>
    <w:rsid w:val="00F76FD4"/>
    <w:rsid w:val="00F76FE7"/>
    <w:rsid w:val="00F76FE8"/>
    <w:rsid w:val="00F77052"/>
    <w:rsid w:val="00F77195"/>
    <w:rsid w:val="00F771DC"/>
    <w:rsid w:val="00F77208"/>
    <w:rsid w:val="00F77257"/>
    <w:rsid w:val="00F7727E"/>
    <w:rsid w:val="00F774A7"/>
    <w:rsid w:val="00F77548"/>
    <w:rsid w:val="00F7757C"/>
    <w:rsid w:val="00F77681"/>
    <w:rsid w:val="00F77687"/>
    <w:rsid w:val="00F776AD"/>
    <w:rsid w:val="00F777FB"/>
    <w:rsid w:val="00F77842"/>
    <w:rsid w:val="00F778BA"/>
    <w:rsid w:val="00F778F4"/>
    <w:rsid w:val="00F77948"/>
    <w:rsid w:val="00F77A3B"/>
    <w:rsid w:val="00F77B47"/>
    <w:rsid w:val="00F77B8E"/>
    <w:rsid w:val="00F77BC4"/>
    <w:rsid w:val="00F77CCC"/>
    <w:rsid w:val="00F77CF0"/>
    <w:rsid w:val="00F77DD4"/>
    <w:rsid w:val="00F77DD5"/>
    <w:rsid w:val="00F77F72"/>
    <w:rsid w:val="00F80048"/>
    <w:rsid w:val="00F8011D"/>
    <w:rsid w:val="00F8022A"/>
    <w:rsid w:val="00F80348"/>
    <w:rsid w:val="00F80529"/>
    <w:rsid w:val="00F80536"/>
    <w:rsid w:val="00F80732"/>
    <w:rsid w:val="00F80846"/>
    <w:rsid w:val="00F808E1"/>
    <w:rsid w:val="00F80987"/>
    <w:rsid w:val="00F80A69"/>
    <w:rsid w:val="00F80B20"/>
    <w:rsid w:val="00F80B38"/>
    <w:rsid w:val="00F80B41"/>
    <w:rsid w:val="00F80CA8"/>
    <w:rsid w:val="00F80D9F"/>
    <w:rsid w:val="00F80E88"/>
    <w:rsid w:val="00F80F32"/>
    <w:rsid w:val="00F80FB2"/>
    <w:rsid w:val="00F81095"/>
    <w:rsid w:val="00F81248"/>
    <w:rsid w:val="00F81433"/>
    <w:rsid w:val="00F814BE"/>
    <w:rsid w:val="00F814D7"/>
    <w:rsid w:val="00F814F1"/>
    <w:rsid w:val="00F815E7"/>
    <w:rsid w:val="00F8163F"/>
    <w:rsid w:val="00F8169D"/>
    <w:rsid w:val="00F816E7"/>
    <w:rsid w:val="00F8171D"/>
    <w:rsid w:val="00F81768"/>
    <w:rsid w:val="00F8176D"/>
    <w:rsid w:val="00F817DF"/>
    <w:rsid w:val="00F8181C"/>
    <w:rsid w:val="00F8182E"/>
    <w:rsid w:val="00F8189C"/>
    <w:rsid w:val="00F81BC3"/>
    <w:rsid w:val="00F81BC9"/>
    <w:rsid w:val="00F81BF8"/>
    <w:rsid w:val="00F81C00"/>
    <w:rsid w:val="00F81D5C"/>
    <w:rsid w:val="00F81DF8"/>
    <w:rsid w:val="00F81E19"/>
    <w:rsid w:val="00F81E4B"/>
    <w:rsid w:val="00F81E6A"/>
    <w:rsid w:val="00F81F6C"/>
    <w:rsid w:val="00F82044"/>
    <w:rsid w:val="00F82220"/>
    <w:rsid w:val="00F824B6"/>
    <w:rsid w:val="00F824E4"/>
    <w:rsid w:val="00F8253C"/>
    <w:rsid w:val="00F82620"/>
    <w:rsid w:val="00F82697"/>
    <w:rsid w:val="00F826F2"/>
    <w:rsid w:val="00F826F5"/>
    <w:rsid w:val="00F82855"/>
    <w:rsid w:val="00F82867"/>
    <w:rsid w:val="00F829ED"/>
    <w:rsid w:val="00F82A4A"/>
    <w:rsid w:val="00F82BA8"/>
    <w:rsid w:val="00F82F88"/>
    <w:rsid w:val="00F82FF0"/>
    <w:rsid w:val="00F8312C"/>
    <w:rsid w:val="00F83131"/>
    <w:rsid w:val="00F831DC"/>
    <w:rsid w:val="00F832CD"/>
    <w:rsid w:val="00F8333A"/>
    <w:rsid w:val="00F8339E"/>
    <w:rsid w:val="00F83514"/>
    <w:rsid w:val="00F83525"/>
    <w:rsid w:val="00F835FA"/>
    <w:rsid w:val="00F83662"/>
    <w:rsid w:val="00F837A1"/>
    <w:rsid w:val="00F837CA"/>
    <w:rsid w:val="00F83856"/>
    <w:rsid w:val="00F83948"/>
    <w:rsid w:val="00F8395D"/>
    <w:rsid w:val="00F83A79"/>
    <w:rsid w:val="00F83A8F"/>
    <w:rsid w:val="00F83B80"/>
    <w:rsid w:val="00F83BA8"/>
    <w:rsid w:val="00F83C7E"/>
    <w:rsid w:val="00F83CCD"/>
    <w:rsid w:val="00F83D74"/>
    <w:rsid w:val="00F83D96"/>
    <w:rsid w:val="00F83DAB"/>
    <w:rsid w:val="00F83EBE"/>
    <w:rsid w:val="00F83EC6"/>
    <w:rsid w:val="00F83FB2"/>
    <w:rsid w:val="00F84006"/>
    <w:rsid w:val="00F840F9"/>
    <w:rsid w:val="00F84129"/>
    <w:rsid w:val="00F841D0"/>
    <w:rsid w:val="00F841EE"/>
    <w:rsid w:val="00F8421B"/>
    <w:rsid w:val="00F842A9"/>
    <w:rsid w:val="00F84353"/>
    <w:rsid w:val="00F84424"/>
    <w:rsid w:val="00F844E1"/>
    <w:rsid w:val="00F845CE"/>
    <w:rsid w:val="00F84614"/>
    <w:rsid w:val="00F84623"/>
    <w:rsid w:val="00F8477C"/>
    <w:rsid w:val="00F8478B"/>
    <w:rsid w:val="00F8494A"/>
    <w:rsid w:val="00F84A0C"/>
    <w:rsid w:val="00F84AA4"/>
    <w:rsid w:val="00F84D9B"/>
    <w:rsid w:val="00F84F6C"/>
    <w:rsid w:val="00F84FFD"/>
    <w:rsid w:val="00F8511D"/>
    <w:rsid w:val="00F8518D"/>
    <w:rsid w:val="00F85191"/>
    <w:rsid w:val="00F85216"/>
    <w:rsid w:val="00F852AF"/>
    <w:rsid w:val="00F85327"/>
    <w:rsid w:val="00F853DE"/>
    <w:rsid w:val="00F8540F"/>
    <w:rsid w:val="00F854AA"/>
    <w:rsid w:val="00F85548"/>
    <w:rsid w:val="00F856D2"/>
    <w:rsid w:val="00F85746"/>
    <w:rsid w:val="00F8574F"/>
    <w:rsid w:val="00F8579E"/>
    <w:rsid w:val="00F858D0"/>
    <w:rsid w:val="00F85A8A"/>
    <w:rsid w:val="00F85C72"/>
    <w:rsid w:val="00F85CCA"/>
    <w:rsid w:val="00F85DDD"/>
    <w:rsid w:val="00F85E7C"/>
    <w:rsid w:val="00F85EB9"/>
    <w:rsid w:val="00F85F0C"/>
    <w:rsid w:val="00F85F8D"/>
    <w:rsid w:val="00F8600F"/>
    <w:rsid w:val="00F8609C"/>
    <w:rsid w:val="00F8612F"/>
    <w:rsid w:val="00F86153"/>
    <w:rsid w:val="00F862A7"/>
    <w:rsid w:val="00F8640B"/>
    <w:rsid w:val="00F8641D"/>
    <w:rsid w:val="00F8648F"/>
    <w:rsid w:val="00F86642"/>
    <w:rsid w:val="00F867FE"/>
    <w:rsid w:val="00F8689B"/>
    <w:rsid w:val="00F86A2C"/>
    <w:rsid w:val="00F86A3F"/>
    <w:rsid w:val="00F86B71"/>
    <w:rsid w:val="00F86BCB"/>
    <w:rsid w:val="00F86C81"/>
    <w:rsid w:val="00F86CEA"/>
    <w:rsid w:val="00F86D6C"/>
    <w:rsid w:val="00F86D8F"/>
    <w:rsid w:val="00F86E17"/>
    <w:rsid w:val="00F86EC6"/>
    <w:rsid w:val="00F86FD0"/>
    <w:rsid w:val="00F86FD6"/>
    <w:rsid w:val="00F87018"/>
    <w:rsid w:val="00F8713F"/>
    <w:rsid w:val="00F87773"/>
    <w:rsid w:val="00F879A2"/>
    <w:rsid w:val="00F87A6C"/>
    <w:rsid w:val="00F87AD7"/>
    <w:rsid w:val="00F87AE3"/>
    <w:rsid w:val="00F87AEF"/>
    <w:rsid w:val="00F87B55"/>
    <w:rsid w:val="00F87C22"/>
    <w:rsid w:val="00F87DFD"/>
    <w:rsid w:val="00F87E3E"/>
    <w:rsid w:val="00F87FBC"/>
    <w:rsid w:val="00F87FF8"/>
    <w:rsid w:val="00F9004F"/>
    <w:rsid w:val="00F90114"/>
    <w:rsid w:val="00F9023A"/>
    <w:rsid w:val="00F90325"/>
    <w:rsid w:val="00F90335"/>
    <w:rsid w:val="00F90524"/>
    <w:rsid w:val="00F905DE"/>
    <w:rsid w:val="00F907FA"/>
    <w:rsid w:val="00F908FC"/>
    <w:rsid w:val="00F90A2B"/>
    <w:rsid w:val="00F90BC2"/>
    <w:rsid w:val="00F90C30"/>
    <w:rsid w:val="00F90C42"/>
    <w:rsid w:val="00F90CE4"/>
    <w:rsid w:val="00F90ECC"/>
    <w:rsid w:val="00F90FF7"/>
    <w:rsid w:val="00F91049"/>
    <w:rsid w:val="00F913E7"/>
    <w:rsid w:val="00F914B5"/>
    <w:rsid w:val="00F914D3"/>
    <w:rsid w:val="00F915DD"/>
    <w:rsid w:val="00F916D5"/>
    <w:rsid w:val="00F9173F"/>
    <w:rsid w:val="00F918E9"/>
    <w:rsid w:val="00F91AC7"/>
    <w:rsid w:val="00F91B5A"/>
    <w:rsid w:val="00F91BC3"/>
    <w:rsid w:val="00F91CD9"/>
    <w:rsid w:val="00F91CE0"/>
    <w:rsid w:val="00F91ED2"/>
    <w:rsid w:val="00F91F7E"/>
    <w:rsid w:val="00F9219D"/>
    <w:rsid w:val="00F922E3"/>
    <w:rsid w:val="00F924DE"/>
    <w:rsid w:val="00F9269D"/>
    <w:rsid w:val="00F926A2"/>
    <w:rsid w:val="00F9286D"/>
    <w:rsid w:val="00F9288B"/>
    <w:rsid w:val="00F928E6"/>
    <w:rsid w:val="00F92999"/>
    <w:rsid w:val="00F929DA"/>
    <w:rsid w:val="00F929FF"/>
    <w:rsid w:val="00F92AD6"/>
    <w:rsid w:val="00F92C4B"/>
    <w:rsid w:val="00F92C90"/>
    <w:rsid w:val="00F92CFA"/>
    <w:rsid w:val="00F92D3B"/>
    <w:rsid w:val="00F92D46"/>
    <w:rsid w:val="00F92D7B"/>
    <w:rsid w:val="00F92D8A"/>
    <w:rsid w:val="00F92E3C"/>
    <w:rsid w:val="00F92F29"/>
    <w:rsid w:val="00F92F40"/>
    <w:rsid w:val="00F930BC"/>
    <w:rsid w:val="00F930D9"/>
    <w:rsid w:val="00F93156"/>
    <w:rsid w:val="00F9316B"/>
    <w:rsid w:val="00F93183"/>
    <w:rsid w:val="00F931BB"/>
    <w:rsid w:val="00F9326D"/>
    <w:rsid w:val="00F9329A"/>
    <w:rsid w:val="00F93308"/>
    <w:rsid w:val="00F933E1"/>
    <w:rsid w:val="00F93428"/>
    <w:rsid w:val="00F93443"/>
    <w:rsid w:val="00F935DA"/>
    <w:rsid w:val="00F9374E"/>
    <w:rsid w:val="00F93756"/>
    <w:rsid w:val="00F93763"/>
    <w:rsid w:val="00F937DA"/>
    <w:rsid w:val="00F939D7"/>
    <w:rsid w:val="00F93A8B"/>
    <w:rsid w:val="00F93A97"/>
    <w:rsid w:val="00F93AF0"/>
    <w:rsid w:val="00F93C24"/>
    <w:rsid w:val="00F93E4D"/>
    <w:rsid w:val="00F93E9B"/>
    <w:rsid w:val="00F940EF"/>
    <w:rsid w:val="00F94105"/>
    <w:rsid w:val="00F941C6"/>
    <w:rsid w:val="00F9426A"/>
    <w:rsid w:val="00F942B1"/>
    <w:rsid w:val="00F94349"/>
    <w:rsid w:val="00F944C8"/>
    <w:rsid w:val="00F945D6"/>
    <w:rsid w:val="00F94801"/>
    <w:rsid w:val="00F9487C"/>
    <w:rsid w:val="00F9488F"/>
    <w:rsid w:val="00F94900"/>
    <w:rsid w:val="00F94A18"/>
    <w:rsid w:val="00F94A2E"/>
    <w:rsid w:val="00F94BE5"/>
    <w:rsid w:val="00F94D99"/>
    <w:rsid w:val="00F94E3C"/>
    <w:rsid w:val="00F94E3D"/>
    <w:rsid w:val="00F94E59"/>
    <w:rsid w:val="00F94F61"/>
    <w:rsid w:val="00F95018"/>
    <w:rsid w:val="00F9517E"/>
    <w:rsid w:val="00F95194"/>
    <w:rsid w:val="00F95319"/>
    <w:rsid w:val="00F953E3"/>
    <w:rsid w:val="00F9540E"/>
    <w:rsid w:val="00F95430"/>
    <w:rsid w:val="00F954F9"/>
    <w:rsid w:val="00F955ED"/>
    <w:rsid w:val="00F956A7"/>
    <w:rsid w:val="00F957A3"/>
    <w:rsid w:val="00F959EC"/>
    <w:rsid w:val="00F95A78"/>
    <w:rsid w:val="00F95A7A"/>
    <w:rsid w:val="00F95AB5"/>
    <w:rsid w:val="00F95AED"/>
    <w:rsid w:val="00F95B09"/>
    <w:rsid w:val="00F95B0D"/>
    <w:rsid w:val="00F95B2E"/>
    <w:rsid w:val="00F95B4F"/>
    <w:rsid w:val="00F95B6B"/>
    <w:rsid w:val="00F95B90"/>
    <w:rsid w:val="00F95CB9"/>
    <w:rsid w:val="00F95DDD"/>
    <w:rsid w:val="00F95E7F"/>
    <w:rsid w:val="00F95F68"/>
    <w:rsid w:val="00F95F72"/>
    <w:rsid w:val="00F95FBC"/>
    <w:rsid w:val="00F9604A"/>
    <w:rsid w:val="00F960B3"/>
    <w:rsid w:val="00F9624F"/>
    <w:rsid w:val="00F9625E"/>
    <w:rsid w:val="00F96260"/>
    <w:rsid w:val="00F962D9"/>
    <w:rsid w:val="00F96417"/>
    <w:rsid w:val="00F964A3"/>
    <w:rsid w:val="00F96507"/>
    <w:rsid w:val="00F96514"/>
    <w:rsid w:val="00F96813"/>
    <w:rsid w:val="00F9688E"/>
    <w:rsid w:val="00F969D0"/>
    <w:rsid w:val="00F96A86"/>
    <w:rsid w:val="00F96B74"/>
    <w:rsid w:val="00F96D31"/>
    <w:rsid w:val="00F96DFE"/>
    <w:rsid w:val="00F97082"/>
    <w:rsid w:val="00F97118"/>
    <w:rsid w:val="00F9713F"/>
    <w:rsid w:val="00F97181"/>
    <w:rsid w:val="00F97244"/>
    <w:rsid w:val="00F97361"/>
    <w:rsid w:val="00F974AC"/>
    <w:rsid w:val="00F974EB"/>
    <w:rsid w:val="00F97572"/>
    <w:rsid w:val="00F975B4"/>
    <w:rsid w:val="00F9761A"/>
    <w:rsid w:val="00F9772B"/>
    <w:rsid w:val="00F979FA"/>
    <w:rsid w:val="00F97C73"/>
    <w:rsid w:val="00F97CC1"/>
    <w:rsid w:val="00F97CCF"/>
    <w:rsid w:val="00F97D7E"/>
    <w:rsid w:val="00F97DD4"/>
    <w:rsid w:val="00F97DF3"/>
    <w:rsid w:val="00F97DFA"/>
    <w:rsid w:val="00F97E13"/>
    <w:rsid w:val="00FA0005"/>
    <w:rsid w:val="00FA01B6"/>
    <w:rsid w:val="00FA0293"/>
    <w:rsid w:val="00FA046E"/>
    <w:rsid w:val="00FA05F2"/>
    <w:rsid w:val="00FA066C"/>
    <w:rsid w:val="00FA067D"/>
    <w:rsid w:val="00FA06D8"/>
    <w:rsid w:val="00FA06DD"/>
    <w:rsid w:val="00FA070C"/>
    <w:rsid w:val="00FA0785"/>
    <w:rsid w:val="00FA08B3"/>
    <w:rsid w:val="00FA09FB"/>
    <w:rsid w:val="00FA0B1E"/>
    <w:rsid w:val="00FA0B53"/>
    <w:rsid w:val="00FA0B58"/>
    <w:rsid w:val="00FA0BA3"/>
    <w:rsid w:val="00FA0E15"/>
    <w:rsid w:val="00FA0E34"/>
    <w:rsid w:val="00FA0E8A"/>
    <w:rsid w:val="00FA0EBA"/>
    <w:rsid w:val="00FA0F2B"/>
    <w:rsid w:val="00FA0F81"/>
    <w:rsid w:val="00FA0FCF"/>
    <w:rsid w:val="00FA1022"/>
    <w:rsid w:val="00FA106D"/>
    <w:rsid w:val="00FA1074"/>
    <w:rsid w:val="00FA11D5"/>
    <w:rsid w:val="00FA132A"/>
    <w:rsid w:val="00FA133D"/>
    <w:rsid w:val="00FA1382"/>
    <w:rsid w:val="00FA15C7"/>
    <w:rsid w:val="00FA15E9"/>
    <w:rsid w:val="00FA1677"/>
    <w:rsid w:val="00FA169B"/>
    <w:rsid w:val="00FA1862"/>
    <w:rsid w:val="00FA1947"/>
    <w:rsid w:val="00FA194A"/>
    <w:rsid w:val="00FA1990"/>
    <w:rsid w:val="00FA1A9D"/>
    <w:rsid w:val="00FA1BB9"/>
    <w:rsid w:val="00FA1BCC"/>
    <w:rsid w:val="00FA1D28"/>
    <w:rsid w:val="00FA1E05"/>
    <w:rsid w:val="00FA1F61"/>
    <w:rsid w:val="00FA201C"/>
    <w:rsid w:val="00FA2054"/>
    <w:rsid w:val="00FA2074"/>
    <w:rsid w:val="00FA20ED"/>
    <w:rsid w:val="00FA217A"/>
    <w:rsid w:val="00FA21CB"/>
    <w:rsid w:val="00FA2248"/>
    <w:rsid w:val="00FA2531"/>
    <w:rsid w:val="00FA25C8"/>
    <w:rsid w:val="00FA2738"/>
    <w:rsid w:val="00FA27F4"/>
    <w:rsid w:val="00FA28F3"/>
    <w:rsid w:val="00FA298C"/>
    <w:rsid w:val="00FA2992"/>
    <w:rsid w:val="00FA2A4B"/>
    <w:rsid w:val="00FA2AFE"/>
    <w:rsid w:val="00FA2D31"/>
    <w:rsid w:val="00FA2DE8"/>
    <w:rsid w:val="00FA2E2E"/>
    <w:rsid w:val="00FA2E4E"/>
    <w:rsid w:val="00FA2E77"/>
    <w:rsid w:val="00FA2F07"/>
    <w:rsid w:val="00FA2F9B"/>
    <w:rsid w:val="00FA2FD1"/>
    <w:rsid w:val="00FA3031"/>
    <w:rsid w:val="00FA3175"/>
    <w:rsid w:val="00FA31B8"/>
    <w:rsid w:val="00FA31D6"/>
    <w:rsid w:val="00FA3318"/>
    <w:rsid w:val="00FA331D"/>
    <w:rsid w:val="00FA3329"/>
    <w:rsid w:val="00FA334B"/>
    <w:rsid w:val="00FA3459"/>
    <w:rsid w:val="00FA3471"/>
    <w:rsid w:val="00FA3472"/>
    <w:rsid w:val="00FA36C5"/>
    <w:rsid w:val="00FA3710"/>
    <w:rsid w:val="00FA3768"/>
    <w:rsid w:val="00FA37F3"/>
    <w:rsid w:val="00FA3ABC"/>
    <w:rsid w:val="00FA3B53"/>
    <w:rsid w:val="00FA3B7A"/>
    <w:rsid w:val="00FA3E39"/>
    <w:rsid w:val="00FA3ED0"/>
    <w:rsid w:val="00FA41C2"/>
    <w:rsid w:val="00FA429E"/>
    <w:rsid w:val="00FA42ED"/>
    <w:rsid w:val="00FA4448"/>
    <w:rsid w:val="00FA4472"/>
    <w:rsid w:val="00FA455B"/>
    <w:rsid w:val="00FA4563"/>
    <w:rsid w:val="00FA4568"/>
    <w:rsid w:val="00FA458F"/>
    <w:rsid w:val="00FA4761"/>
    <w:rsid w:val="00FA47F3"/>
    <w:rsid w:val="00FA4882"/>
    <w:rsid w:val="00FA48E3"/>
    <w:rsid w:val="00FA48FE"/>
    <w:rsid w:val="00FA4969"/>
    <w:rsid w:val="00FA4A1A"/>
    <w:rsid w:val="00FA4A1C"/>
    <w:rsid w:val="00FA4A33"/>
    <w:rsid w:val="00FA4A54"/>
    <w:rsid w:val="00FA4B1B"/>
    <w:rsid w:val="00FA4B86"/>
    <w:rsid w:val="00FA4D4C"/>
    <w:rsid w:val="00FA4D4E"/>
    <w:rsid w:val="00FA4DEE"/>
    <w:rsid w:val="00FA4ECC"/>
    <w:rsid w:val="00FA4FC6"/>
    <w:rsid w:val="00FA52EA"/>
    <w:rsid w:val="00FA5488"/>
    <w:rsid w:val="00FA55C1"/>
    <w:rsid w:val="00FA55C3"/>
    <w:rsid w:val="00FA5853"/>
    <w:rsid w:val="00FA58D9"/>
    <w:rsid w:val="00FA5972"/>
    <w:rsid w:val="00FA5A3C"/>
    <w:rsid w:val="00FA5A71"/>
    <w:rsid w:val="00FA5AD9"/>
    <w:rsid w:val="00FA5BE8"/>
    <w:rsid w:val="00FA5CE7"/>
    <w:rsid w:val="00FA5E5A"/>
    <w:rsid w:val="00FA5F6C"/>
    <w:rsid w:val="00FA5FD0"/>
    <w:rsid w:val="00FA606D"/>
    <w:rsid w:val="00FA60C3"/>
    <w:rsid w:val="00FA60C9"/>
    <w:rsid w:val="00FA6123"/>
    <w:rsid w:val="00FA6142"/>
    <w:rsid w:val="00FA62C5"/>
    <w:rsid w:val="00FA6484"/>
    <w:rsid w:val="00FA64F1"/>
    <w:rsid w:val="00FA6646"/>
    <w:rsid w:val="00FA6667"/>
    <w:rsid w:val="00FA6715"/>
    <w:rsid w:val="00FA677D"/>
    <w:rsid w:val="00FA694B"/>
    <w:rsid w:val="00FA6B32"/>
    <w:rsid w:val="00FA6B55"/>
    <w:rsid w:val="00FA6BAE"/>
    <w:rsid w:val="00FA6C06"/>
    <w:rsid w:val="00FA6C34"/>
    <w:rsid w:val="00FA6CFF"/>
    <w:rsid w:val="00FA6D6D"/>
    <w:rsid w:val="00FA6D72"/>
    <w:rsid w:val="00FA6F2B"/>
    <w:rsid w:val="00FA6F32"/>
    <w:rsid w:val="00FA6F5A"/>
    <w:rsid w:val="00FA7024"/>
    <w:rsid w:val="00FA712B"/>
    <w:rsid w:val="00FA71A2"/>
    <w:rsid w:val="00FA71E5"/>
    <w:rsid w:val="00FA726F"/>
    <w:rsid w:val="00FA729A"/>
    <w:rsid w:val="00FA730E"/>
    <w:rsid w:val="00FA7485"/>
    <w:rsid w:val="00FA7605"/>
    <w:rsid w:val="00FA7685"/>
    <w:rsid w:val="00FA7749"/>
    <w:rsid w:val="00FA778D"/>
    <w:rsid w:val="00FA78F2"/>
    <w:rsid w:val="00FA7B20"/>
    <w:rsid w:val="00FA7BF2"/>
    <w:rsid w:val="00FA7C74"/>
    <w:rsid w:val="00FA7DDB"/>
    <w:rsid w:val="00FA7DE4"/>
    <w:rsid w:val="00FA7E05"/>
    <w:rsid w:val="00FA7E74"/>
    <w:rsid w:val="00FA7F17"/>
    <w:rsid w:val="00FA7F7E"/>
    <w:rsid w:val="00FB00E7"/>
    <w:rsid w:val="00FB027D"/>
    <w:rsid w:val="00FB029E"/>
    <w:rsid w:val="00FB0300"/>
    <w:rsid w:val="00FB05EF"/>
    <w:rsid w:val="00FB0680"/>
    <w:rsid w:val="00FB06BB"/>
    <w:rsid w:val="00FB08D8"/>
    <w:rsid w:val="00FB0939"/>
    <w:rsid w:val="00FB0B7D"/>
    <w:rsid w:val="00FB0BA4"/>
    <w:rsid w:val="00FB0BD0"/>
    <w:rsid w:val="00FB0C66"/>
    <w:rsid w:val="00FB0CCC"/>
    <w:rsid w:val="00FB0F61"/>
    <w:rsid w:val="00FB0F67"/>
    <w:rsid w:val="00FB10E5"/>
    <w:rsid w:val="00FB118D"/>
    <w:rsid w:val="00FB12C3"/>
    <w:rsid w:val="00FB1475"/>
    <w:rsid w:val="00FB16AE"/>
    <w:rsid w:val="00FB17DC"/>
    <w:rsid w:val="00FB183D"/>
    <w:rsid w:val="00FB1A02"/>
    <w:rsid w:val="00FB1D68"/>
    <w:rsid w:val="00FB1DD5"/>
    <w:rsid w:val="00FB1E22"/>
    <w:rsid w:val="00FB204C"/>
    <w:rsid w:val="00FB2133"/>
    <w:rsid w:val="00FB218C"/>
    <w:rsid w:val="00FB22B6"/>
    <w:rsid w:val="00FB2366"/>
    <w:rsid w:val="00FB23F3"/>
    <w:rsid w:val="00FB24AF"/>
    <w:rsid w:val="00FB24B2"/>
    <w:rsid w:val="00FB2566"/>
    <w:rsid w:val="00FB263E"/>
    <w:rsid w:val="00FB268C"/>
    <w:rsid w:val="00FB26EF"/>
    <w:rsid w:val="00FB2776"/>
    <w:rsid w:val="00FB2792"/>
    <w:rsid w:val="00FB2797"/>
    <w:rsid w:val="00FB27FD"/>
    <w:rsid w:val="00FB2833"/>
    <w:rsid w:val="00FB28A7"/>
    <w:rsid w:val="00FB2A8B"/>
    <w:rsid w:val="00FB2AA2"/>
    <w:rsid w:val="00FB2B29"/>
    <w:rsid w:val="00FB2BA6"/>
    <w:rsid w:val="00FB2C0D"/>
    <w:rsid w:val="00FB2D3A"/>
    <w:rsid w:val="00FB2E70"/>
    <w:rsid w:val="00FB30DC"/>
    <w:rsid w:val="00FB312A"/>
    <w:rsid w:val="00FB315A"/>
    <w:rsid w:val="00FB3317"/>
    <w:rsid w:val="00FB336F"/>
    <w:rsid w:val="00FB36AF"/>
    <w:rsid w:val="00FB3865"/>
    <w:rsid w:val="00FB38F7"/>
    <w:rsid w:val="00FB39C1"/>
    <w:rsid w:val="00FB3AB4"/>
    <w:rsid w:val="00FB3AE7"/>
    <w:rsid w:val="00FB3B43"/>
    <w:rsid w:val="00FB3D67"/>
    <w:rsid w:val="00FB3D86"/>
    <w:rsid w:val="00FB3DFC"/>
    <w:rsid w:val="00FB3FA6"/>
    <w:rsid w:val="00FB4015"/>
    <w:rsid w:val="00FB4043"/>
    <w:rsid w:val="00FB405F"/>
    <w:rsid w:val="00FB40EF"/>
    <w:rsid w:val="00FB410E"/>
    <w:rsid w:val="00FB44AF"/>
    <w:rsid w:val="00FB44EC"/>
    <w:rsid w:val="00FB4596"/>
    <w:rsid w:val="00FB4709"/>
    <w:rsid w:val="00FB47E4"/>
    <w:rsid w:val="00FB48DB"/>
    <w:rsid w:val="00FB48EF"/>
    <w:rsid w:val="00FB4A10"/>
    <w:rsid w:val="00FB4A4F"/>
    <w:rsid w:val="00FB4B9C"/>
    <w:rsid w:val="00FB4BE3"/>
    <w:rsid w:val="00FB4C2A"/>
    <w:rsid w:val="00FB4C9D"/>
    <w:rsid w:val="00FB4CD1"/>
    <w:rsid w:val="00FB4D28"/>
    <w:rsid w:val="00FB4D7D"/>
    <w:rsid w:val="00FB4ECC"/>
    <w:rsid w:val="00FB4EFB"/>
    <w:rsid w:val="00FB4F4F"/>
    <w:rsid w:val="00FB4F98"/>
    <w:rsid w:val="00FB4FD8"/>
    <w:rsid w:val="00FB4FF1"/>
    <w:rsid w:val="00FB5022"/>
    <w:rsid w:val="00FB515B"/>
    <w:rsid w:val="00FB51D0"/>
    <w:rsid w:val="00FB52BA"/>
    <w:rsid w:val="00FB53B5"/>
    <w:rsid w:val="00FB543A"/>
    <w:rsid w:val="00FB54DB"/>
    <w:rsid w:val="00FB54F0"/>
    <w:rsid w:val="00FB563A"/>
    <w:rsid w:val="00FB5655"/>
    <w:rsid w:val="00FB5686"/>
    <w:rsid w:val="00FB56D5"/>
    <w:rsid w:val="00FB570A"/>
    <w:rsid w:val="00FB5735"/>
    <w:rsid w:val="00FB57CE"/>
    <w:rsid w:val="00FB58E6"/>
    <w:rsid w:val="00FB598D"/>
    <w:rsid w:val="00FB59FE"/>
    <w:rsid w:val="00FB5A3B"/>
    <w:rsid w:val="00FB5A41"/>
    <w:rsid w:val="00FB5C8E"/>
    <w:rsid w:val="00FB5D61"/>
    <w:rsid w:val="00FB5DB0"/>
    <w:rsid w:val="00FB5E5D"/>
    <w:rsid w:val="00FB60DD"/>
    <w:rsid w:val="00FB6308"/>
    <w:rsid w:val="00FB633F"/>
    <w:rsid w:val="00FB6341"/>
    <w:rsid w:val="00FB6489"/>
    <w:rsid w:val="00FB64C9"/>
    <w:rsid w:val="00FB6634"/>
    <w:rsid w:val="00FB692E"/>
    <w:rsid w:val="00FB6ADC"/>
    <w:rsid w:val="00FB6B99"/>
    <w:rsid w:val="00FB6C51"/>
    <w:rsid w:val="00FB6CAF"/>
    <w:rsid w:val="00FB6D35"/>
    <w:rsid w:val="00FB6DF2"/>
    <w:rsid w:val="00FB6F22"/>
    <w:rsid w:val="00FB6F29"/>
    <w:rsid w:val="00FB6F74"/>
    <w:rsid w:val="00FB703D"/>
    <w:rsid w:val="00FB711A"/>
    <w:rsid w:val="00FB7389"/>
    <w:rsid w:val="00FB7487"/>
    <w:rsid w:val="00FB7665"/>
    <w:rsid w:val="00FB7703"/>
    <w:rsid w:val="00FB77E9"/>
    <w:rsid w:val="00FB78BD"/>
    <w:rsid w:val="00FB78E7"/>
    <w:rsid w:val="00FB798B"/>
    <w:rsid w:val="00FB79EF"/>
    <w:rsid w:val="00FB79F3"/>
    <w:rsid w:val="00FB7A50"/>
    <w:rsid w:val="00FB7A6F"/>
    <w:rsid w:val="00FB7B25"/>
    <w:rsid w:val="00FB7DB2"/>
    <w:rsid w:val="00FB7DC3"/>
    <w:rsid w:val="00FB7DC4"/>
    <w:rsid w:val="00FB7E22"/>
    <w:rsid w:val="00FC0032"/>
    <w:rsid w:val="00FC006A"/>
    <w:rsid w:val="00FC0074"/>
    <w:rsid w:val="00FC00BC"/>
    <w:rsid w:val="00FC00F0"/>
    <w:rsid w:val="00FC0174"/>
    <w:rsid w:val="00FC01A8"/>
    <w:rsid w:val="00FC01B7"/>
    <w:rsid w:val="00FC01C3"/>
    <w:rsid w:val="00FC023F"/>
    <w:rsid w:val="00FC0298"/>
    <w:rsid w:val="00FC03A5"/>
    <w:rsid w:val="00FC048F"/>
    <w:rsid w:val="00FC0496"/>
    <w:rsid w:val="00FC053E"/>
    <w:rsid w:val="00FC0613"/>
    <w:rsid w:val="00FC072E"/>
    <w:rsid w:val="00FC0827"/>
    <w:rsid w:val="00FC09FE"/>
    <w:rsid w:val="00FC0B2E"/>
    <w:rsid w:val="00FC0BF0"/>
    <w:rsid w:val="00FC0CD3"/>
    <w:rsid w:val="00FC0D4C"/>
    <w:rsid w:val="00FC0EBF"/>
    <w:rsid w:val="00FC0F1A"/>
    <w:rsid w:val="00FC0F23"/>
    <w:rsid w:val="00FC1058"/>
    <w:rsid w:val="00FC1091"/>
    <w:rsid w:val="00FC114E"/>
    <w:rsid w:val="00FC11A2"/>
    <w:rsid w:val="00FC12E0"/>
    <w:rsid w:val="00FC1334"/>
    <w:rsid w:val="00FC1425"/>
    <w:rsid w:val="00FC1843"/>
    <w:rsid w:val="00FC1881"/>
    <w:rsid w:val="00FC1974"/>
    <w:rsid w:val="00FC19EA"/>
    <w:rsid w:val="00FC1A17"/>
    <w:rsid w:val="00FC1A33"/>
    <w:rsid w:val="00FC1BE2"/>
    <w:rsid w:val="00FC2019"/>
    <w:rsid w:val="00FC2282"/>
    <w:rsid w:val="00FC22B1"/>
    <w:rsid w:val="00FC22CD"/>
    <w:rsid w:val="00FC241C"/>
    <w:rsid w:val="00FC249A"/>
    <w:rsid w:val="00FC24AC"/>
    <w:rsid w:val="00FC24FF"/>
    <w:rsid w:val="00FC2586"/>
    <w:rsid w:val="00FC25A7"/>
    <w:rsid w:val="00FC2668"/>
    <w:rsid w:val="00FC2729"/>
    <w:rsid w:val="00FC27C2"/>
    <w:rsid w:val="00FC27F5"/>
    <w:rsid w:val="00FC2829"/>
    <w:rsid w:val="00FC29AF"/>
    <w:rsid w:val="00FC2A21"/>
    <w:rsid w:val="00FC2A58"/>
    <w:rsid w:val="00FC2A66"/>
    <w:rsid w:val="00FC2B5D"/>
    <w:rsid w:val="00FC2D97"/>
    <w:rsid w:val="00FC2DE5"/>
    <w:rsid w:val="00FC2E5F"/>
    <w:rsid w:val="00FC2EF5"/>
    <w:rsid w:val="00FC2FEF"/>
    <w:rsid w:val="00FC312F"/>
    <w:rsid w:val="00FC331C"/>
    <w:rsid w:val="00FC3430"/>
    <w:rsid w:val="00FC34B2"/>
    <w:rsid w:val="00FC355C"/>
    <w:rsid w:val="00FC35B4"/>
    <w:rsid w:val="00FC364A"/>
    <w:rsid w:val="00FC3672"/>
    <w:rsid w:val="00FC3783"/>
    <w:rsid w:val="00FC382C"/>
    <w:rsid w:val="00FC38F8"/>
    <w:rsid w:val="00FC3A79"/>
    <w:rsid w:val="00FC3AD9"/>
    <w:rsid w:val="00FC3C3E"/>
    <w:rsid w:val="00FC3EC6"/>
    <w:rsid w:val="00FC3FB2"/>
    <w:rsid w:val="00FC3FB8"/>
    <w:rsid w:val="00FC3FD5"/>
    <w:rsid w:val="00FC4056"/>
    <w:rsid w:val="00FC406C"/>
    <w:rsid w:val="00FC40FF"/>
    <w:rsid w:val="00FC41B0"/>
    <w:rsid w:val="00FC41CE"/>
    <w:rsid w:val="00FC4248"/>
    <w:rsid w:val="00FC42D0"/>
    <w:rsid w:val="00FC4323"/>
    <w:rsid w:val="00FC43A1"/>
    <w:rsid w:val="00FC475B"/>
    <w:rsid w:val="00FC4769"/>
    <w:rsid w:val="00FC4870"/>
    <w:rsid w:val="00FC4B57"/>
    <w:rsid w:val="00FC4B85"/>
    <w:rsid w:val="00FC4C49"/>
    <w:rsid w:val="00FC4E58"/>
    <w:rsid w:val="00FC4F20"/>
    <w:rsid w:val="00FC4F5F"/>
    <w:rsid w:val="00FC5018"/>
    <w:rsid w:val="00FC517C"/>
    <w:rsid w:val="00FC52CD"/>
    <w:rsid w:val="00FC534B"/>
    <w:rsid w:val="00FC5420"/>
    <w:rsid w:val="00FC5485"/>
    <w:rsid w:val="00FC54A5"/>
    <w:rsid w:val="00FC54E7"/>
    <w:rsid w:val="00FC5772"/>
    <w:rsid w:val="00FC5878"/>
    <w:rsid w:val="00FC5D27"/>
    <w:rsid w:val="00FC5D4F"/>
    <w:rsid w:val="00FC5E52"/>
    <w:rsid w:val="00FC5E76"/>
    <w:rsid w:val="00FC5EFE"/>
    <w:rsid w:val="00FC5F3F"/>
    <w:rsid w:val="00FC601F"/>
    <w:rsid w:val="00FC602E"/>
    <w:rsid w:val="00FC60A8"/>
    <w:rsid w:val="00FC60FD"/>
    <w:rsid w:val="00FC611F"/>
    <w:rsid w:val="00FC6133"/>
    <w:rsid w:val="00FC6175"/>
    <w:rsid w:val="00FC62C3"/>
    <w:rsid w:val="00FC641D"/>
    <w:rsid w:val="00FC64E2"/>
    <w:rsid w:val="00FC662B"/>
    <w:rsid w:val="00FC682F"/>
    <w:rsid w:val="00FC685D"/>
    <w:rsid w:val="00FC68D5"/>
    <w:rsid w:val="00FC6956"/>
    <w:rsid w:val="00FC69CD"/>
    <w:rsid w:val="00FC69DE"/>
    <w:rsid w:val="00FC69EB"/>
    <w:rsid w:val="00FC6A51"/>
    <w:rsid w:val="00FC6A53"/>
    <w:rsid w:val="00FC6AD1"/>
    <w:rsid w:val="00FC6AF3"/>
    <w:rsid w:val="00FC6B05"/>
    <w:rsid w:val="00FC6B68"/>
    <w:rsid w:val="00FC6C3F"/>
    <w:rsid w:val="00FC6D2C"/>
    <w:rsid w:val="00FC6D4C"/>
    <w:rsid w:val="00FC6D73"/>
    <w:rsid w:val="00FC6E05"/>
    <w:rsid w:val="00FC7060"/>
    <w:rsid w:val="00FC7164"/>
    <w:rsid w:val="00FC7171"/>
    <w:rsid w:val="00FC7283"/>
    <w:rsid w:val="00FC73CF"/>
    <w:rsid w:val="00FC75FA"/>
    <w:rsid w:val="00FC7621"/>
    <w:rsid w:val="00FC763D"/>
    <w:rsid w:val="00FC76FE"/>
    <w:rsid w:val="00FC7758"/>
    <w:rsid w:val="00FC7823"/>
    <w:rsid w:val="00FC78A7"/>
    <w:rsid w:val="00FC78FF"/>
    <w:rsid w:val="00FC7922"/>
    <w:rsid w:val="00FC7A31"/>
    <w:rsid w:val="00FC7C1F"/>
    <w:rsid w:val="00FC7CFE"/>
    <w:rsid w:val="00FC7D1E"/>
    <w:rsid w:val="00FC7D38"/>
    <w:rsid w:val="00FD0052"/>
    <w:rsid w:val="00FD015D"/>
    <w:rsid w:val="00FD01EC"/>
    <w:rsid w:val="00FD03DD"/>
    <w:rsid w:val="00FD0540"/>
    <w:rsid w:val="00FD0601"/>
    <w:rsid w:val="00FD060E"/>
    <w:rsid w:val="00FD06C3"/>
    <w:rsid w:val="00FD0747"/>
    <w:rsid w:val="00FD088D"/>
    <w:rsid w:val="00FD08DC"/>
    <w:rsid w:val="00FD0925"/>
    <w:rsid w:val="00FD0954"/>
    <w:rsid w:val="00FD0A6B"/>
    <w:rsid w:val="00FD0B67"/>
    <w:rsid w:val="00FD0D6F"/>
    <w:rsid w:val="00FD0DA4"/>
    <w:rsid w:val="00FD0E0B"/>
    <w:rsid w:val="00FD0F2F"/>
    <w:rsid w:val="00FD0FC1"/>
    <w:rsid w:val="00FD1018"/>
    <w:rsid w:val="00FD10A0"/>
    <w:rsid w:val="00FD10BC"/>
    <w:rsid w:val="00FD1144"/>
    <w:rsid w:val="00FD11EF"/>
    <w:rsid w:val="00FD1212"/>
    <w:rsid w:val="00FD1346"/>
    <w:rsid w:val="00FD1358"/>
    <w:rsid w:val="00FD13E3"/>
    <w:rsid w:val="00FD140F"/>
    <w:rsid w:val="00FD1453"/>
    <w:rsid w:val="00FD1460"/>
    <w:rsid w:val="00FD155D"/>
    <w:rsid w:val="00FD161B"/>
    <w:rsid w:val="00FD1656"/>
    <w:rsid w:val="00FD16A0"/>
    <w:rsid w:val="00FD16C0"/>
    <w:rsid w:val="00FD179C"/>
    <w:rsid w:val="00FD17E4"/>
    <w:rsid w:val="00FD18B5"/>
    <w:rsid w:val="00FD1B68"/>
    <w:rsid w:val="00FD1BDE"/>
    <w:rsid w:val="00FD1C98"/>
    <w:rsid w:val="00FD1DF0"/>
    <w:rsid w:val="00FD1E2B"/>
    <w:rsid w:val="00FD230C"/>
    <w:rsid w:val="00FD2395"/>
    <w:rsid w:val="00FD23DE"/>
    <w:rsid w:val="00FD2545"/>
    <w:rsid w:val="00FD27E6"/>
    <w:rsid w:val="00FD2835"/>
    <w:rsid w:val="00FD2922"/>
    <w:rsid w:val="00FD29D5"/>
    <w:rsid w:val="00FD29DE"/>
    <w:rsid w:val="00FD29E4"/>
    <w:rsid w:val="00FD2A13"/>
    <w:rsid w:val="00FD2B2A"/>
    <w:rsid w:val="00FD2C46"/>
    <w:rsid w:val="00FD2DFB"/>
    <w:rsid w:val="00FD2E35"/>
    <w:rsid w:val="00FD2F7F"/>
    <w:rsid w:val="00FD2FA6"/>
    <w:rsid w:val="00FD2FAD"/>
    <w:rsid w:val="00FD2FEE"/>
    <w:rsid w:val="00FD318B"/>
    <w:rsid w:val="00FD3219"/>
    <w:rsid w:val="00FD331A"/>
    <w:rsid w:val="00FD3399"/>
    <w:rsid w:val="00FD342C"/>
    <w:rsid w:val="00FD343F"/>
    <w:rsid w:val="00FD349D"/>
    <w:rsid w:val="00FD34AD"/>
    <w:rsid w:val="00FD34BC"/>
    <w:rsid w:val="00FD36FF"/>
    <w:rsid w:val="00FD3776"/>
    <w:rsid w:val="00FD3B47"/>
    <w:rsid w:val="00FD3BD0"/>
    <w:rsid w:val="00FD3DBE"/>
    <w:rsid w:val="00FD3DFF"/>
    <w:rsid w:val="00FD3F70"/>
    <w:rsid w:val="00FD4047"/>
    <w:rsid w:val="00FD407C"/>
    <w:rsid w:val="00FD4234"/>
    <w:rsid w:val="00FD429B"/>
    <w:rsid w:val="00FD42B4"/>
    <w:rsid w:val="00FD432E"/>
    <w:rsid w:val="00FD4452"/>
    <w:rsid w:val="00FD4595"/>
    <w:rsid w:val="00FD47A4"/>
    <w:rsid w:val="00FD48B9"/>
    <w:rsid w:val="00FD49C0"/>
    <w:rsid w:val="00FD4BBB"/>
    <w:rsid w:val="00FD4C89"/>
    <w:rsid w:val="00FD4CEF"/>
    <w:rsid w:val="00FD4D17"/>
    <w:rsid w:val="00FD4D3C"/>
    <w:rsid w:val="00FD4D5E"/>
    <w:rsid w:val="00FD4D7C"/>
    <w:rsid w:val="00FD4E87"/>
    <w:rsid w:val="00FD4E98"/>
    <w:rsid w:val="00FD4F12"/>
    <w:rsid w:val="00FD5009"/>
    <w:rsid w:val="00FD5055"/>
    <w:rsid w:val="00FD520A"/>
    <w:rsid w:val="00FD523A"/>
    <w:rsid w:val="00FD5599"/>
    <w:rsid w:val="00FD55AF"/>
    <w:rsid w:val="00FD55B8"/>
    <w:rsid w:val="00FD55F1"/>
    <w:rsid w:val="00FD5634"/>
    <w:rsid w:val="00FD5736"/>
    <w:rsid w:val="00FD5768"/>
    <w:rsid w:val="00FD5A79"/>
    <w:rsid w:val="00FD5AD6"/>
    <w:rsid w:val="00FD5ADF"/>
    <w:rsid w:val="00FD5B33"/>
    <w:rsid w:val="00FD5BE0"/>
    <w:rsid w:val="00FD5BE9"/>
    <w:rsid w:val="00FD5CD6"/>
    <w:rsid w:val="00FD5F88"/>
    <w:rsid w:val="00FD5FDD"/>
    <w:rsid w:val="00FD6041"/>
    <w:rsid w:val="00FD6077"/>
    <w:rsid w:val="00FD60A1"/>
    <w:rsid w:val="00FD6423"/>
    <w:rsid w:val="00FD6575"/>
    <w:rsid w:val="00FD6634"/>
    <w:rsid w:val="00FD66A9"/>
    <w:rsid w:val="00FD66D9"/>
    <w:rsid w:val="00FD6750"/>
    <w:rsid w:val="00FD6773"/>
    <w:rsid w:val="00FD67C5"/>
    <w:rsid w:val="00FD6AB8"/>
    <w:rsid w:val="00FD6AE4"/>
    <w:rsid w:val="00FD6B56"/>
    <w:rsid w:val="00FD6D80"/>
    <w:rsid w:val="00FD6DC7"/>
    <w:rsid w:val="00FD700E"/>
    <w:rsid w:val="00FD7041"/>
    <w:rsid w:val="00FD70F7"/>
    <w:rsid w:val="00FD7100"/>
    <w:rsid w:val="00FD733B"/>
    <w:rsid w:val="00FD734C"/>
    <w:rsid w:val="00FD76BC"/>
    <w:rsid w:val="00FD7714"/>
    <w:rsid w:val="00FD7818"/>
    <w:rsid w:val="00FD79EE"/>
    <w:rsid w:val="00FD7A7E"/>
    <w:rsid w:val="00FD7AE5"/>
    <w:rsid w:val="00FD7BF5"/>
    <w:rsid w:val="00FD7BFC"/>
    <w:rsid w:val="00FD7C7A"/>
    <w:rsid w:val="00FD7E83"/>
    <w:rsid w:val="00FD7ED8"/>
    <w:rsid w:val="00FD7F68"/>
    <w:rsid w:val="00FE0264"/>
    <w:rsid w:val="00FE02F5"/>
    <w:rsid w:val="00FE03B7"/>
    <w:rsid w:val="00FE051E"/>
    <w:rsid w:val="00FE0667"/>
    <w:rsid w:val="00FE0673"/>
    <w:rsid w:val="00FE06CD"/>
    <w:rsid w:val="00FE0724"/>
    <w:rsid w:val="00FE072A"/>
    <w:rsid w:val="00FE074C"/>
    <w:rsid w:val="00FE0763"/>
    <w:rsid w:val="00FE08FB"/>
    <w:rsid w:val="00FE0904"/>
    <w:rsid w:val="00FE091D"/>
    <w:rsid w:val="00FE0935"/>
    <w:rsid w:val="00FE0951"/>
    <w:rsid w:val="00FE09EA"/>
    <w:rsid w:val="00FE0BAC"/>
    <w:rsid w:val="00FE0CFC"/>
    <w:rsid w:val="00FE0D1A"/>
    <w:rsid w:val="00FE0DA0"/>
    <w:rsid w:val="00FE0F69"/>
    <w:rsid w:val="00FE104F"/>
    <w:rsid w:val="00FE1153"/>
    <w:rsid w:val="00FE1296"/>
    <w:rsid w:val="00FE12AB"/>
    <w:rsid w:val="00FE1300"/>
    <w:rsid w:val="00FE1460"/>
    <w:rsid w:val="00FE1522"/>
    <w:rsid w:val="00FE1625"/>
    <w:rsid w:val="00FE1776"/>
    <w:rsid w:val="00FE178F"/>
    <w:rsid w:val="00FE17C1"/>
    <w:rsid w:val="00FE1823"/>
    <w:rsid w:val="00FE1839"/>
    <w:rsid w:val="00FE189D"/>
    <w:rsid w:val="00FE18E9"/>
    <w:rsid w:val="00FE18F9"/>
    <w:rsid w:val="00FE19FA"/>
    <w:rsid w:val="00FE1ABB"/>
    <w:rsid w:val="00FE1B9B"/>
    <w:rsid w:val="00FE1CB9"/>
    <w:rsid w:val="00FE1CEB"/>
    <w:rsid w:val="00FE1D26"/>
    <w:rsid w:val="00FE1EF1"/>
    <w:rsid w:val="00FE1FC2"/>
    <w:rsid w:val="00FE2004"/>
    <w:rsid w:val="00FE206C"/>
    <w:rsid w:val="00FE20BD"/>
    <w:rsid w:val="00FE21E0"/>
    <w:rsid w:val="00FE2242"/>
    <w:rsid w:val="00FE2280"/>
    <w:rsid w:val="00FE22B3"/>
    <w:rsid w:val="00FE2323"/>
    <w:rsid w:val="00FE235E"/>
    <w:rsid w:val="00FE2488"/>
    <w:rsid w:val="00FE255D"/>
    <w:rsid w:val="00FE25CE"/>
    <w:rsid w:val="00FE260B"/>
    <w:rsid w:val="00FE2764"/>
    <w:rsid w:val="00FE28D6"/>
    <w:rsid w:val="00FE2A59"/>
    <w:rsid w:val="00FE2D17"/>
    <w:rsid w:val="00FE2F26"/>
    <w:rsid w:val="00FE300A"/>
    <w:rsid w:val="00FE306B"/>
    <w:rsid w:val="00FE30B4"/>
    <w:rsid w:val="00FE30FA"/>
    <w:rsid w:val="00FE3168"/>
    <w:rsid w:val="00FE34AC"/>
    <w:rsid w:val="00FE36A3"/>
    <w:rsid w:val="00FE3850"/>
    <w:rsid w:val="00FE3886"/>
    <w:rsid w:val="00FE38F7"/>
    <w:rsid w:val="00FE38F8"/>
    <w:rsid w:val="00FE3981"/>
    <w:rsid w:val="00FE39A6"/>
    <w:rsid w:val="00FE3A8F"/>
    <w:rsid w:val="00FE3C8F"/>
    <w:rsid w:val="00FE3C94"/>
    <w:rsid w:val="00FE3DEC"/>
    <w:rsid w:val="00FE3E4F"/>
    <w:rsid w:val="00FE3EB4"/>
    <w:rsid w:val="00FE3F56"/>
    <w:rsid w:val="00FE4013"/>
    <w:rsid w:val="00FE4057"/>
    <w:rsid w:val="00FE4086"/>
    <w:rsid w:val="00FE40C3"/>
    <w:rsid w:val="00FE414A"/>
    <w:rsid w:val="00FE41A9"/>
    <w:rsid w:val="00FE42A4"/>
    <w:rsid w:val="00FE439C"/>
    <w:rsid w:val="00FE44A0"/>
    <w:rsid w:val="00FE44CB"/>
    <w:rsid w:val="00FE4704"/>
    <w:rsid w:val="00FE4741"/>
    <w:rsid w:val="00FE4764"/>
    <w:rsid w:val="00FE489B"/>
    <w:rsid w:val="00FE4A97"/>
    <w:rsid w:val="00FE4AAD"/>
    <w:rsid w:val="00FE4B0A"/>
    <w:rsid w:val="00FE4BE7"/>
    <w:rsid w:val="00FE4D0E"/>
    <w:rsid w:val="00FE4D81"/>
    <w:rsid w:val="00FE4D96"/>
    <w:rsid w:val="00FE4F6C"/>
    <w:rsid w:val="00FE4FC2"/>
    <w:rsid w:val="00FE4FC9"/>
    <w:rsid w:val="00FE504C"/>
    <w:rsid w:val="00FE508B"/>
    <w:rsid w:val="00FE5172"/>
    <w:rsid w:val="00FE5180"/>
    <w:rsid w:val="00FE5223"/>
    <w:rsid w:val="00FE5230"/>
    <w:rsid w:val="00FE53AA"/>
    <w:rsid w:val="00FE54FB"/>
    <w:rsid w:val="00FE5583"/>
    <w:rsid w:val="00FE5595"/>
    <w:rsid w:val="00FE55D8"/>
    <w:rsid w:val="00FE565F"/>
    <w:rsid w:val="00FE5676"/>
    <w:rsid w:val="00FE595B"/>
    <w:rsid w:val="00FE59D6"/>
    <w:rsid w:val="00FE5AD5"/>
    <w:rsid w:val="00FE5B3F"/>
    <w:rsid w:val="00FE5C8F"/>
    <w:rsid w:val="00FE5CFA"/>
    <w:rsid w:val="00FE5D5B"/>
    <w:rsid w:val="00FE5D89"/>
    <w:rsid w:val="00FE5DD4"/>
    <w:rsid w:val="00FE5E39"/>
    <w:rsid w:val="00FE5E95"/>
    <w:rsid w:val="00FE5F6F"/>
    <w:rsid w:val="00FE605E"/>
    <w:rsid w:val="00FE606F"/>
    <w:rsid w:val="00FE611B"/>
    <w:rsid w:val="00FE61E4"/>
    <w:rsid w:val="00FE6214"/>
    <w:rsid w:val="00FE6247"/>
    <w:rsid w:val="00FE6364"/>
    <w:rsid w:val="00FE64A1"/>
    <w:rsid w:val="00FE6565"/>
    <w:rsid w:val="00FE6591"/>
    <w:rsid w:val="00FE65B4"/>
    <w:rsid w:val="00FE67C1"/>
    <w:rsid w:val="00FE67CB"/>
    <w:rsid w:val="00FE6821"/>
    <w:rsid w:val="00FE682D"/>
    <w:rsid w:val="00FE698B"/>
    <w:rsid w:val="00FE6B57"/>
    <w:rsid w:val="00FE6D49"/>
    <w:rsid w:val="00FE6D58"/>
    <w:rsid w:val="00FE6DBD"/>
    <w:rsid w:val="00FE6EA9"/>
    <w:rsid w:val="00FE6EB1"/>
    <w:rsid w:val="00FE7113"/>
    <w:rsid w:val="00FE72DE"/>
    <w:rsid w:val="00FE72F0"/>
    <w:rsid w:val="00FE73C6"/>
    <w:rsid w:val="00FE742E"/>
    <w:rsid w:val="00FE7667"/>
    <w:rsid w:val="00FE77E2"/>
    <w:rsid w:val="00FE7C16"/>
    <w:rsid w:val="00FE7DFE"/>
    <w:rsid w:val="00FE7E30"/>
    <w:rsid w:val="00FE7EC8"/>
    <w:rsid w:val="00FE7ECF"/>
    <w:rsid w:val="00FE7FA6"/>
    <w:rsid w:val="00FF000D"/>
    <w:rsid w:val="00FF00B3"/>
    <w:rsid w:val="00FF0233"/>
    <w:rsid w:val="00FF02A3"/>
    <w:rsid w:val="00FF0347"/>
    <w:rsid w:val="00FF0370"/>
    <w:rsid w:val="00FF03D0"/>
    <w:rsid w:val="00FF0530"/>
    <w:rsid w:val="00FF06D8"/>
    <w:rsid w:val="00FF06E8"/>
    <w:rsid w:val="00FF07A8"/>
    <w:rsid w:val="00FF07BE"/>
    <w:rsid w:val="00FF088F"/>
    <w:rsid w:val="00FF09CB"/>
    <w:rsid w:val="00FF0A4D"/>
    <w:rsid w:val="00FF0ABC"/>
    <w:rsid w:val="00FF0B03"/>
    <w:rsid w:val="00FF0B0B"/>
    <w:rsid w:val="00FF0B32"/>
    <w:rsid w:val="00FF0CAB"/>
    <w:rsid w:val="00FF0CBB"/>
    <w:rsid w:val="00FF0DAC"/>
    <w:rsid w:val="00FF0F4F"/>
    <w:rsid w:val="00FF1133"/>
    <w:rsid w:val="00FF1408"/>
    <w:rsid w:val="00FF142D"/>
    <w:rsid w:val="00FF1442"/>
    <w:rsid w:val="00FF1534"/>
    <w:rsid w:val="00FF166A"/>
    <w:rsid w:val="00FF16ED"/>
    <w:rsid w:val="00FF17B2"/>
    <w:rsid w:val="00FF1C7F"/>
    <w:rsid w:val="00FF1D3B"/>
    <w:rsid w:val="00FF1E0A"/>
    <w:rsid w:val="00FF1EEF"/>
    <w:rsid w:val="00FF1F2F"/>
    <w:rsid w:val="00FF1FB3"/>
    <w:rsid w:val="00FF222B"/>
    <w:rsid w:val="00FF22BE"/>
    <w:rsid w:val="00FF2454"/>
    <w:rsid w:val="00FF2500"/>
    <w:rsid w:val="00FF26BE"/>
    <w:rsid w:val="00FF271D"/>
    <w:rsid w:val="00FF2732"/>
    <w:rsid w:val="00FF274F"/>
    <w:rsid w:val="00FF27A4"/>
    <w:rsid w:val="00FF29A0"/>
    <w:rsid w:val="00FF29B0"/>
    <w:rsid w:val="00FF29D5"/>
    <w:rsid w:val="00FF29DF"/>
    <w:rsid w:val="00FF2A4C"/>
    <w:rsid w:val="00FF2AB1"/>
    <w:rsid w:val="00FF2B0A"/>
    <w:rsid w:val="00FF2C03"/>
    <w:rsid w:val="00FF2C2E"/>
    <w:rsid w:val="00FF2CC8"/>
    <w:rsid w:val="00FF2CD0"/>
    <w:rsid w:val="00FF2CEF"/>
    <w:rsid w:val="00FF2DF6"/>
    <w:rsid w:val="00FF2E47"/>
    <w:rsid w:val="00FF2EB5"/>
    <w:rsid w:val="00FF3063"/>
    <w:rsid w:val="00FF31D5"/>
    <w:rsid w:val="00FF3269"/>
    <w:rsid w:val="00FF3482"/>
    <w:rsid w:val="00FF3567"/>
    <w:rsid w:val="00FF3832"/>
    <w:rsid w:val="00FF39E3"/>
    <w:rsid w:val="00FF3A75"/>
    <w:rsid w:val="00FF3B7F"/>
    <w:rsid w:val="00FF3BBB"/>
    <w:rsid w:val="00FF3C4A"/>
    <w:rsid w:val="00FF3D15"/>
    <w:rsid w:val="00FF3D48"/>
    <w:rsid w:val="00FF3D6B"/>
    <w:rsid w:val="00FF3F90"/>
    <w:rsid w:val="00FF3FF4"/>
    <w:rsid w:val="00FF400E"/>
    <w:rsid w:val="00FF40F4"/>
    <w:rsid w:val="00FF4351"/>
    <w:rsid w:val="00FF443D"/>
    <w:rsid w:val="00FF455E"/>
    <w:rsid w:val="00FF456D"/>
    <w:rsid w:val="00FF45D9"/>
    <w:rsid w:val="00FF4607"/>
    <w:rsid w:val="00FF469E"/>
    <w:rsid w:val="00FF46EE"/>
    <w:rsid w:val="00FF475B"/>
    <w:rsid w:val="00FF4814"/>
    <w:rsid w:val="00FF4815"/>
    <w:rsid w:val="00FF4824"/>
    <w:rsid w:val="00FF4925"/>
    <w:rsid w:val="00FF49AF"/>
    <w:rsid w:val="00FF4C72"/>
    <w:rsid w:val="00FF4D48"/>
    <w:rsid w:val="00FF4E91"/>
    <w:rsid w:val="00FF4FBB"/>
    <w:rsid w:val="00FF501A"/>
    <w:rsid w:val="00FF5098"/>
    <w:rsid w:val="00FF50D8"/>
    <w:rsid w:val="00FF50ED"/>
    <w:rsid w:val="00FF50F8"/>
    <w:rsid w:val="00FF51FB"/>
    <w:rsid w:val="00FF52B6"/>
    <w:rsid w:val="00FF52E7"/>
    <w:rsid w:val="00FF5560"/>
    <w:rsid w:val="00FF5721"/>
    <w:rsid w:val="00FF58E6"/>
    <w:rsid w:val="00FF5967"/>
    <w:rsid w:val="00FF5ABF"/>
    <w:rsid w:val="00FF5D09"/>
    <w:rsid w:val="00FF5E2E"/>
    <w:rsid w:val="00FF5E9B"/>
    <w:rsid w:val="00FF60D7"/>
    <w:rsid w:val="00FF6174"/>
    <w:rsid w:val="00FF6308"/>
    <w:rsid w:val="00FF63D9"/>
    <w:rsid w:val="00FF648B"/>
    <w:rsid w:val="00FF649B"/>
    <w:rsid w:val="00FF64C7"/>
    <w:rsid w:val="00FF6558"/>
    <w:rsid w:val="00FF65CC"/>
    <w:rsid w:val="00FF6632"/>
    <w:rsid w:val="00FF664D"/>
    <w:rsid w:val="00FF6660"/>
    <w:rsid w:val="00FF66E5"/>
    <w:rsid w:val="00FF67B8"/>
    <w:rsid w:val="00FF6820"/>
    <w:rsid w:val="00FF68D1"/>
    <w:rsid w:val="00FF69A7"/>
    <w:rsid w:val="00FF6B39"/>
    <w:rsid w:val="00FF6CFF"/>
    <w:rsid w:val="00FF6D25"/>
    <w:rsid w:val="00FF6DF0"/>
    <w:rsid w:val="00FF6E30"/>
    <w:rsid w:val="00FF6F4F"/>
    <w:rsid w:val="00FF6F9D"/>
    <w:rsid w:val="00FF7054"/>
    <w:rsid w:val="00FF7110"/>
    <w:rsid w:val="00FF7155"/>
    <w:rsid w:val="00FF7477"/>
    <w:rsid w:val="00FF772E"/>
    <w:rsid w:val="00FF784A"/>
    <w:rsid w:val="00FF7872"/>
    <w:rsid w:val="00FF7880"/>
    <w:rsid w:val="00FF7987"/>
    <w:rsid w:val="00FF79FF"/>
    <w:rsid w:val="00FF7AE9"/>
    <w:rsid w:val="00FF7B60"/>
    <w:rsid w:val="00FF7C85"/>
    <w:rsid w:val="00FF7C8F"/>
    <w:rsid w:val="00FF7CE3"/>
    <w:rsid w:val="00FF7D5B"/>
    <w:rsid w:val="00FF7D7A"/>
    <w:rsid w:val="00FF7ECF"/>
    <w:rsid w:val="00FF7ED0"/>
    <w:rsid w:val="00FF7FB7"/>
    <w:rsid w:val="01009731"/>
    <w:rsid w:val="0113A302"/>
    <w:rsid w:val="011AEB9C"/>
    <w:rsid w:val="011F1936"/>
    <w:rsid w:val="012FF70C"/>
    <w:rsid w:val="0138F5C8"/>
    <w:rsid w:val="013B62A5"/>
    <w:rsid w:val="013EC734"/>
    <w:rsid w:val="01412E34"/>
    <w:rsid w:val="0145B6E7"/>
    <w:rsid w:val="015609D1"/>
    <w:rsid w:val="015B3D4A"/>
    <w:rsid w:val="015ECCBE"/>
    <w:rsid w:val="01649A53"/>
    <w:rsid w:val="016B413D"/>
    <w:rsid w:val="01705E76"/>
    <w:rsid w:val="0173BB94"/>
    <w:rsid w:val="018A2C71"/>
    <w:rsid w:val="018CF03A"/>
    <w:rsid w:val="018FCE9D"/>
    <w:rsid w:val="0190205E"/>
    <w:rsid w:val="0194517B"/>
    <w:rsid w:val="01975967"/>
    <w:rsid w:val="019B4991"/>
    <w:rsid w:val="01A022FB"/>
    <w:rsid w:val="01A2487E"/>
    <w:rsid w:val="01A5E3C3"/>
    <w:rsid w:val="01A78F1A"/>
    <w:rsid w:val="01AA1F3A"/>
    <w:rsid w:val="01AEECC3"/>
    <w:rsid w:val="01BAC569"/>
    <w:rsid w:val="01C1B79C"/>
    <w:rsid w:val="01C70274"/>
    <w:rsid w:val="01C71901"/>
    <w:rsid w:val="01D0AC62"/>
    <w:rsid w:val="01D26673"/>
    <w:rsid w:val="01D47D1B"/>
    <w:rsid w:val="01E7FAD6"/>
    <w:rsid w:val="01ECAFC5"/>
    <w:rsid w:val="01F45E84"/>
    <w:rsid w:val="0203470E"/>
    <w:rsid w:val="020888B4"/>
    <w:rsid w:val="020C557A"/>
    <w:rsid w:val="0217BF3E"/>
    <w:rsid w:val="021CB733"/>
    <w:rsid w:val="02225825"/>
    <w:rsid w:val="0222DB20"/>
    <w:rsid w:val="022D55F8"/>
    <w:rsid w:val="022F8A90"/>
    <w:rsid w:val="0230D560"/>
    <w:rsid w:val="0233140C"/>
    <w:rsid w:val="02400876"/>
    <w:rsid w:val="02438DB9"/>
    <w:rsid w:val="02551DA3"/>
    <w:rsid w:val="025AF82C"/>
    <w:rsid w:val="02621C7A"/>
    <w:rsid w:val="02652B4E"/>
    <w:rsid w:val="0282608E"/>
    <w:rsid w:val="028CECD1"/>
    <w:rsid w:val="028E40CD"/>
    <w:rsid w:val="02909AF6"/>
    <w:rsid w:val="0296EDED"/>
    <w:rsid w:val="029F5B18"/>
    <w:rsid w:val="02A3062E"/>
    <w:rsid w:val="02A616EE"/>
    <w:rsid w:val="02BA395A"/>
    <w:rsid w:val="02BEE9DB"/>
    <w:rsid w:val="02C2FEB3"/>
    <w:rsid w:val="02C3EFF9"/>
    <w:rsid w:val="02C96621"/>
    <w:rsid w:val="02CF1DA0"/>
    <w:rsid w:val="02E454B0"/>
    <w:rsid w:val="02E4AC7D"/>
    <w:rsid w:val="02E58907"/>
    <w:rsid w:val="02EC5BA9"/>
    <w:rsid w:val="02F1928E"/>
    <w:rsid w:val="02F539FF"/>
    <w:rsid w:val="02F8973E"/>
    <w:rsid w:val="02F9330E"/>
    <w:rsid w:val="02FD7BD2"/>
    <w:rsid w:val="02FD7F9B"/>
    <w:rsid w:val="02FEC055"/>
    <w:rsid w:val="02FED5C9"/>
    <w:rsid w:val="0300B333"/>
    <w:rsid w:val="0322B0BB"/>
    <w:rsid w:val="03246B74"/>
    <w:rsid w:val="03287697"/>
    <w:rsid w:val="0339824D"/>
    <w:rsid w:val="033EDCDD"/>
    <w:rsid w:val="0341BE4F"/>
    <w:rsid w:val="0344A8F3"/>
    <w:rsid w:val="034F5CFC"/>
    <w:rsid w:val="03540721"/>
    <w:rsid w:val="03541AAB"/>
    <w:rsid w:val="0357BF38"/>
    <w:rsid w:val="03583DFD"/>
    <w:rsid w:val="035B0DA7"/>
    <w:rsid w:val="037E466B"/>
    <w:rsid w:val="0385725E"/>
    <w:rsid w:val="038EAAF4"/>
    <w:rsid w:val="038F9B73"/>
    <w:rsid w:val="03933500"/>
    <w:rsid w:val="039C177F"/>
    <w:rsid w:val="03A394CB"/>
    <w:rsid w:val="03BC7808"/>
    <w:rsid w:val="03BD2DFF"/>
    <w:rsid w:val="03C41333"/>
    <w:rsid w:val="03D1071D"/>
    <w:rsid w:val="03D3C9DB"/>
    <w:rsid w:val="03D56517"/>
    <w:rsid w:val="03DF4336"/>
    <w:rsid w:val="03E0DD49"/>
    <w:rsid w:val="03EBEE6E"/>
    <w:rsid w:val="03F16C3C"/>
    <w:rsid w:val="03F32DC9"/>
    <w:rsid w:val="03F4DE84"/>
    <w:rsid w:val="03FE3CCB"/>
    <w:rsid w:val="0404DDE1"/>
    <w:rsid w:val="040B0CFB"/>
    <w:rsid w:val="04159682"/>
    <w:rsid w:val="0421791F"/>
    <w:rsid w:val="042617C2"/>
    <w:rsid w:val="04369221"/>
    <w:rsid w:val="0446B5E1"/>
    <w:rsid w:val="04642D1D"/>
    <w:rsid w:val="0465F943"/>
    <w:rsid w:val="046C80E9"/>
    <w:rsid w:val="047345EC"/>
    <w:rsid w:val="047987BC"/>
    <w:rsid w:val="047F239D"/>
    <w:rsid w:val="048252AE"/>
    <w:rsid w:val="04958CFA"/>
    <w:rsid w:val="0497F2EF"/>
    <w:rsid w:val="04989189"/>
    <w:rsid w:val="049EC761"/>
    <w:rsid w:val="04A035BB"/>
    <w:rsid w:val="04A1DB48"/>
    <w:rsid w:val="04A4A0C0"/>
    <w:rsid w:val="04A94FCF"/>
    <w:rsid w:val="04AFD966"/>
    <w:rsid w:val="04B1226E"/>
    <w:rsid w:val="04B534CA"/>
    <w:rsid w:val="04B84BB6"/>
    <w:rsid w:val="04CB6454"/>
    <w:rsid w:val="04D5EE45"/>
    <w:rsid w:val="04DB932E"/>
    <w:rsid w:val="04DCCF64"/>
    <w:rsid w:val="04E8269E"/>
    <w:rsid w:val="04F72C12"/>
    <w:rsid w:val="04FD72D6"/>
    <w:rsid w:val="04FEA4A4"/>
    <w:rsid w:val="04FFF983"/>
    <w:rsid w:val="05008971"/>
    <w:rsid w:val="0511C289"/>
    <w:rsid w:val="05127D90"/>
    <w:rsid w:val="051DAFE2"/>
    <w:rsid w:val="0529603B"/>
    <w:rsid w:val="053472E6"/>
    <w:rsid w:val="053FF40B"/>
    <w:rsid w:val="0547D81C"/>
    <w:rsid w:val="054BA7A3"/>
    <w:rsid w:val="05512B9A"/>
    <w:rsid w:val="055CF48D"/>
    <w:rsid w:val="055E761C"/>
    <w:rsid w:val="055FBB5E"/>
    <w:rsid w:val="0566D308"/>
    <w:rsid w:val="0567434D"/>
    <w:rsid w:val="056B4D82"/>
    <w:rsid w:val="0570F54B"/>
    <w:rsid w:val="05857E46"/>
    <w:rsid w:val="058CAF9B"/>
    <w:rsid w:val="05A3E847"/>
    <w:rsid w:val="05B11EB8"/>
    <w:rsid w:val="05B42104"/>
    <w:rsid w:val="05BF2B1A"/>
    <w:rsid w:val="05CDF350"/>
    <w:rsid w:val="05D5E3EB"/>
    <w:rsid w:val="05D98539"/>
    <w:rsid w:val="05DCE5D5"/>
    <w:rsid w:val="05EED67F"/>
    <w:rsid w:val="05EEF155"/>
    <w:rsid w:val="05F38678"/>
    <w:rsid w:val="05F93DC9"/>
    <w:rsid w:val="060512C8"/>
    <w:rsid w:val="06052ECC"/>
    <w:rsid w:val="06063A34"/>
    <w:rsid w:val="060A7FC0"/>
    <w:rsid w:val="060F0AB1"/>
    <w:rsid w:val="0618976F"/>
    <w:rsid w:val="061AF856"/>
    <w:rsid w:val="0622EF2F"/>
    <w:rsid w:val="0623B1EA"/>
    <w:rsid w:val="06271455"/>
    <w:rsid w:val="063A2EB6"/>
    <w:rsid w:val="063AAA4D"/>
    <w:rsid w:val="0645C2BC"/>
    <w:rsid w:val="064E5416"/>
    <w:rsid w:val="065220E8"/>
    <w:rsid w:val="06528597"/>
    <w:rsid w:val="06581826"/>
    <w:rsid w:val="066B6E1D"/>
    <w:rsid w:val="0670A90B"/>
    <w:rsid w:val="0680C0A4"/>
    <w:rsid w:val="0687D40D"/>
    <w:rsid w:val="069B4D3A"/>
    <w:rsid w:val="06B80DF2"/>
    <w:rsid w:val="06BAF09F"/>
    <w:rsid w:val="06BD9C48"/>
    <w:rsid w:val="06BE57BE"/>
    <w:rsid w:val="06C3524B"/>
    <w:rsid w:val="06C5DC1D"/>
    <w:rsid w:val="06C63C10"/>
    <w:rsid w:val="06CAFD48"/>
    <w:rsid w:val="06CF9E7C"/>
    <w:rsid w:val="06D254AA"/>
    <w:rsid w:val="06D69D36"/>
    <w:rsid w:val="06D87A4F"/>
    <w:rsid w:val="06F012A7"/>
    <w:rsid w:val="06F244B7"/>
    <w:rsid w:val="06FA2C90"/>
    <w:rsid w:val="0722F99B"/>
    <w:rsid w:val="072D8C4A"/>
    <w:rsid w:val="0736AA66"/>
    <w:rsid w:val="073EC628"/>
    <w:rsid w:val="07423FB8"/>
    <w:rsid w:val="074A3D1F"/>
    <w:rsid w:val="074B6D4E"/>
    <w:rsid w:val="0753D4DD"/>
    <w:rsid w:val="07543E59"/>
    <w:rsid w:val="075734EA"/>
    <w:rsid w:val="0764F0DD"/>
    <w:rsid w:val="0766B6BF"/>
    <w:rsid w:val="076F4F4A"/>
    <w:rsid w:val="0774A05F"/>
    <w:rsid w:val="078263E1"/>
    <w:rsid w:val="078B6FED"/>
    <w:rsid w:val="078D82A1"/>
    <w:rsid w:val="078E2094"/>
    <w:rsid w:val="07966206"/>
    <w:rsid w:val="07B685A9"/>
    <w:rsid w:val="07C868D0"/>
    <w:rsid w:val="07CA5C60"/>
    <w:rsid w:val="07CB5005"/>
    <w:rsid w:val="07CBD7A0"/>
    <w:rsid w:val="07D30A5B"/>
    <w:rsid w:val="07D66308"/>
    <w:rsid w:val="07D8AFD2"/>
    <w:rsid w:val="07DA7CAF"/>
    <w:rsid w:val="07E25157"/>
    <w:rsid w:val="07EB4B16"/>
    <w:rsid w:val="07F53A69"/>
    <w:rsid w:val="080479B8"/>
    <w:rsid w:val="080D89FE"/>
    <w:rsid w:val="080DD707"/>
    <w:rsid w:val="0823D5D4"/>
    <w:rsid w:val="08278D8F"/>
    <w:rsid w:val="082D73DA"/>
    <w:rsid w:val="0834E1E6"/>
    <w:rsid w:val="0844ECB8"/>
    <w:rsid w:val="08465924"/>
    <w:rsid w:val="0849957D"/>
    <w:rsid w:val="084C4700"/>
    <w:rsid w:val="085012B4"/>
    <w:rsid w:val="0852B890"/>
    <w:rsid w:val="08536B08"/>
    <w:rsid w:val="08546851"/>
    <w:rsid w:val="0854AB62"/>
    <w:rsid w:val="08552254"/>
    <w:rsid w:val="08657208"/>
    <w:rsid w:val="087794CD"/>
    <w:rsid w:val="08875687"/>
    <w:rsid w:val="08878C25"/>
    <w:rsid w:val="0897400B"/>
    <w:rsid w:val="08A40DBA"/>
    <w:rsid w:val="08B4A6CF"/>
    <w:rsid w:val="08BF79BF"/>
    <w:rsid w:val="08CC0CCD"/>
    <w:rsid w:val="08CEBD77"/>
    <w:rsid w:val="08D164A3"/>
    <w:rsid w:val="08D79699"/>
    <w:rsid w:val="08EC7D14"/>
    <w:rsid w:val="08F24321"/>
    <w:rsid w:val="08F5989E"/>
    <w:rsid w:val="08F99AFA"/>
    <w:rsid w:val="0901BF2C"/>
    <w:rsid w:val="09024FC9"/>
    <w:rsid w:val="090CDFAC"/>
    <w:rsid w:val="090D7365"/>
    <w:rsid w:val="090EB265"/>
    <w:rsid w:val="091A1096"/>
    <w:rsid w:val="091BDF62"/>
    <w:rsid w:val="091D6B5E"/>
    <w:rsid w:val="091F73BC"/>
    <w:rsid w:val="09205CDC"/>
    <w:rsid w:val="09227393"/>
    <w:rsid w:val="092C5B2D"/>
    <w:rsid w:val="092D2705"/>
    <w:rsid w:val="0935E004"/>
    <w:rsid w:val="0935E6D6"/>
    <w:rsid w:val="093C141B"/>
    <w:rsid w:val="093E62D7"/>
    <w:rsid w:val="09425C6F"/>
    <w:rsid w:val="09469452"/>
    <w:rsid w:val="094AD60C"/>
    <w:rsid w:val="094E2E6C"/>
    <w:rsid w:val="094E3B53"/>
    <w:rsid w:val="0957D566"/>
    <w:rsid w:val="0961765C"/>
    <w:rsid w:val="096D1B2E"/>
    <w:rsid w:val="096D5897"/>
    <w:rsid w:val="0971142C"/>
    <w:rsid w:val="098987E0"/>
    <w:rsid w:val="098F2544"/>
    <w:rsid w:val="09916706"/>
    <w:rsid w:val="0998F329"/>
    <w:rsid w:val="09AA5552"/>
    <w:rsid w:val="09AB56CA"/>
    <w:rsid w:val="09B626FB"/>
    <w:rsid w:val="09BC9496"/>
    <w:rsid w:val="09C6B035"/>
    <w:rsid w:val="09CAA36F"/>
    <w:rsid w:val="09D33058"/>
    <w:rsid w:val="09EB2927"/>
    <w:rsid w:val="09ECB0F8"/>
    <w:rsid w:val="09F5D77F"/>
    <w:rsid w:val="09F77BF5"/>
    <w:rsid w:val="0A08E718"/>
    <w:rsid w:val="0A0EB302"/>
    <w:rsid w:val="0A1E90A4"/>
    <w:rsid w:val="0A2D0D6D"/>
    <w:rsid w:val="0A343ECB"/>
    <w:rsid w:val="0A42E1AB"/>
    <w:rsid w:val="0A58831A"/>
    <w:rsid w:val="0A5EABE1"/>
    <w:rsid w:val="0A637459"/>
    <w:rsid w:val="0A78B8F6"/>
    <w:rsid w:val="0A7CAD5C"/>
    <w:rsid w:val="0A7F6042"/>
    <w:rsid w:val="0A81063D"/>
    <w:rsid w:val="0A9063AA"/>
    <w:rsid w:val="0A952359"/>
    <w:rsid w:val="0A95F827"/>
    <w:rsid w:val="0A9FED5D"/>
    <w:rsid w:val="0AA2F6D2"/>
    <w:rsid w:val="0AA3FE64"/>
    <w:rsid w:val="0AB33E2B"/>
    <w:rsid w:val="0ABADE33"/>
    <w:rsid w:val="0ABD8012"/>
    <w:rsid w:val="0ABDA282"/>
    <w:rsid w:val="0AC1A17B"/>
    <w:rsid w:val="0AC34A64"/>
    <w:rsid w:val="0ACB3925"/>
    <w:rsid w:val="0ADB44F9"/>
    <w:rsid w:val="0AF2EB0B"/>
    <w:rsid w:val="0AF95C40"/>
    <w:rsid w:val="0AFBB245"/>
    <w:rsid w:val="0AFE3507"/>
    <w:rsid w:val="0B0C8F4E"/>
    <w:rsid w:val="0B1C2DD3"/>
    <w:rsid w:val="0B2AA287"/>
    <w:rsid w:val="0B2CB755"/>
    <w:rsid w:val="0B36B478"/>
    <w:rsid w:val="0B387E91"/>
    <w:rsid w:val="0B3F11C5"/>
    <w:rsid w:val="0B4E98DE"/>
    <w:rsid w:val="0B5B2912"/>
    <w:rsid w:val="0B5E8373"/>
    <w:rsid w:val="0B7342FD"/>
    <w:rsid w:val="0B766D2A"/>
    <w:rsid w:val="0B7D055C"/>
    <w:rsid w:val="0B8B66B9"/>
    <w:rsid w:val="0B8F4DA9"/>
    <w:rsid w:val="0B989253"/>
    <w:rsid w:val="0BA157E2"/>
    <w:rsid w:val="0BA8EB6C"/>
    <w:rsid w:val="0BAD2606"/>
    <w:rsid w:val="0BAE7FBA"/>
    <w:rsid w:val="0BAF9D9C"/>
    <w:rsid w:val="0BBAB7AD"/>
    <w:rsid w:val="0BC1F436"/>
    <w:rsid w:val="0BCB33E7"/>
    <w:rsid w:val="0BD00A31"/>
    <w:rsid w:val="0BD2AFF5"/>
    <w:rsid w:val="0BDE179F"/>
    <w:rsid w:val="0BDE26F2"/>
    <w:rsid w:val="0BE342FD"/>
    <w:rsid w:val="0BE59206"/>
    <w:rsid w:val="0BFC57D4"/>
    <w:rsid w:val="0BFC947D"/>
    <w:rsid w:val="0C09EBCA"/>
    <w:rsid w:val="0C0F8B8E"/>
    <w:rsid w:val="0C190594"/>
    <w:rsid w:val="0C1EEF01"/>
    <w:rsid w:val="0C275627"/>
    <w:rsid w:val="0C2CB997"/>
    <w:rsid w:val="0C2D3CD5"/>
    <w:rsid w:val="0C2F26F2"/>
    <w:rsid w:val="0C2FB121"/>
    <w:rsid w:val="0C30AC90"/>
    <w:rsid w:val="0C35D0B2"/>
    <w:rsid w:val="0C48D97E"/>
    <w:rsid w:val="0C4B61AA"/>
    <w:rsid w:val="0C4E9F70"/>
    <w:rsid w:val="0C50B7F5"/>
    <w:rsid w:val="0C5A3039"/>
    <w:rsid w:val="0C60F3C4"/>
    <w:rsid w:val="0C64C6D1"/>
    <w:rsid w:val="0C6F538B"/>
    <w:rsid w:val="0C8EC856"/>
    <w:rsid w:val="0C9A9192"/>
    <w:rsid w:val="0C9EE2E8"/>
    <w:rsid w:val="0CA142F3"/>
    <w:rsid w:val="0CA99EC1"/>
    <w:rsid w:val="0CAE07C5"/>
    <w:rsid w:val="0CB3FE89"/>
    <w:rsid w:val="0CB65BA9"/>
    <w:rsid w:val="0CC0039C"/>
    <w:rsid w:val="0CD065FB"/>
    <w:rsid w:val="0CD29271"/>
    <w:rsid w:val="0CD451EB"/>
    <w:rsid w:val="0CD99EB1"/>
    <w:rsid w:val="0CDC586E"/>
    <w:rsid w:val="0CDDD7E8"/>
    <w:rsid w:val="0CF5E3BD"/>
    <w:rsid w:val="0CF6597C"/>
    <w:rsid w:val="0CFBA8E9"/>
    <w:rsid w:val="0CFF78C9"/>
    <w:rsid w:val="0D0402B6"/>
    <w:rsid w:val="0D129D13"/>
    <w:rsid w:val="0D187F76"/>
    <w:rsid w:val="0D18F668"/>
    <w:rsid w:val="0D1EC799"/>
    <w:rsid w:val="0D2073D1"/>
    <w:rsid w:val="0D21B81C"/>
    <w:rsid w:val="0D2F2056"/>
    <w:rsid w:val="0D344975"/>
    <w:rsid w:val="0D416D5E"/>
    <w:rsid w:val="0D48B70C"/>
    <w:rsid w:val="0D4A4F1D"/>
    <w:rsid w:val="0D4E0587"/>
    <w:rsid w:val="0D51E1EB"/>
    <w:rsid w:val="0D58D3B6"/>
    <w:rsid w:val="0D5C40FB"/>
    <w:rsid w:val="0D5DB44E"/>
    <w:rsid w:val="0D663A34"/>
    <w:rsid w:val="0D6E6267"/>
    <w:rsid w:val="0D7013ED"/>
    <w:rsid w:val="0D77E510"/>
    <w:rsid w:val="0D7E9E02"/>
    <w:rsid w:val="0D7EAD25"/>
    <w:rsid w:val="0D87355E"/>
    <w:rsid w:val="0D8AA8A3"/>
    <w:rsid w:val="0D99FB9C"/>
    <w:rsid w:val="0DA18340"/>
    <w:rsid w:val="0DA93536"/>
    <w:rsid w:val="0DADA229"/>
    <w:rsid w:val="0DADCDBA"/>
    <w:rsid w:val="0DB394B9"/>
    <w:rsid w:val="0DC6B5ED"/>
    <w:rsid w:val="0DCA7A57"/>
    <w:rsid w:val="0DD31804"/>
    <w:rsid w:val="0DDB01C7"/>
    <w:rsid w:val="0DEEE103"/>
    <w:rsid w:val="0DF46DC5"/>
    <w:rsid w:val="0DF660C9"/>
    <w:rsid w:val="0E06C9AE"/>
    <w:rsid w:val="0E06E3CF"/>
    <w:rsid w:val="0E0BC34A"/>
    <w:rsid w:val="0E0D7249"/>
    <w:rsid w:val="0E11F377"/>
    <w:rsid w:val="0E150527"/>
    <w:rsid w:val="0E23676B"/>
    <w:rsid w:val="0E347142"/>
    <w:rsid w:val="0E3BEBBB"/>
    <w:rsid w:val="0E42E263"/>
    <w:rsid w:val="0E517A1E"/>
    <w:rsid w:val="0E57804A"/>
    <w:rsid w:val="0E5B4534"/>
    <w:rsid w:val="0E5F4143"/>
    <w:rsid w:val="0E6C7BA6"/>
    <w:rsid w:val="0E77EEF1"/>
    <w:rsid w:val="0E7E4815"/>
    <w:rsid w:val="0E810BAC"/>
    <w:rsid w:val="0E87852B"/>
    <w:rsid w:val="0E8EAF1B"/>
    <w:rsid w:val="0E93FF80"/>
    <w:rsid w:val="0E992418"/>
    <w:rsid w:val="0E992EBA"/>
    <w:rsid w:val="0E9DC04E"/>
    <w:rsid w:val="0E9F17A2"/>
    <w:rsid w:val="0E9F2ABA"/>
    <w:rsid w:val="0EA55C56"/>
    <w:rsid w:val="0EA9E9FB"/>
    <w:rsid w:val="0EAA1A71"/>
    <w:rsid w:val="0EAB914B"/>
    <w:rsid w:val="0EAF5D39"/>
    <w:rsid w:val="0EB15FC9"/>
    <w:rsid w:val="0EB36A7E"/>
    <w:rsid w:val="0EB51F16"/>
    <w:rsid w:val="0EB577AF"/>
    <w:rsid w:val="0EC696B0"/>
    <w:rsid w:val="0ECF15A7"/>
    <w:rsid w:val="0ED2BDFB"/>
    <w:rsid w:val="0ED8E52B"/>
    <w:rsid w:val="0EE5E2E5"/>
    <w:rsid w:val="0EEBAB05"/>
    <w:rsid w:val="0EF14A5B"/>
    <w:rsid w:val="0EF540E8"/>
    <w:rsid w:val="0EFD059C"/>
    <w:rsid w:val="0F05FAB7"/>
    <w:rsid w:val="0F106F0B"/>
    <w:rsid w:val="0F11A24E"/>
    <w:rsid w:val="0F154E4E"/>
    <w:rsid w:val="0F1F616B"/>
    <w:rsid w:val="0F2CEC27"/>
    <w:rsid w:val="0F2F2A0D"/>
    <w:rsid w:val="0F31987B"/>
    <w:rsid w:val="0F3857ED"/>
    <w:rsid w:val="0F408AED"/>
    <w:rsid w:val="0F43CEBC"/>
    <w:rsid w:val="0F47D630"/>
    <w:rsid w:val="0F48F854"/>
    <w:rsid w:val="0F4E2206"/>
    <w:rsid w:val="0F507696"/>
    <w:rsid w:val="0F51040F"/>
    <w:rsid w:val="0F54E7AD"/>
    <w:rsid w:val="0F554DD4"/>
    <w:rsid w:val="0F594A7E"/>
    <w:rsid w:val="0F59E4EF"/>
    <w:rsid w:val="0F639A56"/>
    <w:rsid w:val="0F6FEBF8"/>
    <w:rsid w:val="0F710B3D"/>
    <w:rsid w:val="0F71946A"/>
    <w:rsid w:val="0F76225E"/>
    <w:rsid w:val="0F78E332"/>
    <w:rsid w:val="0F7E36EB"/>
    <w:rsid w:val="0F804DD6"/>
    <w:rsid w:val="0F812147"/>
    <w:rsid w:val="0F817F45"/>
    <w:rsid w:val="0F896EB5"/>
    <w:rsid w:val="0F99239F"/>
    <w:rsid w:val="0F9A4CEE"/>
    <w:rsid w:val="0F9C5776"/>
    <w:rsid w:val="0FA07292"/>
    <w:rsid w:val="0FA0CB31"/>
    <w:rsid w:val="0FAB9738"/>
    <w:rsid w:val="0FB077C8"/>
    <w:rsid w:val="0FBA8798"/>
    <w:rsid w:val="0FC1F2FD"/>
    <w:rsid w:val="0FC4F941"/>
    <w:rsid w:val="0FDF43D3"/>
    <w:rsid w:val="0FE7B88E"/>
    <w:rsid w:val="0FE8E0CA"/>
    <w:rsid w:val="10016A8B"/>
    <w:rsid w:val="10159218"/>
    <w:rsid w:val="1020FF84"/>
    <w:rsid w:val="1027F591"/>
    <w:rsid w:val="102AFFF0"/>
    <w:rsid w:val="1035CBED"/>
    <w:rsid w:val="10368871"/>
    <w:rsid w:val="1039D020"/>
    <w:rsid w:val="103DF76B"/>
    <w:rsid w:val="104C0638"/>
    <w:rsid w:val="105CDB3E"/>
    <w:rsid w:val="105D9B6C"/>
    <w:rsid w:val="106142D5"/>
    <w:rsid w:val="106FD946"/>
    <w:rsid w:val="10706607"/>
    <w:rsid w:val="108ED484"/>
    <w:rsid w:val="10931EFF"/>
    <w:rsid w:val="1094FFFD"/>
    <w:rsid w:val="10A0B8AB"/>
    <w:rsid w:val="10A62176"/>
    <w:rsid w:val="10A82A59"/>
    <w:rsid w:val="10AAF951"/>
    <w:rsid w:val="10B83C63"/>
    <w:rsid w:val="10B8781E"/>
    <w:rsid w:val="10BC9021"/>
    <w:rsid w:val="10BF6295"/>
    <w:rsid w:val="10C27DDC"/>
    <w:rsid w:val="10CB3263"/>
    <w:rsid w:val="10CD681C"/>
    <w:rsid w:val="10CEFB4D"/>
    <w:rsid w:val="10E569BB"/>
    <w:rsid w:val="10E6A949"/>
    <w:rsid w:val="10EB8F29"/>
    <w:rsid w:val="10F0AD64"/>
    <w:rsid w:val="10F10B29"/>
    <w:rsid w:val="11045E69"/>
    <w:rsid w:val="110AB32A"/>
    <w:rsid w:val="111B8FDD"/>
    <w:rsid w:val="11200C20"/>
    <w:rsid w:val="11247CA3"/>
    <w:rsid w:val="113A6DAC"/>
    <w:rsid w:val="114D2D97"/>
    <w:rsid w:val="1155C460"/>
    <w:rsid w:val="1157FBB9"/>
    <w:rsid w:val="11684905"/>
    <w:rsid w:val="11685950"/>
    <w:rsid w:val="11777F70"/>
    <w:rsid w:val="118A7E2D"/>
    <w:rsid w:val="118E0D94"/>
    <w:rsid w:val="119B2969"/>
    <w:rsid w:val="11A07287"/>
    <w:rsid w:val="11A27703"/>
    <w:rsid w:val="11ACACA6"/>
    <w:rsid w:val="11C0615B"/>
    <w:rsid w:val="11C840CC"/>
    <w:rsid w:val="11C86411"/>
    <w:rsid w:val="11DE3AEC"/>
    <w:rsid w:val="11E64244"/>
    <w:rsid w:val="1202EFD2"/>
    <w:rsid w:val="1207EB0B"/>
    <w:rsid w:val="1214455E"/>
    <w:rsid w:val="1222DC0A"/>
    <w:rsid w:val="1226E23E"/>
    <w:rsid w:val="12297E08"/>
    <w:rsid w:val="122E1F50"/>
    <w:rsid w:val="123659A2"/>
    <w:rsid w:val="1239C325"/>
    <w:rsid w:val="123A31B6"/>
    <w:rsid w:val="123F7223"/>
    <w:rsid w:val="12481EEB"/>
    <w:rsid w:val="1266F78C"/>
    <w:rsid w:val="12671B04"/>
    <w:rsid w:val="129D6699"/>
    <w:rsid w:val="12A24BE7"/>
    <w:rsid w:val="12A28A34"/>
    <w:rsid w:val="12A4B9E4"/>
    <w:rsid w:val="12AC120A"/>
    <w:rsid w:val="12AFF1E2"/>
    <w:rsid w:val="12B8480B"/>
    <w:rsid w:val="12BA1DA3"/>
    <w:rsid w:val="12BC75D4"/>
    <w:rsid w:val="12BCAB5C"/>
    <w:rsid w:val="12BD001A"/>
    <w:rsid w:val="12BED265"/>
    <w:rsid w:val="12C11990"/>
    <w:rsid w:val="12CC510D"/>
    <w:rsid w:val="12D1DAED"/>
    <w:rsid w:val="12D7A7FC"/>
    <w:rsid w:val="12D9B5BD"/>
    <w:rsid w:val="12D9DE5C"/>
    <w:rsid w:val="12DD3554"/>
    <w:rsid w:val="12DE0229"/>
    <w:rsid w:val="12E3E7D7"/>
    <w:rsid w:val="12E7CF74"/>
    <w:rsid w:val="12EE322D"/>
    <w:rsid w:val="12F575AB"/>
    <w:rsid w:val="12F5C62A"/>
    <w:rsid w:val="12F7329F"/>
    <w:rsid w:val="12FDCC71"/>
    <w:rsid w:val="12FE5951"/>
    <w:rsid w:val="1300B184"/>
    <w:rsid w:val="1303B841"/>
    <w:rsid w:val="1310739E"/>
    <w:rsid w:val="131666F4"/>
    <w:rsid w:val="132F25D2"/>
    <w:rsid w:val="13358059"/>
    <w:rsid w:val="13371062"/>
    <w:rsid w:val="1338231C"/>
    <w:rsid w:val="1348CCE2"/>
    <w:rsid w:val="13491608"/>
    <w:rsid w:val="135EB3C7"/>
    <w:rsid w:val="1361DD68"/>
    <w:rsid w:val="13654D88"/>
    <w:rsid w:val="13690344"/>
    <w:rsid w:val="1369229C"/>
    <w:rsid w:val="1371834D"/>
    <w:rsid w:val="1373C587"/>
    <w:rsid w:val="1373D0A6"/>
    <w:rsid w:val="13759687"/>
    <w:rsid w:val="137B0259"/>
    <w:rsid w:val="137D8B94"/>
    <w:rsid w:val="13804321"/>
    <w:rsid w:val="1384A64F"/>
    <w:rsid w:val="13891797"/>
    <w:rsid w:val="138C4824"/>
    <w:rsid w:val="139136F3"/>
    <w:rsid w:val="13961579"/>
    <w:rsid w:val="139D0B6C"/>
    <w:rsid w:val="13A92553"/>
    <w:rsid w:val="13AAA910"/>
    <w:rsid w:val="13B65F44"/>
    <w:rsid w:val="13B9B1A1"/>
    <w:rsid w:val="13C0CD8A"/>
    <w:rsid w:val="13C2D410"/>
    <w:rsid w:val="13C4F45A"/>
    <w:rsid w:val="13C6EA60"/>
    <w:rsid w:val="13C78758"/>
    <w:rsid w:val="13CE4B76"/>
    <w:rsid w:val="13D8524D"/>
    <w:rsid w:val="13DD1BDB"/>
    <w:rsid w:val="13DD2098"/>
    <w:rsid w:val="13E700AB"/>
    <w:rsid w:val="13F09D22"/>
    <w:rsid w:val="13F87538"/>
    <w:rsid w:val="13F89A47"/>
    <w:rsid w:val="13FB07F9"/>
    <w:rsid w:val="13FCAE4B"/>
    <w:rsid w:val="1403EC4F"/>
    <w:rsid w:val="140E8F20"/>
    <w:rsid w:val="1410636F"/>
    <w:rsid w:val="1410F85B"/>
    <w:rsid w:val="1412CDA5"/>
    <w:rsid w:val="141831BE"/>
    <w:rsid w:val="141B0A8F"/>
    <w:rsid w:val="141DAB7C"/>
    <w:rsid w:val="1420BF23"/>
    <w:rsid w:val="1425DBAA"/>
    <w:rsid w:val="14289E1E"/>
    <w:rsid w:val="1431D530"/>
    <w:rsid w:val="1431D9AD"/>
    <w:rsid w:val="143334EA"/>
    <w:rsid w:val="1435A24E"/>
    <w:rsid w:val="143DDFEE"/>
    <w:rsid w:val="144117B7"/>
    <w:rsid w:val="144396DE"/>
    <w:rsid w:val="14505D6A"/>
    <w:rsid w:val="145183D1"/>
    <w:rsid w:val="14598A44"/>
    <w:rsid w:val="1459CC69"/>
    <w:rsid w:val="145E5035"/>
    <w:rsid w:val="1460065C"/>
    <w:rsid w:val="146D3FF9"/>
    <w:rsid w:val="1473585E"/>
    <w:rsid w:val="147C5B09"/>
    <w:rsid w:val="148AC871"/>
    <w:rsid w:val="1492CD4E"/>
    <w:rsid w:val="1498B387"/>
    <w:rsid w:val="1499B8C9"/>
    <w:rsid w:val="14B4121C"/>
    <w:rsid w:val="14C50F53"/>
    <w:rsid w:val="14D2B3A6"/>
    <w:rsid w:val="14D89328"/>
    <w:rsid w:val="14E190B4"/>
    <w:rsid w:val="14EC019D"/>
    <w:rsid w:val="14EC2726"/>
    <w:rsid w:val="14ED7D11"/>
    <w:rsid w:val="151277C4"/>
    <w:rsid w:val="1517F883"/>
    <w:rsid w:val="1518AF5A"/>
    <w:rsid w:val="151FEAE9"/>
    <w:rsid w:val="152120BE"/>
    <w:rsid w:val="15330709"/>
    <w:rsid w:val="1534C358"/>
    <w:rsid w:val="15664E09"/>
    <w:rsid w:val="15716B2E"/>
    <w:rsid w:val="1572F5A6"/>
    <w:rsid w:val="1581DE5B"/>
    <w:rsid w:val="158AF31A"/>
    <w:rsid w:val="158CBC5F"/>
    <w:rsid w:val="158F4B23"/>
    <w:rsid w:val="159A16F4"/>
    <w:rsid w:val="159EBDF6"/>
    <w:rsid w:val="15A10311"/>
    <w:rsid w:val="15A21478"/>
    <w:rsid w:val="15A8D840"/>
    <w:rsid w:val="15B49F37"/>
    <w:rsid w:val="15B520F8"/>
    <w:rsid w:val="15BECDB0"/>
    <w:rsid w:val="15CD42E9"/>
    <w:rsid w:val="15D9A849"/>
    <w:rsid w:val="15E39E1A"/>
    <w:rsid w:val="15F3D54D"/>
    <w:rsid w:val="15FEEF8C"/>
    <w:rsid w:val="160426D3"/>
    <w:rsid w:val="16044B97"/>
    <w:rsid w:val="16064B5A"/>
    <w:rsid w:val="160CB299"/>
    <w:rsid w:val="160F6464"/>
    <w:rsid w:val="161459FA"/>
    <w:rsid w:val="161F2C53"/>
    <w:rsid w:val="1628E6D5"/>
    <w:rsid w:val="162A0634"/>
    <w:rsid w:val="16319C7D"/>
    <w:rsid w:val="164403EA"/>
    <w:rsid w:val="164B800A"/>
    <w:rsid w:val="16506EE0"/>
    <w:rsid w:val="1651A124"/>
    <w:rsid w:val="1654336A"/>
    <w:rsid w:val="1656CF63"/>
    <w:rsid w:val="165C93A0"/>
    <w:rsid w:val="165D6AE1"/>
    <w:rsid w:val="166F5B01"/>
    <w:rsid w:val="16773139"/>
    <w:rsid w:val="168E6B22"/>
    <w:rsid w:val="16A8D233"/>
    <w:rsid w:val="16A94CE9"/>
    <w:rsid w:val="16AA3865"/>
    <w:rsid w:val="16AE4BC2"/>
    <w:rsid w:val="16BC481D"/>
    <w:rsid w:val="16CEE82C"/>
    <w:rsid w:val="16D77675"/>
    <w:rsid w:val="16D8F294"/>
    <w:rsid w:val="16DD3BDE"/>
    <w:rsid w:val="16E6D835"/>
    <w:rsid w:val="16E70D70"/>
    <w:rsid w:val="16E809EB"/>
    <w:rsid w:val="16EE8D03"/>
    <w:rsid w:val="16EEE0BC"/>
    <w:rsid w:val="16FD4BA9"/>
    <w:rsid w:val="170EC8AB"/>
    <w:rsid w:val="170F2F2E"/>
    <w:rsid w:val="1712ABA8"/>
    <w:rsid w:val="1715A506"/>
    <w:rsid w:val="17193231"/>
    <w:rsid w:val="172ADAF4"/>
    <w:rsid w:val="172CEF6C"/>
    <w:rsid w:val="172FA3BE"/>
    <w:rsid w:val="1731C0C5"/>
    <w:rsid w:val="1738AD55"/>
    <w:rsid w:val="173A2375"/>
    <w:rsid w:val="17400339"/>
    <w:rsid w:val="1747B324"/>
    <w:rsid w:val="1757EA66"/>
    <w:rsid w:val="1762E70E"/>
    <w:rsid w:val="17645B4A"/>
    <w:rsid w:val="1765FD1D"/>
    <w:rsid w:val="1767AC67"/>
    <w:rsid w:val="176C8E6B"/>
    <w:rsid w:val="176FE171"/>
    <w:rsid w:val="177252CB"/>
    <w:rsid w:val="1772E4DF"/>
    <w:rsid w:val="17768826"/>
    <w:rsid w:val="1778B41F"/>
    <w:rsid w:val="177D7B36"/>
    <w:rsid w:val="178EECE2"/>
    <w:rsid w:val="17ADDB45"/>
    <w:rsid w:val="17BD1258"/>
    <w:rsid w:val="17CF2B7B"/>
    <w:rsid w:val="17D6CC44"/>
    <w:rsid w:val="17E4A78B"/>
    <w:rsid w:val="17EA5C45"/>
    <w:rsid w:val="17FED33D"/>
    <w:rsid w:val="17FF62FC"/>
    <w:rsid w:val="18023A62"/>
    <w:rsid w:val="1802934F"/>
    <w:rsid w:val="18062668"/>
    <w:rsid w:val="180ACEF7"/>
    <w:rsid w:val="180CF505"/>
    <w:rsid w:val="181557A9"/>
    <w:rsid w:val="1815F3D4"/>
    <w:rsid w:val="181CC8DE"/>
    <w:rsid w:val="1823E183"/>
    <w:rsid w:val="1826D699"/>
    <w:rsid w:val="184715BA"/>
    <w:rsid w:val="1855540B"/>
    <w:rsid w:val="1863465D"/>
    <w:rsid w:val="18668434"/>
    <w:rsid w:val="1867EB27"/>
    <w:rsid w:val="1869BAF9"/>
    <w:rsid w:val="186B5226"/>
    <w:rsid w:val="186C59C0"/>
    <w:rsid w:val="18763F84"/>
    <w:rsid w:val="1881D137"/>
    <w:rsid w:val="18845588"/>
    <w:rsid w:val="18861168"/>
    <w:rsid w:val="18949440"/>
    <w:rsid w:val="1898460C"/>
    <w:rsid w:val="189F0ACF"/>
    <w:rsid w:val="18B829B5"/>
    <w:rsid w:val="18B9A2DC"/>
    <w:rsid w:val="18C81D87"/>
    <w:rsid w:val="18CB3AD3"/>
    <w:rsid w:val="18D49C8D"/>
    <w:rsid w:val="18DA580F"/>
    <w:rsid w:val="18E44379"/>
    <w:rsid w:val="18EBB790"/>
    <w:rsid w:val="18ED218B"/>
    <w:rsid w:val="18F555D9"/>
    <w:rsid w:val="18FB5B23"/>
    <w:rsid w:val="19011B9E"/>
    <w:rsid w:val="190AE5BA"/>
    <w:rsid w:val="190C1004"/>
    <w:rsid w:val="191ED28E"/>
    <w:rsid w:val="192BC8E5"/>
    <w:rsid w:val="1933A43A"/>
    <w:rsid w:val="1935D75B"/>
    <w:rsid w:val="193D5B8A"/>
    <w:rsid w:val="193D87B4"/>
    <w:rsid w:val="193F2782"/>
    <w:rsid w:val="19480181"/>
    <w:rsid w:val="1948C961"/>
    <w:rsid w:val="194943AB"/>
    <w:rsid w:val="19499676"/>
    <w:rsid w:val="19517B47"/>
    <w:rsid w:val="195A76CD"/>
    <w:rsid w:val="197EE40A"/>
    <w:rsid w:val="197FC3ED"/>
    <w:rsid w:val="198D263A"/>
    <w:rsid w:val="19944582"/>
    <w:rsid w:val="19A69C02"/>
    <w:rsid w:val="19B4FC51"/>
    <w:rsid w:val="19B76A4F"/>
    <w:rsid w:val="19B8867E"/>
    <w:rsid w:val="19BB22FB"/>
    <w:rsid w:val="19D7FC0F"/>
    <w:rsid w:val="19E46E82"/>
    <w:rsid w:val="19E4D84E"/>
    <w:rsid w:val="19E6F830"/>
    <w:rsid w:val="19EB3A73"/>
    <w:rsid w:val="19F467A4"/>
    <w:rsid w:val="19F614CE"/>
    <w:rsid w:val="19F6F59B"/>
    <w:rsid w:val="19FB76EE"/>
    <w:rsid w:val="1A08E933"/>
    <w:rsid w:val="1A0C1B98"/>
    <w:rsid w:val="1A0F5F6C"/>
    <w:rsid w:val="1A1407E5"/>
    <w:rsid w:val="1A15B6A1"/>
    <w:rsid w:val="1A1867CD"/>
    <w:rsid w:val="1A1BCFA0"/>
    <w:rsid w:val="1A434ACF"/>
    <w:rsid w:val="1A43B4B8"/>
    <w:rsid w:val="1A440E3C"/>
    <w:rsid w:val="1A54113E"/>
    <w:rsid w:val="1A5A54A5"/>
    <w:rsid w:val="1A5DA018"/>
    <w:rsid w:val="1A5F1A43"/>
    <w:rsid w:val="1A7C6862"/>
    <w:rsid w:val="1A88AC01"/>
    <w:rsid w:val="1A907D24"/>
    <w:rsid w:val="1A915AE4"/>
    <w:rsid w:val="1A9AC302"/>
    <w:rsid w:val="1A9ECA77"/>
    <w:rsid w:val="1AA19D2D"/>
    <w:rsid w:val="1AA6B61B"/>
    <w:rsid w:val="1AAA1E23"/>
    <w:rsid w:val="1AAF0861"/>
    <w:rsid w:val="1AB0C7C3"/>
    <w:rsid w:val="1AB881C0"/>
    <w:rsid w:val="1ABBE024"/>
    <w:rsid w:val="1ABE961E"/>
    <w:rsid w:val="1AC61E09"/>
    <w:rsid w:val="1AD0D10D"/>
    <w:rsid w:val="1AD36256"/>
    <w:rsid w:val="1ADA9D56"/>
    <w:rsid w:val="1AE1488E"/>
    <w:rsid w:val="1AE258ED"/>
    <w:rsid w:val="1AE3832F"/>
    <w:rsid w:val="1AECDC13"/>
    <w:rsid w:val="1AFDC7A0"/>
    <w:rsid w:val="1B0494D4"/>
    <w:rsid w:val="1B0ED0A1"/>
    <w:rsid w:val="1B0F1442"/>
    <w:rsid w:val="1B102FEB"/>
    <w:rsid w:val="1B11C20A"/>
    <w:rsid w:val="1B24E0DE"/>
    <w:rsid w:val="1B292ED6"/>
    <w:rsid w:val="1B30917B"/>
    <w:rsid w:val="1B327B68"/>
    <w:rsid w:val="1B3C7741"/>
    <w:rsid w:val="1B3F373F"/>
    <w:rsid w:val="1B47B82A"/>
    <w:rsid w:val="1B52509F"/>
    <w:rsid w:val="1B5CF967"/>
    <w:rsid w:val="1B632E7D"/>
    <w:rsid w:val="1B78C0AE"/>
    <w:rsid w:val="1B83CB50"/>
    <w:rsid w:val="1B936EE3"/>
    <w:rsid w:val="1B940CD6"/>
    <w:rsid w:val="1BABB792"/>
    <w:rsid w:val="1BAFDF24"/>
    <w:rsid w:val="1BBCE421"/>
    <w:rsid w:val="1BCDFD9B"/>
    <w:rsid w:val="1BD70738"/>
    <w:rsid w:val="1BF181FD"/>
    <w:rsid w:val="1BF2A7CF"/>
    <w:rsid w:val="1BF33C93"/>
    <w:rsid w:val="1C041579"/>
    <w:rsid w:val="1C0CEAC0"/>
    <w:rsid w:val="1C113B92"/>
    <w:rsid w:val="1C17A1A2"/>
    <w:rsid w:val="1C282A96"/>
    <w:rsid w:val="1C2F7ECB"/>
    <w:rsid w:val="1C3D597C"/>
    <w:rsid w:val="1C47ED0E"/>
    <w:rsid w:val="1C5BAE5B"/>
    <w:rsid w:val="1C690E39"/>
    <w:rsid w:val="1C7942AC"/>
    <w:rsid w:val="1C7DB9AB"/>
    <w:rsid w:val="1C954EFD"/>
    <w:rsid w:val="1C999C01"/>
    <w:rsid w:val="1C9AAC83"/>
    <w:rsid w:val="1CA92570"/>
    <w:rsid w:val="1CBCE171"/>
    <w:rsid w:val="1CC82CEE"/>
    <w:rsid w:val="1CCE42A9"/>
    <w:rsid w:val="1CDAF33B"/>
    <w:rsid w:val="1CDCBDEB"/>
    <w:rsid w:val="1CECDF05"/>
    <w:rsid w:val="1CF04A61"/>
    <w:rsid w:val="1CF29FD2"/>
    <w:rsid w:val="1CF6AD3D"/>
    <w:rsid w:val="1D015C86"/>
    <w:rsid w:val="1D022ADE"/>
    <w:rsid w:val="1D096C37"/>
    <w:rsid w:val="1D15FDC9"/>
    <w:rsid w:val="1D1EDB7A"/>
    <w:rsid w:val="1D2A7A86"/>
    <w:rsid w:val="1D2D28E7"/>
    <w:rsid w:val="1D335C6B"/>
    <w:rsid w:val="1D3852F7"/>
    <w:rsid w:val="1D3B5FD4"/>
    <w:rsid w:val="1D401F6D"/>
    <w:rsid w:val="1D499E2B"/>
    <w:rsid w:val="1D4AE24F"/>
    <w:rsid w:val="1D4E8638"/>
    <w:rsid w:val="1D4F513C"/>
    <w:rsid w:val="1D59F270"/>
    <w:rsid w:val="1D5D7F51"/>
    <w:rsid w:val="1D5E16C9"/>
    <w:rsid w:val="1D5E3273"/>
    <w:rsid w:val="1D645537"/>
    <w:rsid w:val="1D64AD3E"/>
    <w:rsid w:val="1D7A336B"/>
    <w:rsid w:val="1D82BF7F"/>
    <w:rsid w:val="1D91E16C"/>
    <w:rsid w:val="1D924061"/>
    <w:rsid w:val="1D9DCE7C"/>
    <w:rsid w:val="1D9F5910"/>
    <w:rsid w:val="1DA5D286"/>
    <w:rsid w:val="1DAB7514"/>
    <w:rsid w:val="1DAC9861"/>
    <w:rsid w:val="1DB88043"/>
    <w:rsid w:val="1DBA5A1F"/>
    <w:rsid w:val="1DCF0377"/>
    <w:rsid w:val="1DDA8380"/>
    <w:rsid w:val="1DDAC9A7"/>
    <w:rsid w:val="1DE69F25"/>
    <w:rsid w:val="1DE968D0"/>
    <w:rsid w:val="1DEB53B2"/>
    <w:rsid w:val="1DFD2559"/>
    <w:rsid w:val="1DFDD01E"/>
    <w:rsid w:val="1E0589E9"/>
    <w:rsid w:val="1E05CA17"/>
    <w:rsid w:val="1E07959E"/>
    <w:rsid w:val="1E0AEDF8"/>
    <w:rsid w:val="1E135642"/>
    <w:rsid w:val="1E1CD24B"/>
    <w:rsid w:val="1E1CE310"/>
    <w:rsid w:val="1E22C4FB"/>
    <w:rsid w:val="1E26DC58"/>
    <w:rsid w:val="1E367D6B"/>
    <w:rsid w:val="1E456916"/>
    <w:rsid w:val="1E489D3B"/>
    <w:rsid w:val="1E49C09D"/>
    <w:rsid w:val="1E4C93BD"/>
    <w:rsid w:val="1E4D35F5"/>
    <w:rsid w:val="1E4E9A8D"/>
    <w:rsid w:val="1E4F1B28"/>
    <w:rsid w:val="1E574FA8"/>
    <w:rsid w:val="1E6D0A18"/>
    <w:rsid w:val="1E7D6143"/>
    <w:rsid w:val="1E80428B"/>
    <w:rsid w:val="1E96B2F9"/>
    <w:rsid w:val="1E9C2809"/>
    <w:rsid w:val="1EA2E53F"/>
    <w:rsid w:val="1EA3160B"/>
    <w:rsid w:val="1EA8DFE7"/>
    <w:rsid w:val="1EB227D8"/>
    <w:rsid w:val="1EB3DA30"/>
    <w:rsid w:val="1EB78FBE"/>
    <w:rsid w:val="1ECAC6D4"/>
    <w:rsid w:val="1ECB3310"/>
    <w:rsid w:val="1ECDF97F"/>
    <w:rsid w:val="1ECF0255"/>
    <w:rsid w:val="1ED5683F"/>
    <w:rsid w:val="1ED722A4"/>
    <w:rsid w:val="1EEB608E"/>
    <w:rsid w:val="1EED5D58"/>
    <w:rsid w:val="1EEFBB56"/>
    <w:rsid w:val="1EF1FC34"/>
    <w:rsid w:val="1F0514FE"/>
    <w:rsid w:val="1F16DC5E"/>
    <w:rsid w:val="1F175D0C"/>
    <w:rsid w:val="1F1AEAA3"/>
    <w:rsid w:val="1F2051C1"/>
    <w:rsid w:val="1F262087"/>
    <w:rsid w:val="1F36AF6E"/>
    <w:rsid w:val="1F370A17"/>
    <w:rsid w:val="1F414EFD"/>
    <w:rsid w:val="1F4FCA16"/>
    <w:rsid w:val="1F59A599"/>
    <w:rsid w:val="1F5A3079"/>
    <w:rsid w:val="1F705962"/>
    <w:rsid w:val="1F7CE1A8"/>
    <w:rsid w:val="1F7ED136"/>
    <w:rsid w:val="1F8214C4"/>
    <w:rsid w:val="1F824A47"/>
    <w:rsid w:val="1F8438A3"/>
    <w:rsid w:val="1F86A784"/>
    <w:rsid w:val="1F8F2561"/>
    <w:rsid w:val="1F979A29"/>
    <w:rsid w:val="1F97B06A"/>
    <w:rsid w:val="1FA1A711"/>
    <w:rsid w:val="1FA7AD67"/>
    <w:rsid w:val="1FB070C9"/>
    <w:rsid w:val="1FB92E53"/>
    <w:rsid w:val="1FBC3298"/>
    <w:rsid w:val="1FC60E99"/>
    <w:rsid w:val="1FC76BCB"/>
    <w:rsid w:val="1FC8E993"/>
    <w:rsid w:val="1FD0DFF2"/>
    <w:rsid w:val="1FDD74F1"/>
    <w:rsid w:val="1FE3D76E"/>
    <w:rsid w:val="1FEAE60A"/>
    <w:rsid w:val="1FF30B7C"/>
    <w:rsid w:val="1FFA1040"/>
    <w:rsid w:val="1FFBADC2"/>
    <w:rsid w:val="201500B4"/>
    <w:rsid w:val="2016784F"/>
    <w:rsid w:val="2016B469"/>
    <w:rsid w:val="2018DFA1"/>
    <w:rsid w:val="20258F8D"/>
    <w:rsid w:val="202F10BD"/>
    <w:rsid w:val="2032C996"/>
    <w:rsid w:val="203DF721"/>
    <w:rsid w:val="2051C2F8"/>
    <w:rsid w:val="205666F7"/>
    <w:rsid w:val="20595CF2"/>
    <w:rsid w:val="205AF49E"/>
    <w:rsid w:val="205B6E5D"/>
    <w:rsid w:val="205E5B03"/>
    <w:rsid w:val="206209FE"/>
    <w:rsid w:val="20685761"/>
    <w:rsid w:val="2068876A"/>
    <w:rsid w:val="206D2239"/>
    <w:rsid w:val="20715F26"/>
    <w:rsid w:val="20735068"/>
    <w:rsid w:val="2079CC11"/>
    <w:rsid w:val="208FC440"/>
    <w:rsid w:val="208FE779"/>
    <w:rsid w:val="20A194C4"/>
    <w:rsid w:val="20AE1F3F"/>
    <w:rsid w:val="20BBB981"/>
    <w:rsid w:val="20D0F5AB"/>
    <w:rsid w:val="20D813AA"/>
    <w:rsid w:val="20DB1627"/>
    <w:rsid w:val="20DEAB12"/>
    <w:rsid w:val="20E47D07"/>
    <w:rsid w:val="20E88B6F"/>
    <w:rsid w:val="20EAFE00"/>
    <w:rsid w:val="20EDA720"/>
    <w:rsid w:val="20F23314"/>
    <w:rsid w:val="21042893"/>
    <w:rsid w:val="21069EFB"/>
    <w:rsid w:val="21099FDF"/>
    <w:rsid w:val="210BFB36"/>
    <w:rsid w:val="212968DC"/>
    <w:rsid w:val="212E2A3B"/>
    <w:rsid w:val="2133DD0E"/>
    <w:rsid w:val="215528A3"/>
    <w:rsid w:val="2165B1FB"/>
    <w:rsid w:val="216AE3A3"/>
    <w:rsid w:val="216C322D"/>
    <w:rsid w:val="2173AEB7"/>
    <w:rsid w:val="21743456"/>
    <w:rsid w:val="2175AA9B"/>
    <w:rsid w:val="21791E05"/>
    <w:rsid w:val="21855489"/>
    <w:rsid w:val="2192D2FF"/>
    <w:rsid w:val="2196FEDF"/>
    <w:rsid w:val="21A611D0"/>
    <w:rsid w:val="21ACF694"/>
    <w:rsid w:val="21AD76EB"/>
    <w:rsid w:val="21B4741E"/>
    <w:rsid w:val="21B8BEA9"/>
    <w:rsid w:val="21B8D1F0"/>
    <w:rsid w:val="21CD579E"/>
    <w:rsid w:val="21D14554"/>
    <w:rsid w:val="21D964A4"/>
    <w:rsid w:val="21DD13F5"/>
    <w:rsid w:val="21E16C06"/>
    <w:rsid w:val="21E64286"/>
    <w:rsid w:val="21E8C8D4"/>
    <w:rsid w:val="21EE18F0"/>
    <w:rsid w:val="21EF9105"/>
    <w:rsid w:val="21F1D742"/>
    <w:rsid w:val="21F4BA70"/>
    <w:rsid w:val="21F935C5"/>
    <w:rsid w:val="21FA1B08"/>
    <w:rsid w:val="21FF7F23"/>
    <w:rsid w:val="22140190"/>
    <w:rsid w:val="22154F2B"/>
    <w:rsid w:val="22157289"/>
    <w:rsid w:val="22221770"/>
    <w:rsid w:val="222E60D3"/>
    <w:rsid w:val="222FEE79"/>
    <w:rsid w:val="2231F5FD"/>
    <w:rsid w:val="2232FD05"/>
    <w:rsid w:val="2235E3ED"/>
    <w:rsid w:val="2260CC17"/>
    <w:rsid w:val="226BE2CD"/>
    <w:rsid w:val="2272057A"/>
    <w:rsid w:val="2272B79F"/>
    <w:rsid w:val="2276FDF9"/>
    <w:rsid w:val="2281D37D"/>
    <w:rsid w:val="22896BDD"/>
    <w:rsid w:val="228C0677"/>
    <w:rsid w:val="228CEAEE"/>
    <w:rsid w:val="228DC539"/>
    <w:rsid w:val="228EBF3D"/>
    <w:rsid w:val="22932633"/>
    <w:rsid w:val="229685EE"/>
    <w:rsid w:val="2297A8E2"/>
    <w:rsid w:val="22B04302"/>
    <w:rsid w:val="22B0E88A"/>
    <w:rsid w:val="22B5B80F"/>
    <w:rsid w:val="22BD9DB7"/>
    <w:rsid w:val="22BFD263"/>
    <w:rsid w:val="22C3D36E"/>
    <w:rsid w:val="22D70997"/>
    <w:rsid w:val="22D73D4A"/>
    <w:rsid w:val="22E1237B"/>
    <w:rsid w:val="22E1D85C"/>
    <w:rsid w:val="22E64774"/>
    <w:rsid w:val="22F07B71"/>
    <w:rsid w:val="22F50F2A"/>
    <w:rsid w:val="22FB5CFB"/>
    <w:rsid w:val="22FB7AF7"/>
    <w:rsid w:val="22FD2E54"/>
    <w:rsid w:val="2302F3F6"/>
    <w:rsid w:val="230796C4"/>
    <w:rsid w:val="230A9FED"/>
    <w:rsid w:val="230F93B2"/>
    <w:rsid w:val="231614F8"/>
    <w:rsid w:val="231C7A96"/>
    <w:rsid w:val="231FBD99"/>
    <w:rsid w:val="2321347D"/>
    <w:rsid w:val="23273F9F"/>
    <w:rsid w:val="233BDE30"/>
    <w:rsid w:val="23417C3C"/>
    <w:rsid w:val="2346325A"/>
    <w:rsid w:val="2347C08D"/>
    <w:rsid w:val="234BFD5E"/>
    <w:rsid w:val="234D5CA2"/>
    <w:rsid w:val="235155CE"/>
    <w:rsid w:val="2351F919"/>
    <w:rsid w:val="23599919"/>
    <w:rsid w:val="235B1CCE"/>
    <w:rsid w:val="236D2BF9"/>
    <w:rsid w:val="2376A5C4"/>
    <w:rsid w:val="23786D2E"/>
    <w:rsid w:val="237A55BB"/>
    <w:rsid w:val="2385D9A1"/>
    <w:rsid w:val="23872F2F"/>
    <w:rsid w:val="238BA537"/>
    <w:rsid w:val="239568DA"/>
    <w:rsid w:val="23958F1E"/>
    <w:rsid w:val="23961280"/>
    <w:rsid w:val="23962F6A"/>
    <w:rsid w:val="2399A515"/>
    <w:rsid w:val="239F9406"/>
    <w:rsid w:val="23AA5C48"/>
    <w:rsid w:val="23AAC3C1"/>
    <w:rsid w:val="23AAC78A"/>
    <w:rsid w:val="23B360B3"/>
    <w:rsid w:val="23B9A416"/>
    <w:rsid w:val="23BABF35"/>
    <w:rsid w:val="23C84AEF"/>
    <w:rsid w:val="23CB0A6F"/>
    <w:rsid w:val="23CC847C"/>
    <w:rsid w:val="23D74385"/>
    <w:rsid w:val="23E550AE"/>
    <w:rsid w:val="23EC68F7"/>
    <w:rsid w:val="23F4F061"/>
    <w:rsid w:val="23F5563F"/>
    <w:rsid w:val="23FA976B"/>
    <w:rsid w:val="2403036B"/>
    <w:rsid w:val="24066AB2"/>
    <w:rsid w:val="240D6195"/>
    <w:rsid w:val="241359DE"/>
    <w:rsid w:val="24142CA3"/>
    <w:rsid w:val="241C3106"/>
    <w:rsid w:val="241EAC17"/>
    <w:rsid w:val="24250250"/>
    <w:rsid w:val="242DCB47"/>
    <w:rsid w:val="242FF324"/>
    <w:rsid w:val="243ADC5D"/>
    <w:rsid w:val="243CAD04"/>
    <w:rsid w:val="2449FC49"/>
    <w:rsid w:val="244F544D"/>
    <w:rsid w:val="2459BBF5"/>
    <w:rsid w:val="246D323A"/>
    <w:rsid w:val="2472B504"/>
    <w:rsid w:val="24730D77"/>
    <w:rsid w:val="2490C442"/>
    <w:rsid w:val="2491F867"/>
    <w:rsid w:val="24970982"/>
    <w:rsid w:val="249A8DEC"/>
    <w:rsid w:val="249F1794"/>
    <w:rsid w:val="24A349B6"/>
    <w:rsid w:val="24A5445B"/>
    <w:rsid w:val="24B2E112"/>
    <w:rsid w:val="24B56095"/>
    <w:rsid w:val="24B769F5"/>
    <w:rsid w:val="24C18AD9"/>
    <w:rsid w:val="24C1F37A"/>
    <w:rsid w:val="24E02F51"/>
    <w:rsid w:val="24EA82FD"/>
    <w:rsid w:val="24EBBB14"/>
    <w:rsid w:val="24F8F999"/>
    <w:rsid w:val="24FC3EED"/>
    <w:rsid w:val="2505C611"/>
    <w:rsid w:val="250D4DF5"/>
    <w:rsid w:val="25110F7F"/>
    <w:rsid w:val="251DC77D"/>
    <w:rsid w:val="2536E271"/>
    <w:rsid w:val="254264C9"/>
    <w:rsid w:val="254A244F"/>
    <w:rsid w:val="2554F562"/>
    <w:rsid w:val="2555819E"/>
    <w:rsid w:val="256357FE"/>
    <w:rsid w:val="2565524A"/>
    <w:rsid w:val="25669875"/>
    <w:rsid w:val="257757F1"/>
    <w:rsid w:val="257C7154"/>
    <w:rsid w:val="258106BB"/>
    <w:rsid w:val="25872B4F"/>
    <w:rsid w:val="25963B4F"/>
    <w:rsid w:val="259A5795"/>
    <w:rsid w:val="25A283F0"/>
    <w:rsid w:val="25A6D08F"/>
    <w:rsid w:val="25B002F7"/>
    <w:rsid w:val="25B4E9AA"/>
    <w:rsid w:val="25B54700"/>
    <w:rsid w:val="25B8B5A1"/>
    <w:rsid w:val="25C19169"/>
    <w:rsid w:val="25D5CFAF"/>
    <w:rsid w:val="25D9DCF9"/>
    <w:rsid w:val="25E28BB6"/>
    <w:rsid w:val="25E513D7"/>
    <w:rsid w:val="25E9CE78"/>
    <w:rsid w:val="25EA0BE6"/>
    <w:rsid w:val="25F186E8"/>
    <w:rsid w:val="25F1F90D"/>
    <w:rsid w:val="25F39052"/>
    <w:rsid w:val="25FC6779"/>
    <w:rsid w:val="26138B86"/>
    <w:rsid w:val="261BA733"/>
    <w:rsid w:val="2624D968"/>
    <w:rsid w:val="2627B5A7"/>
    <w:rsid w:val="262F230D"/>
    <w:rsid w:val="262F54E5"/>
    <w:rsid w:val="26329D03"/>
    <w:rsid w:val="26346C71"/>
    <w:rsid w:val="263B0BD3"/>
    <w:rsid w:val="26424D28"/>
    <w:rsid w:val="2648DA09"/>
    <w:rsid w:val="264A4CAE"/>
    <w:rsid w:val="264C7CE8"/>
    <w:rsid w:val="265A1340"/>
    <w:rsid w:val="26644B3B"/>
    <w:rsid w:val="266D9A34"/>
    <w:rsid w:val="266F71B7"/>
    <w:rsid w:val="267F1055"/>
    <w:rsid w:val="26813642"/>
    <w:rsid w:val="2685A58A"/>
    <w:rsid w:val="26891379"/>
    <w:rsid w:val="2689E225"/>
    <w:rsid w:val="268BD7BF"/>
    <w:rsid w:val="2693E556"/>
    <w:rsid w:val="269C22FD"/>
    <w:rsid w:val="26A0138F"/>
    <w:rsid w:val="26A403FD"/>
    <w:rsid w:val="26A4AA86"/>
    <w:rsid w:val="26A7E069"/>
    <w:rsid w:val="26C31DAA"/>
    <w:rsid w:val="26C4447E"/>
    <w:rsid w:val="26CCE0FD"/>
    <w:rsid w:val="26CDD892"/>
    <w:rsid w:val="26CEBF97"/>
    <w:rsid w:val="26CF6C73"/>
    <w:rsid w:val="26DB3092"/>
    <w:rsid w:val="26DB8D83"/>
    <w:rsid w:val="26E50D3B"/>
    <w:rsid w:val="26E6F75A"/>
    <w:rsid w:val="26EB683D"/>
    <w:rsid w:val="26F9FC24"/>
    <w:rsid w:val="27004F1F"/>
    <w:rsid w:val="270B41BF"/>
    <w:rsid w:val="270D0CC7"/>
    <w:rsid w:val="271113B1"/>
    <w:rsid w:val="27149CDE"/>
    <w:rsid w:val="2717E813"/>
    <w:rsid w:val="2717EEAA"/>
    <w:rsid w:val="2723B6C3"/>
    <w:rsid w:val="272D5BD8"/>
    <w:rsid w:val="2732C011"/>
    <w:rsid w:val="273B2894"/>
    <w:rsid w:val="274088C8"/>
    <w:rsid w:val="274245C6"/>
    <w:rsid w:val="27484060"/>
    <w:rsid w:val="274B83A6"/>
    <w:rsid w:val="276676F8"/>
    <w:rsid w:val="276893AF"/>
    <w:rsid w:val="278CC4B7"/>
    <w:rsid w:val="278D5749"/>
    <w:rsid w:val="27928470"/>
    <w:rsid w:val="2799874A"/>
    <w:rsid w:val="27A8A617"/>
    <w:rsid w:val="27AAD3D3"/>
    <w:rsid w:val="27B00E78"/>
    <w:rsid w:val="27B044E5"/>
    <w:rsid w:val="27C16DE0"/>
    <w:rsid w:val="27C1966C"/>
    <w:rsid w:val="27C65674"/>
    <w:rsid w:val="27CF047E"/>
    <w:rsid w:val="27D44B5B"/>
    <w:rsid w:val="27E28010"/>
    <w:rsid w:val="27EB48F5"/>
    <w:rsid w:val="27EBC459"/>
    <w:rsid w:val="27EC8C5A"/>
    <w:rsid w:val="27F7B14A"/>
    <w:rsid w:val="27FBEB0B"/>
    <w:rsid w:val="280A6FBF"/>
    <w:rsid w:val="280FD53E"/>
    <w:rsid w:val="2811E6C7"/>
    <w:rsid w:val="28128F47"/>
    <w:rsid w:val="28196E42"/>
    <w:rsid w:val="281EF72D"/>
    <w:rsid w:val="2823DE9A"/>
    <w:rsid w:val="2824AD77"/>
    <w:rsid w:val="282A0426"/>
    <w:rsid w:val="282D89DA"/>
    <w:rsid w:val="282F1F0A"/>
    <w:rsid w:val="2830821A"/>
    <w:rsid w:val="2836733C"/>
    <w:rsid w:val="2839459C"/>
    <w:rsid w:val="283FCD01"/>
    <w:rsid w:val="284B9818"/>
    <w:rsid w:val="284DDFF1"/>
    <w:rsid w:val="28563737"/>
    <w:rsid w:val="2857013D"/>
    <w:rsid w:val="28652832"/>
    <w:rsid w:val="286737CB"/>
    <w:rsid w:val="286AAFAA"/>
    <w:rsid w:val="286B2B8A"/>
    <w:rsid w:val="28760444"/>
    <w:rsid w:val="287D753F"/>
    <w:rsid w:val="28811B1B"/>
    <w:rsid w:val="288490C0"/>
    <w:rsid w:val="28852559"/>
    <w:rsid w:val="2886D4A3"/>
    <w:rsid w:val="288E845F"/>
    <w:rsid w:val="28962791"/>
    <w:rsid w:val="28987D80"/>
    <w:rsid w:val="289C874E"/>
    <w:rsid w:val="28A7E215"/>
    <w:rsid w:val="28AF610F"/>
    <w:rsid w:val="28B8CB46"/>
    <w:rsid w:val="28B9F1CD"/>
    <w:rsid w:val="28C1AB76"/>
    <w:rsid w:val="28CA56B7"/>
    <w:rsid w:val="28CC9F0D"/>
    <w:rsid w:val="28D6A0B7"/>
    <w:rsid w:val="28D79B66"/>
    <w:rsid w:val="28F0D407"/>
    <w:rsid w:val="28FC9CCF"/>
    <w:rsid w:val="2904ED91"/>
    <w:rsid w:val="2908F7B0"/>
    <w:rsid w:val="2913B8F4"/>
    <w:rsid w:val="291493E5"/>
    <w:rsid w:val="2916B414"/>
    <w:rsid w:val="29195021"/>
    <w:rsid w:val="29255FD7"/>
    <w:rsid w:val="2932D101"/>
    <w:rsid w:val="293856C9"/>
    <w:rsid w:val="293C899B"/>
    <w:rsid w:val="29429C7E"/>
    <w:rsid w:val="29485017"/>
    <w:rsid w:val="294D7A72"/>
    <w:rsid w:val="294D7D69"/>
    <w:rsid w:val="2950A3F0"/>
    <w:rsid w:val="2951C476"/>
    <w:rsid w:val="2957F35B"/>
    <w:rsid w:val="2961FF3B"/>
    <w:rsid w:val="296C3D54"/>
    <w:rsid w:val="296FAB27"/>
    <w:rsid w:val="29717066"/>
    <w:rsid w:val="298539C3"/>
    <w:rsid w:val="298FD092"/>
    <w:rsid w:val="299FFCBB"/>
    <w:rsid w:val="29A226C8"/>
    <w:rsid w:val="29B6478B"/>
    <w:rsid w:val="29BA296D"/>
    <w:rsid w:val="29C61A85"/>
    <w:rsid w:val="29CD340A"/>
    <w:rsid w:val="29D63FB9"/>
    <w:rsid w:val="29FDC4AA"/>
    <w:rsid w:val="2A093A7E"/>
    <w:rsid w:val="2A0E0EF5"/>
    <w:rsid w:val="2A122263"/>
    <w:rsid w:val="2A163A05"/>
    <w:rsid w:val="2A323F62"/>
    <w:rsid w:val="2A34DE6B"/>
    <w:rsid w:val="2A3B3A08"/>
    <w:rsid w:val="2A3FB31E"/>
    <w:rsid w:val="2A442931"/>
    <w:rsid w:val="2A479538"/>
    <w:rsid w:val="2A51D579"/>
    <w:rsid w:val="2A5A5796"/>
    <w:rsid w:val="2A63B60A"/>
    <w:rsid w:val="2A67B94F"/>
    <w:rsid w:val="2A7105EA"/>
    <w:rsid w:val="2A73A349"/>
    <w:rsid w:val="2A740F23"/>
    <w:rsid w:val="2A78BC3A"/>
    <w:rsid w:val="2A95FB86"/>
    <w:rsid w:val="2A996909"/>
    <w:rsid w:val="2A9E2E89"/>
    <w:rsid w:val="2AA04905"/>
    <w:rsid w:val="2AA8A867"/>
    <w:rsid w:val="2AAB9BFD"/>
    <w:rsid w:val="2AB69D77"/>
    <w:rsid w:val="2ABCDD92"/>
    <w:rsid w:val="2AC278D2"/>
    <w:rsid w:val="2AC3132A"/>
    <w:rsid w:val="2AC37A18"/>
    <w:rsid w:val="2AC94EF2"/>
    <w:rsid w:val="2AD3006B"/>
    <w:rsid w:val="2ADB3A21"/>
    <w:rsid w:val="2AE146D7"/>
    <w:rsid w:val="2AE1E2CC"/>
    <w:rsid w:val="2AE60837"/>
    <w:rsid w:val="2AEE815F"/>
    <w:rsid w:val="2AF894AF"/>
    <w:rsid w:val="2AFB649C"/>
    <w:rsid w:val="2AFF578F"/>
    <w:rsid w:val="2B0A9987"/>
    <w:rsid w:val="2B0AF30D"/>
    <w:rsid w:val="2B17DCCE"/>
    <w:rsid w:val="2B1DCFB2"/>
    <w:rsid w:val="2B270A1D"/>
    <w:rsid w:val="2B2FE4EC"/>
    <w:rsid w:val="2B3F72DC"/>
    <w:rsid w:val="2B40A0FD"/>
    <w:rsid w:val="2B41B335"/>
    <w:rsid w:val="2B44F399"/>
    <w:rsid w:val="2B46404E"/>
    <w:rsid w:val="2B51BDA0"/>
    <w:rsid w:val="2B590DB8"/>
    <w:rsid w:val="2B5B0E31"/>
    <w:rsid w:val="2B5CCBA4"/>
    <w:rsid w:val="2B5FE490"/>
    <w:rsid w:val="2B6127B0"/>
    <w:rsid w:val="2B68976F"/>
    <w:rsid w:val="2B6C1732"/>
    <w:rsid w:val="2B82A8AB"/>
    <w:rsid w:val="2B855ED1"/>
    <w:rsid w:val="2B8933C3"/>
    <w:rsid w:val="2B8ACE36"/>
    <w:rsid w:val="2B97F83C"/>
    <w:rsid w:val="2B999998"/>
    <w:rsid w:val="2BA27D9F"/>
    <w:rsid w:val="2BA50E50"/>
    <w:rsid w:val="2BD4C022"/>
    <w:rsid w:val="2BD82C00"/>
    <w:rsid w:val="2BDB75DF"/>
    <w:rsid w:val="2BE08D81"/>
    <w:rsid w:val="2BE49645"/>
    <w:rsid w:val="2BEF3F73"/>
    <w:rsid w:val="2BF1FBF2"/>
    <w:rsid w:val="2BF2B127"/>
    <w:rsid w:val="2BF2EE26"/>
    <w:rsid w:val="2BF6483A"/>
    <w:rsid w:val="2BFBE9AB"/>
    <w:rsid w:val="2C02D222"/>
    <w:rsid w:val="2C06F263"/>
    <w:rsid w:val="2C18CA78"/>
    <w:rsid w:val="2C18E76F"/>
    <w:rsid w:val="2C23CF34"/>
    <w:rsid w:val="2C296E71"/>
    <w:rsid w:val="2C368FDD"/>
    <w:rsid w:val="2C3B9DF1"/>
    <w:rsid w:val="2C40791D"/>
    <w:rsid w:val="2C40C74A"/>
    <w:rsid w:val="2C5C95CB"/>
    <w:rsid w:val="2C5F0679"/>
    <w:rsid w:val="2C71D650"/>
    <w:rsid w:val="2C7E7E99"/>
    <w:rsid w:val="2C867C99"/>
    <w:rsid w:val="2C884C54"/>
    <w:rsid w:val="2CA16FCE"/>
    <w:rsid w:val="2CAE5D5E"/>
    <w:rsid w:val="2CB06C25"/>
    <w:rsid w:val="2CB48650"/>
    <w:rsid w:val="2CBE34E9"/>
    <w:rsid w:val="2CC1EB93"/>
    <w:rsid w:val="2CC4FCCE"/>
    <w:rsid w:val="2CDCF35E"/>
    <w:rsid w:val="2CE3F9A7"/>
    <w:rsid w:val="2CE5921C"/>
    <w:rsid w:val="2CED66E4"/>
    <w:rsid w:val="2CFA4666"/>
    <w:rsid w:val="2D16E3CE"/>
    <w:rsid w:val="2D1C247A"/>
    <w:rsid w:val="2D281954"/>
    <w:rsid w:val="2D3963E0"/>
    <w:rsid w:val="2D3C1B3D"/>
    <w:rsid w:val="2D3C4471"/>
    <w:rsid w:val="2D4B86DB"/>
    <w:rsid w:val="2D4EFD88"/>
    <w:rsid w:val="2D571778"/>
    <w:rsid w:val="2D58399A"/>
    <w:rsid w:val="2D69EE3C"/>
    <w:rsid w:val="2D6A1467"/>
    <w:rsid w:val="2D723071"/>
    <w:rsid w:val="2D7349EE"/>
    <w:rsid w:val="2D7546FE"/>
    <w:rsid w:val="2D75D5E0"/>
    <w:rsid w:val="2D82B003"/>
    <w:rsid w:val="2D8AB8D1"/>
    <w:rsid w:val="2D8FDCD7"/>
    <w:rsid w:val="2D972C0B"/>
    <w:rsid w:val="2D97A8A7"/>
    <w:rsid w:val="2D9DFB9C"/>
    <w:rsid w:val="2DA4F754"/>
    <w:rsid w:val="2DA7B0F2"/>
    <w:rsid w:val="2DAED44C"/>
    <w:rsid w:val="2DB44052"/>
    <w:rsid w:val="2DC37AE1"/>
    <w:rsid w:val="2DC5527F"/>
    <w:rsid w:val="2DCCFC87"/>
    <w:rsid w:val="2DD40910"/>
    <w:rsid w:val="2DE2F7D2"/>
    <w:rsid w:val="2DE409D6"/>
    <w:rsid w:val="2DF448D1"/>
    <w:rsid w:val="2DFAF1F9"/>
    <w:rsid w:val="2DFF6A65"/>
    <w:rsid w:val="2E04B634"/>
    <w:rsid w:val="2E053CF9"/>
    <w:rsid w:val="2E07FFF8"/>
    <w:rsid w:val="2E0A2F76"/>
    <w:rsid w:val="2E1074C9"/>
    <w:rsid w:val="2E1219AE"/>
    <w:rsid w:val="2E12CD52"/>
    <w:rsid w:val="2E17D4FF"/>
    <w:rsid w:val="2E1DA21F"/>
    <w:rsid w:val="2E31C914"/>
    <w:rsid w:val="2E338039"/>
    <w:rsid w:val="2E3B5F3F"/>
    <w:rsid w:val="2E42B36E"/>
    <w:rsid w:val="2E5322AE"/>
    <w:rsid w:val="2E54C680"/>
    <w:rsid w:val="2E5D9CB1"/>
    <w:rsid w:val="2E660481"/>
    <w:rsid w:val="2E70C767"/>
    <w:rsid w:val="2E7A5077"/>
    <w:rsid w:val="2E7EEC89"/>
    <w:rsid w:val="2E808213"/>
    <w:rsid w:val="2E82FED1"/>
    <w:rsid w:val="2E876913"/>
    <w:rsid w:val="2E8F3B89"/>
    <w:rsid w:val="2E929A04"/>
    <w:rsid w:val="2EAE72B4"/>
    <w:rsid w:val="2EB1E0FF"/>
    <w:rsid w:val="2ECF4A4B"/>
    <w:rsid w:val="2ED36926"/>
    <w:rsid w:val="2ED93AB2"/>
    <w:rsid w:val="2ED95924"/>
    <w:rsid w:val="2EDA9E8E"/>
    <w:rsid w:val="2EDF0356"/>
    <w:rsid w:val="2EE66665"/>
    <w:rsid w:val="2EF0151F"/>
    <w:rsid w:val="2EF1BF0E"/>
    <w:rsid w:val="2EFE3359"/>
    <w:rsid w:val="2F00A476"/>
    <w:rsid w:val="2F01FFB0"/>
    <w:rsid w:val="2F10F084"/>
    <w:rsid w:val="2F11D093"/>
    <w:rsid w:val="2F14ED0D"/>
    <w:rsid w:val="2F187ABD"/>
    <w:rsid w:val="2F22B2C5"/>
    <w:rsid w:val="2F2B2811"/>
    <w:rsid w:val="2F38D5AE"/>
    <w:rsid w:val="2F404513"/>
    <w:rsid w:val="2F41D566"/>
    <w:rsid w:val="2F5742AC"/>
    <w:rsid w:val="2F634E7F"/>
    <w:rsid w:val="2F694ADD"/>
    <w:rsid w:val="2F71A62D"/>
    <w:rsid w:val="2F72A37F"/>
    <w:rsid w:val="2F806B05"/>
    <w:rsid w:val="2F8546D7"/>
    <w:rsid w:val="2F866C2B"/>
    <w:rsid w:val="2F88149A"/>
    <w:rsid w:val="2F9F2068"/>
    <w:rsid w:val="2FA2C126"/>
    <w:rsid w:val="2FA585CC"/>
    <w:rsid w:val="2FA5997D"/>
    <w:rsid w:val="2FADA1D3"/>
    <w:rsid w:val="2FB553EF"/>
    <w:rsid w:val="2FBB20E8"/>
    <w:rsid w:val="2FC0D907"/>
    <w:rsid w:val="2FC4C03B"/>
    <w:rsid w:val="2FC70AF3"/>
    <w:rsid w:val="2FD8DBA7"/>
    <w:rsid w:val="2FDDCBDD"/>
    <w:rsid w:val="2FED5E6F"/>
    <w:rsid w:val="2FF1E0FA"/>
    <w:rsid w:val="2FF3B27F"/>
    <w:rsid w:val="300A2520"/>
    <w:rsid w:val="300AEE75"/>
    <w:rsid w:val="300BF136"/>
    <w:rsid w:val="3013BCF5"/>
    <w:rsid w:val="3018A58D"/>
    <w:rsid w:val="301A7DDE"/>
    <w:rsid w:val="3024BB0D"/>
    <w:rsid w:val="3025BC0E"/>
    <w:rsid w:val="30276B70"/>
    <w:rsid w:val="302A479C"/>
    <w:rsid w:val="302A7169"/>
    <w:rsid w:val="30358522"/>
    <w:rsid w:val="30396BFD"/>
    <w:rsid w:val="30474FD6"/>
    <w:rsid w:val="30567657"/>
    <w:rsid w:val="3057F16A"/>
    <w:rsid w:val="306D3D8C"/>
    <w:rsid w:val="30750CA8"/>
    <w:rsid w:val="30774C8E"/>
    <w:rsid w:val="30797FF2"/>
    <w:rsid w:val="307D0BA3"/>
    <w:rsid w:val="307E84DF"/>
    <w:rsid w:val="308A4C1F"/>
    <w:rsid w:val="30911234"/>
    <w:rsid w:val="309347D1"/>
    <w:rsid w:val="3098AFCF"/>
    <w:rsid w:val="309977CB"/>
    <w:rsid w:val="309DADAE"/>
    <w:rsid w:val="309F3CD7"/>
    <w:rsid w:val="30A86FB7"/>
    <w:rsid w:val="30AADC14"/>
    <w:rsid w:val="30AEE82E"/>
    <w:rsid w:val="30B4E094"/>
    <w:rsid w:val="30BD1480"/>
    <w:rsid w:val="30CCBD5B"/>
    <w:rsid w:val="30D503F5"/>
    <w:rsid w:val="30EC1462"/>
    <w:rsid w:val="30F1F2FD"/>
    <w:rsid w:val="30F810CF"/>
    <w:rsid w:val="30F94AFD"/>
    <w:rsid w:val="30FF3147"/>
    <w:rsid w:val="31073FEA"/>
    <w:rsid w:val="310A9BE8"/>
    <w:rsid w:val="31108A3F"/>
    <w:rsid w:val="3115F079"/>
    <w:rsid w:val="3118367E"/>
    <w:rsid w:val="3128CD43"/>
    <w:rsid w:val="3138304F"/>
    <w:rsid w:val="3138F69E"/>
    <w:rsid w:val="313CF698"/>
    <w:rsid w:val="31442F8A"/>
    <w:rsid w:val="3146CAD8"/>
    <w:rsid w:val="31538230"/>
    <w:rsid w:val="31576CB0"/>
    <w:rsid w:val="3159A67E"/>
    <w:rsid w:val="315E185E"/>
    <w:rsid w:val="316959A8"/>
    <w:rsid w:val="316D955A"/>
    <w:rsid w:val="316E4F6C"/>
    <w:rsid w:val="31719748"/>
    <w:rsid w:val="3175B685"/>
    <w:rsid w:val="31767C89"/>
    <w:rsid w:val="317AF835"/>
    <w:rsid w:val="3181D6C0"/>
    <w:rsid w:val="318AB33A"/>
    <w:rsid w:val="3194CF86"/>
    <w:rsid w:val="31A7D856"/>
    <w:rsid w:val="31ACD16C"/>
    <w:rsid w:val="31B94201"/>
    <w:rsid w:val="31C1ADB5"/>
    <w:rsid w:val="31E84E71"/>
    <w:rsid w:val="31F027FA"/>
    <w:rsid w:val="31F06DCD"/>
    <w:rsid w:val="31F6DDD1"/>
    <w:rsid w:val="32122EEF"/>
    <w:rsid w:val="32167B0C"/>
    <w:rsid w:val="32239ABD"/>
    <w:rsid w:val="322CBC40"/>
    <w:rsid w:val="322F4241"/>
    <w:rsid w:val="32351A67"/>
    <w:rsid w:val="323D4649"/>
    <w:rsid w:val="323E12AE"/>
    <w:rsid w:val="32577754"/>
    <w:rsid w:val="325AEAA8"/>
    <w:rsid w:val="325E3C5C"/>
    <w:rsid w:val="32698E08"/>
    <w:rsid w:val="3274D28E"/>
    <w:rsid w:val="327503E5"/>
    <w:rsid w:val="327D4D66"/>
    <w:rsid w:val="327E7378"/>
    <w:rsid w:val="3285D127"/>
    <w:rsid w:val="328C9D39"/>
    <w:rsid w:val="32923CC1"/>
    <w:rsid w:val="32A2446F"/>
    <w:rsid w:val="32A98EEA"/>
    <w:rsid w:val="32AC05BB"/>
    <w:rsid w:val="32B080E4"/>
    <w:rsid w:val="32B1C8B6"/>
    <w:rsid w:val="32B82DB0"/>
    <w:rsid w:val="32BDA6BD"/>
    <w:rsid w:val="32CD5167"/>
    <w:rsid w:val="32CFD220"/>
    <w:rsid w:val="32D2B4E1"/>
    <w:rsid w:val="32D6E0DD"/>
    <w:rsid w:val="32DC7A6B"/>
    <w:rsid w:val="32EFDBF2"/>
    <w:rsid w:val="32F1DC76"/>
    <w:rsid w:val="3302D9F5"/>
    <w:rsid w:val="3306FC0B"/>
    <w:rsid w:val="33162864"/>
    <w:rsid w:val="332407CE"/>
    <w:rsid w:val="332686D9"/>
    <w:rsid w:val="332A6D71"/>
    <w:rsid w:val="332E614C"/>
    <w:rsid w:val="3347E1F0"/>
    <w:rsid w:val="33567ED0"/>
    <w:rsid w:val="335C300E"/>
    <w:rsid w:val="33697EED"/>
    <w:rsid w:val="336AF675"/>
    <w:rsid w:val="336D2A02"/>
    <w:rsid w:val="3371023E"/>
    <w:rsid w:val="3377FB5B"/>
    <w:rsid w:val="337976B9"/>
    <w:rsid w:val="33862892"/>
    <w:rsid w:val="338B149A"/>
    <w:rsid w:val="338F98CF"/>
    <w:rsid w:val="3392A404"/>
    <w:rsid w:val="339EB730"/>
    <w:rsid w:val="33A23E62"/>
    <w:rsid w:val="33A8DEA2"/>
    <w:rsid w:val="33AA81DD"/>
    <w:rsid w:val="33AB8458"/>
    <w:rsid w:val="33AE228B"/>
    <w:rsid w:val="33AEF848"/>
    <w:rsid w:val="33B84988"/>
    <w:rsid w:val="33BD5D92"/>
    <w:rsid w:val="33C1707D"/>
    <w:rsid w:val="33D075F2"/>
    <w:rsid w:val="33DE6894"/>
    <w:rsid w:val="33E0BF9B"/>
    <w:rsid w:val="33E20717"/>
    <w:rsid w:val="33E83613"/>
    <w:rsid w:val="33F3492F"/>
    <w:rsid w:val="33FF6CA4"/>
    <w:rsid w:val="34032ACD"/>
    <w:rsid w:val="340471EC"/>
    <w:rsid w:val="340735D4"/>
    <w:rsid w:val="340B8F83"/>
    <w:rsid w:val="340C3267"/>
    <w:rsid w:val="341044DC"/>
    <w:rsid w:val="34144DA1"/>
    <w:rsid w:val="341DF05E"/>
    <w:rsid w:val="342D0137"/>
    <w:rsid w:val="34345B81"/>
    <w:rsid w:val="343920EC"/>
    <w:rsid w:val="344EB39D"/>
    <w:rsid w:val="34559DED"/>
    <w:rsid w:val="345B9044"/>
    <w:rsid w:val="345C38DB"/>
    <w:rsid w:val="3463639B"/>
    <w:rsid w:val="3466A08C"/>
    <w:rsid w:val="346AA403"/>
    <w:rsid w:val="346DC603"/>
    <w:rsid w:val="347D2FC9"/>
    <w:rsid w:val="3483EAA1"/>
    <w:rsid w:val="3484C046"/>
    <w:rsid w:val="3488692D"/>
    <w:rsid w:val="348DDB7E"/>
    <w:rsid w:val="348FFCD1"/>
    <w:rsid w:val="3490E68C"/>
    <w:rsid w:val="34925597"/>
    <w:rsid w:val="3492BBF6"/>
    <w:rsid w:val="3494974B"/>
    <w:rsid w:val="34961379"/>
    <w:rsid w:val="34A34EBB"/>
    <w:rsid w:val="34A7783F"/>
    <w:rsid w:val="34AF8603"/>
    <w:rsid w:val="34B1492E"/>
    <w:rsid w:val="34BA5B74"/>
    <w:rsid w:val="34BB2CD7"/>
    <w:rsid w:val="34C9C06A"/>
    <w:rsid w:val="34CEA2A4"/>
    <w:rsid w:val="34D6FACA"/>
    <w:rsid w:val="34EB9876"/>
    <w:rsid w:val="34F39F6A"/>
    <w:rsid w:val="351585BD"/>
    <w:rsid w:val="351B2A97"/>
    <w:rsid w:val="351F5AE4"/>
    <w:rsid w:val="351F6CB1"/>
    <w:rsid w:val="352A260B"/>
    <w:rsid w:val="3530A562"/>
    <w:rsid w:val="35335E89"/>
    <w:rsid w:val="356D4B4B"/>
    <w:rsid w:val="357009DF"/>
    <w:rsid w:val="3588868A"/>
    <w:rsid w:val="35A230C8"/>
    <w:rsid w:val="35B8EACA"/>
    <w:rsid w:val="35C30144"/>
    <w:rsid w:val="35CC0FCD"/>
    <w:rsid w:val="35E0E35F"/>
    <w:rsid w:val="35FD7E4A"/>
    <w:rsid w:val="35FF8E1E"/>
    <w:rsid w:val="360766C5"/>
    <w:rsid w:val="362B87FD"/>
    <w:rsid w:val="362C19A3"/>
    <w:rsid w:val="362C7A4D"/>
    <w:rsid w:val="362E5208"/>
    <w:rsid w:val="36310CC8"/>
    <w:rsid w:val="363B67F4"/>
    <w:rsid w:val="363DC64D"/>
    <w:rsid w:val="3640B021"/>
    <w:rsid w:val="36467124"/>
    <w:rsid w:val="3659A0FE"/>
    <w:rsid w:val="366C0AC2"/>
    <w:rsid w:val="3671538A"/>
    <w:rsid w:val="367F6733"/>
    <w:rsid w:val="36855F43"/>
    <w:rsid w:val="368ECBE5"/>
    <w:rsid w:val="369049A6"/>
    <w:rsid w:val="36904E76"/>
    <w:rsid w:val="369130A6"/>
    <w:rsid w:val="369260CF"/>
    <w:rsid w:val="36981BE9"/>
    <w:rsid w:val="369BFF08"/>
    <w:rsid w:val="369F6E27"/>
    <w:rsid w:val="36A0ED75"/>
    <w:rsid w:val="36A1E3DE"/>
    <w:rsid w:val="36A37E95"/>
    <w:rsid w:val="36A781A0"/>
    <w:rsid w:val="36B981F2"/>
    <w:rsid w:val="36C4FF29"/>
    <w:rsid w:val="36CDF257"/>
    <w:rsid w:val="36D4C042"/>
    <w:rsid w:val="36D6DA5D"/>
    <w:rsid w:val="36DB8020"/>
    <w:rsid w:val="36EE4CB6"/>
    <w:rsid w:val="36FFAF39"/>
    <w:rsid w:val="37145824"/>
    <w:rsid w:val="37173050"/>
    <w:rsid w:val="37180F05"/>
    <w:rsid w:val="372010AC"/>
    <w:rsid w:val="373079FC"/>
    <w:rsid w:val="373763CB"/>
    <w:rsid w:val="373A14EB"/>
    <w:rsid w:val="373BBBFE"/>
    <w:rsid w:val="374A6C11"/>
    <w:rsid w:val="3753BCE5"/>
    <w:rsid w:val="375D04C7"/>
    <w:rsid w:val="37658DB6"/>
    <w:rsid w:val="3769991A"/>
    <w:rsid w:val="37855129"/>
    <w:rsid w:val="3788DFC3"/>
    <w:rsid w:val="378B9EE4"/>
    <w:rsid w:val="378D244E"/>
    <w:rsid w:val="379F5CC0"/>
    <w:rsid w:val="37A544DE"/>
    <w:rsid w:val="37B1DD08"/>
    <w:rsid w:val="37B41973"/>
    <w:rsid w:val="37D3361D"/>
    <w:rsid w:val="37D751DD"/>
    <w:rsid w:val="37E11F09"/>
    <w:rsid w:val="37E7058E"/>
    <w:rsid w:val="37F9CA20"/>
    <w:rsid w:val="37FBB7FE"/>
    <w:rsid w:val="37FC76F6"/>
    <w:rsid w:val="37FD523A"/>
    <w:rsid w:val="380983FB"/>
    <w:rsid w:val="38180184"/>
    <w:rsid w:val="381F846B"/>
    <w:rsid w:val="382C68D9"/>
    <w:rsid w:val="383812CF"/>
    <w:rsid w:val="383F31E1"/>
    <w:rsid w:val="38452320"/>
    <w:rsid w:val="384A6FBB"/>
    <w:rsid w:val="38518DFA"/>
    <w:rsid w:val="38520C74"/>
    <w:rsid w:val="385585BF"/>
    <w:rsid w:val="385EECCF"/>
    <w:rsid w:val="3863B9AD"/>
    <w:rsid w:val="3865331E"/>
    <w:rsid w:val="3866BB47"/>
    <w:rsid w:val="386C19FC"/>
    <w:rsid w:val="3876BD26"/>
    <w:rsid w:val="388210BD"/>
    <w:rsid w:val="389449CD"/>
    <w:rsid w:val="3897CA13"/>
    <w:rsid w:val="3898F58F"/>
    <w:rsid w:val="3899B116"/>
    <w:rsid w:val="38B75DCF"/>
    <w:rsid w:val="38B7B211"/>
    <w:rsid w:val="38B88E87"/>
    <w:rsid w:val="38B959A5"/>
    <w:rsid w:val="38C74610"/>
    <w:rsid w:val="38CC9C7E"/>
    <w:rsid w:val="38CC9F91"/>
    <w:rsid w:val="38CF50E4"/>
    <w:rsid w:val="38CFE4EB"/>
    <w:rsid w:val="38E16CD1"/>
    <w:rsid w:val="38E751A2"/>
    <w:rsid w:val="38EE4C15"/>
    <w:rsid w:val="391A8095"/>
    <w:rsid w:val="392A9FD3"/>
    <w:rsid w:val="39515062"/>
    <w:rsid w:val="395DF346"/>
    <w:rsid w:val="39670F31"/>
    <w:rsid w:val="3975369C"/>
    <w:rsid w:val="3976A272"/>
    <w:rsid w:val="397A7C3A"/>
    <w:rsid w:val="39818F10"/>
    <w:rsid w:val="398C0652"/>
    <w:rsid w:val="39923E61"/>
    <w:rsid w:val="399A6813"/>
    <w:rsid w:val="39A34BB7"/>
    <w:rsid w:val="39B1CCD0"/>
    <w:rsid w:val="39CC046A"/>
    <w:rsid w:val="39CD1E5F"/>
    <w:rsid w:val="39CFDFD5"/>
    <w:rsid w:val="39D9A456"/>
    <w:rsid w:val="39DA3836"/>
    <w:rsid w:val="39DC856A"/>
    <w:rsid w:val="39E86FA2"/>
    <w:rsid w:val="39EDE6F1"/>
    <w:rsid w:val="39F0722B"/>
    <w:rsid w:val="39FC638B"/>
    <w:rsid w:val="3A03CFF2"/>
    <w:rsid w:val="3A08E5B8"/>
    <w:rsid w:val="3A09EBDF"/>
    <w:rsid w:val="3A0B2CE4"/>
    <w:rsid w:val="3A0C65E6"/>
    <w:rsid w:val="3A0D7D9F"/>
    <w:rsid w:val="3A24154B"/>
    <w:rsid w:val="3A3378FC"/>
    <w:rsid w:val="3A3D704C"/>
    <w:rsid w:val="3A3F3DC9"/>
    <w:rsid w:val="3A43F3B3"/>
    <w:rsid w:val="3A448FD1"/>
    <w:rsid w:val="3A48700C"/>
    <w:rsid w:val="3A4FF794"/>
    <w:rsid w:val="3A5477E6"/>
    <w:rsid w:val="3A6C7045"/>
    <w:rsid w:val="3A78BEC2"/>
    <w:rsid w:val="3A8DCC17"/>
    <w:rsid w:val="3A8F85DF"/>
    <w:rsid w:val="3A9E2663"/>
    <w:rsid w:val="3AACA03E"/>
    <w:rsid w:val="3AB09350"/>
    <w:rsid w:val="3ABFF819"/>
    <w:rsid w:val="3ADD7B52"/>
    <w:rsid w:val="3ADE70D5"/>
    <w:rsid w:val="3AE07278"/>
    <w:rsid w:val="3AF49212"/>
    <w:rsid w:val="3AF4CC98"/>
    <w:rsid w:val="3AF7EDCD"/>
    <w:rsid w:val="3B01B288"/>
    <w:rsid w:val="3B07849A"/>
    <w:rsid w:val="3B13F366"/>
    <w:rsid w:val="3B1597B9"/>
    <w:rsid w:val="3B16267E"/>
    <w:rsid w:val="3B16FC2F"/>
    <w:rsid w:val="3B1AEE94"/>
    <w:rsid w:val="3B1F32C8"/>
    <w:rsid w:val="3B21D5E9"/>
    <w:rsid w:val="3B272B7D"/>
    <w:rsid w:val="3B2BC3AF"/>
    <w:rsid w:val="3B45C18F"/>
    <w:rsid w:val="3B486090"/>
    <w:rsid w:val="3B50FBC5"/>
    <w:rsid w:val="3B529E8E"/>
    <w:rsid w:val="3B5A81E3"/>
    <w:rsid w:val="3B5AD32D"/>
    <w:rsid w:val="3B5B429C"/>
    <w:rsid w:val="3B5BB5CF"/>
    <w:rsid w:val="3B61AFA1"/>
    <w:rsid w:val="3B6DA7FE"/>
    <w:rsid w:val="3B701E35"/>
    <w:rsid w:val="3B8F1F2F"/>
    <w:rsid w:val="3B8FD456"/>
    <w:rsid w:val="3B9005AE"/>
    <w:rsid w:val="3BA12306"/>
    <w:rsid w:val="3BA2DB3C"/>
    <w:rsid w:val="3BAF34A4"/>
    <w:rsid w:val="3BBB601B"/>
    <w:rsid w:val="3BCB4100"/>
    <w:rsid w:val="3BD63A6F"/>
    <w:rsid w:val="3BDBC4F1"/>
    <w:rsid w:val="3BE25522"/>
    <w:rsid w:val="3BE36712"/>
    <w:rsid w:val="3BE3D90E"/>
    <w:rsid w:val="3BE4C7A8"/>
    <w:rsid w:val="3BE9C31C"/>
    <w:rsid w:val="3BF5D0D9"/>
    <w:rsid w:val="3BF87B71"/>
    <w:rsid w:val="3BFFADAF"/>
    <w:rsid w:val="3C0245C4"/>
    <w:rsid w:val="3C072920"/>
    <w:rsid w:val="3C0E6FBF"/>
    <w:rsid w:val="3C1D0AD8"/>
    <w:rsid w:val="3C35078E"/>
    <w:rsid w:val="3C362C8D"/>
    <w:rsid w:val="3C3A7B39"/>
    <w:rsid w:val="3C40A6DA"/>
    <w:rsid w:val="3C498BE2"/>
    <w:rsid w:val="3C548120"/>
    <w:rsid w:val="3C5A56F4"/>
    <w:rsid w:val="3C67F0B7"/>
    <w:rsid w:val="3C695862"/>
    <w:rsid w:val="3C6AFCCA"/>
    <w:rsid w:val="3C72CE63"/>
    <w:rsid w:val="3C79A32E"/>
    <w:rsid w:val="3C7D4637"/>
    <w:rsid w:val="3C7EB28E"/>
    <w:rsid w:val="3C7FF9D6"/>
    <w:rsid w:val="3C831111"/>
    <w:rsid w:val="3C91ADA5"/>
    <w:rsid w:val="3C94A32C"/>
    <w:rsid w:val="3C9539DB"/>
    <w:rsid w:val="3C956CAC"/>
    <w:rsid w:val="3C9C625A"/>
    <w:rsid w:val="3CA61440"/>
    <w:rsid w:val="3CB1681A"/>
    <w:rsid w:val="3CB3364F"/>
    <w:rsid w:val="3CB91A2F"/>
    <w:rsid w:val="3CBD8E63"/>
    <w:rsid w:val="3CC49F06"/>
    <w:rsid w:val="3CCBB87A"/>
    <w:rsid w:val="3CCCF41B"/>
    <w:rsid w:val="3CCF9372"/>
    <w:rsid w:val="3CD1218F"/>
    <w:rsid w:val="3CD250D5"/>
    <w:rsid w:val="3CD2F8EB"/>
    <w:rsid w:val="3CD3D659"/>
    <w:rsid w:val="3CD8AAED"/>
    <w:rsid w:val="3CDB0214"/>
    <w:rsid w:val="3CF3A9E5"/>
    <w:rsid w:val="3CF52A27"/>
    <w:rsid w:val="3CFC312B"/>
    <w:rsid w:val="3CFF80A3"/>
    <w:rsid w:val="3D067B54"/>
    <w:rsid w:val="3D169DA1"/>
    <w:rsid w:val="3D1E31A5"/>
    <w:rsid w:val="3D21DC23"/>
    <w:rsid w:val="3D2784D7"/>
    <w:rsid w:val="3D2EBA32"/>
    <w:rsid w:val="3D33F7DA"/>
    <w:rsid w:val="3D3F4DE7"/>
    <w:rsid w:val="3D4717D3"/>
    <w:rsid w:val="3D4DF50B"/>
    <w:rsid w:val="3D51DB18"/>
    <w:rsid w:val="3D555483"/>
    <w:rsid w:val="3D58A03A"/>
    <w:rsid w:val="3D5F330B"/>
    <w:rsid w:val="3D769960"/>
    <w:rsid w:val="3D84A19D"/>
    <w:rsid w:val="3D9544FC"/>
    <w:rsid w:val="3DA1F25A"/>
    <w:rsid w:val="3DAB6DD9"/>
    <w:rsid w:val="3DAF34E5"/>
    <w:rsid w:val="3DB09988"/>
    <w:rsid w:val="3DB9A288"/>
    <w:rsid w:val="3DC712A5"/>
    <w:rsid w:val="3DD5FDB7"/>
    <w:rsid w:val="3DD7AADA"/>
    <w:rsid w:val="3DE343F5"/>
    <w:rsid w:val="3DF067AA"/>
    <w:rsid w:val="3DF87708"/>
    <w:rsid w:val="3E001238"/>
    <w:rsid w:val="3E04547F"/>
    <w:rsid w:val="3E04C1F8"/>
    <w:rsid w:val="3E0D272A"/>
    <w:rsid w:val="3E12E6B9"/>
    <w:rsid w:val="3E17F2F8"/>
    <w:rsid w:val="3E18E91A"/>
    <w:rsid w:val="3E207597"/>
    <w:rsid w:val="3E226D55"/>
    <w:rsid w:val="3E232F6F"/>
    <w:rsid w:val="3E25E7E9"/>
    <w:rsid w:val="3E2BE670"/>
    <w:rsid w:val="3E2C9FA5"/>
    <w:rsid w:val="3E3ED0C5"/>
    <w:rsid w:val="3E4763E3"/>
    <w:rsid w:val="3E4840D6"/>
    <w:rsid w:val="3E4DCB58"/>
    <w:rsid w:val="3E542A5C"/>
    <w:rsid w:val="3EA15048"/>
    <w:rsid w:val="3EB0A13F"/>
    <w:rsid w:val="3EB9A60E"/>
    <w:rsid w:val="3EBCDCE7"/>
    <w:rsid w:val="3EBD798A"/>
    <w:rsid w:val="3EC05A79"/>
    <w:rsid w:val="3ED172DD"/>
    <w:rsid w:val="3ED2F210"/>
    <w:rsid w:val="3EDF2D04"/>
    <w:rsid w:val="3EEDE4D6"/>
    <w:rsid w:val="3EEF221E"/>
    <w:rsid w:val="3EF26C55"/>
    <w:rsid w:val="3EF7588E"/>
    <w:rsid w:val="3EF8482D"/>
    <w:rsid w:val="3EFFC61C"/>
    <w:rsid w:val="3EFFF64D"/>
    <w:rsid w:val="3F05AF5E"/>
    <w:rsid w:val="3F125728"/>
    <w:rsid w:val="3F12E6BA"/>
    <w:rsid w:val="3F13E285"/>
    <w:rsid w:val="3F14DDF2"/>
    <w:rsid w:val="3F16F22F"/>
    <w:rsid w:val="3F190D7B"/>
    <w:rsid w:val="3F260688"/>
    <w:rsid w:val="3F2DE295"/>
    <w:rsid w:val="3F2E8728"/>
    <w:rsid w:val="3F3997A1"/>
    <w:rsid w:val="3F483395"/>
    <w:rsid w:val="3F4885B6"/>
    <w:rsid w:val="3F4AA986"/>
    <w:rsid w:val="3F4D70BE"/>
    <w:rsid w:val="3F535BE9"/>
    <w:rsid w:val="3F5F1449"/>
    <w:rsid w:val="3F63CB28"/>
    <w:rsid w:val="3F64FD38"/>
    <w:rsid w:val="3F746B25"/>
    <w:rsid w:val="3F7C637E"/>
    <w:rsid w:val="3F81FA72"/>
    <w:rsid w:val="3F8FBDCC"/>
    <w:rsid w:val="3F93554E"/>
    <w:rsid w:val="3F970B36"/>
    <w:rsid w:val="3FA0EEFC"/>
    <w:rsid w:val="3FA46320"/>
    <w:rsid w:val="3FA6B947"/>
    <w:rsid w:val="3FAD0CA2"/>
    <w:rsid w:val="3FAE015F"/>
    <w:rsid w:val="3FB9C178"/>
    <w:rsid w:val="3FBBAD2A"/>
    <w:rsid w:val="3FBD53E5"/>
    <w:rsid w:val="3FD1559D"/>
    <w:rsid w:val="3FF1C9E8"/>
    <w:rsid w:val="4001F08F"/>
    <w:rsid w:val="40021B27"/>
    <w:rsid w:val="4009D267"/>
    <w:rsid w:val="4011B976"/>
    <w:rsid w:val="40132523"/>
    <w:rsid w:val="40153EB0"/>
    <w:rsid w:val="4021435A"/>
    <w:rsid w:val="4027E58D"/>
    <w:rsid w:val="40319EC1"/>
    <w:rsid w:val="403B3D2B"/>
    <w:rsid w:val="403E88C9"/>
    <w:rsid w:val="4044123D"/>
    <w:rsid w:val="404F8CBA"/>
    <w:rsid w:val="4050E90D"/>
    <w:rsid w:val="4056CF81"/>
    <w:rsid w:val="405F6AE3"/>
    <w:rsid w:val="40643A14"/>
    <w:rsid w:val="406C826D"/>
    <w:rsid w:val="407A24A8"/>
    <w:rsid w:val="408B8FE5"/>
    <w:rsid w:val="4091FDDA"/>
    <w:rsid w:val="40AD3483"/>
    <w:rsid w:val="40AF2758"/>
    <w:rsid w:val="40B5C54F"/>
    <w:rsid w:val="40B78820"/>
    <w:rsid w:val="40BD089C"/>
    <w:rsid w:val="40C464A4"/>
    <w:rsid w:val="40EEBADD"/>
    <w:rsid w:val="40F254E1"/>
    <w:rsid w:val="40F8B93F"/>
    <w:rsid w:val="4103C5AA"/>
    <w:rsid w:val="410BE136"/>
    <w:rsid w:val="411735E4"/>
    <w:rsid w:val="411AB273"/>
    <w:rsid w:val="4120A3A8"/>
    <w:rsid w:val="412C336F"/>
    <w:rsid w:val="412D9546"/>
    <w:rsid w:val="41345B68"/>
    <w:rsid w:val="413BE6CB"/>
    <w:rsid w:val="41458A0B"/>
    <w:rsid w:val="414C1C4E"/>
    <w:rsid w:val="416053CF"/>
    <w:rsid w:val="4161ED20"/>
    <w:rsid w:val="41643F6D"/>
    <w:rsid w:val="4166B22C"/>
    <w:rsid w:val="41762E35"/>
    <w:rsid w:val="41850EC0"/>
    <w:rsid w:val="419F6818"/>
    <w:rsid w:val="41A06DC2"/>
    <w:rsid w:val="41A3BEBC"/>
    <w:rsid w:val="41AADEC9"/>
    <w:rsid w:val="41BC6B73"/>
    <w:rsid w:val="41C4D9B5"/>
    <w:rsid w:val="41C81D07"/>
    <w:rsid w:val="41D335ED"/>
    <w:rsid w:val="41E736D9"/>
    <w:rsid w:val="41EF8236"/>
    <w:rsid w:val="41F5DD2F"/>
    <w:rsid w:val="41FF713E"/>
    <w:rsid w:val="4201D496"/>
    <w:rsid w:val="4210138B"/>
    <w:rsid w:val="42119F5A"/>
    <w:rsid w:val="42173956"/>
    <w:rsid w:val="421D1A75"/>
    <w:rsid w:val="42215631"/>
    <w:rsid w:val="42368A8D"/>
    <w:rsid w:val="423B2A0B"/>
    <w:rsid w:val="423DE261"/>
    <w:rsid w:val="42414004"/>
    <w:rsid w:val="424C343F"/>
    <w:rsid w:val="426035ED"/>
    <w:rsid w:val="42647A4F"/>
    <w:rsid w:val="42696B21"/>
    <w:rsid w:val="427294B9"/>
    <w:rsid w:val="42734FB5"/>
    <w:rsid w:val="42742876"/>
    <w:rsid w:val="428A2807"/>
    <w:rsid w:val="428F585E"/>
    <w:rsid w:val="42A1130B"/>
    <w:rsid w:val="42A8E671"/>
    <w:rsid w:val="42AC95C5"/>
    <w:rsid w:val="42B41202"/>
    <w:rsid w:val="42BE7448"/>
    <w:rsid w:val="42C07D97"/>
    <w:rsid w:val="42C5D666"/>
    <w:rsid w:val="42CDB359"/>
    <w:rsid w:val="42D711EB"/>
    <w:rsid w:val="42EF4108"/>
    <w:rsid w:val="42F017B9"/>
    <w:rsid w:val="42FFA31C"/>
    <w:rsid w:val="4302C93A"/>
    <w:rsid w:val="43087D60"/>
    <w:rsid w:val="430947C2"/>
    <w:rsid w:val="430D0E6A"/>
    <w:rsid w:val="4310CD03"/>
    <w:rsid w:val="4311B574"/>
    <w:rsid w:val="4318E504"/>
    <w:rsid w:val="4319867A"/>
    <w:rsid w:val="431E1B35"/>
    <w:rsid w:val="4326CFA1"/>
    <w:rsid w:val="4336251B"/>
    <w:rsid w:val="433AB554"/>
    <w:rsid w:val="433F65F2"/>
    <w:rsid w:val="43487FF9"/>
    <w:rsid w:val="43533EF3"/>
    <w:rsid w:val="435B5FF3"/>
    <w:rsid w:val="435EC597"/>
    <w:rsid w:val="4360F48F"/>
    <w:rsid w:val="436519BB"/>
    <w:rsid w:val="43660577"/>
    <w:rsid w:val="4368FDCA"/>
    <w:rsid w:val="436CC67C"/>
    <w:rsid w:val="4371E799"/>
    <w:rsid w:val="43727202"/>
    <w:rsid w:val="4376FC6D"/>
    <w:rsid w:val="437DC642"/>
    <w:rsid w:val="4381994A"/>
    <w:rsid w:val="4386E116"/>
    <w:rsid w:val="438D43EC"/>
    <w:rsid w:val="438ED9A3"/>
    <w:rsid w:val="4391303F"/>
    <w:rsid w:val="43922613"/>
    <w:rsid w:val="43A28936"/>
    <w:rsid w:val="43A69843"/>
    <w:rsid w:val="43AE9936"/>
    <w:rsid w:val="43AF7B6B"/>
    <w:rsid w:val="43B2A126"/>
    <w:rsid w:val="43C13E23"/>
    <w:rsid w:val="43D4A2EE"/>
    <w:rsid w:val="43D4DD44"/>
    <w:rsid w:val="43D75C69"/>
    <w:rsid w:val="43F76842"/>
    <w:rsid w:val="4401D8C1"/>
    <w:rsid w:val="440D53B2"/>
    <w:rsid w:val="441085F8"/>
    <w:rsid w:val="4411FF80"/>
    <w:rsid w:val="44148B55"/>
    <w:rsid w:val="441B988F"/>
    <w:rsid w:val="4431436E"/>
    <w:rsid w:val="443DB84D"/>
    <w:rsid w:val="443E3BB5"/>
    <w:rsid w:val="443EC736"/>
    <w:rsid w:val="44410E99"/>
    <w:rsid w:val="44473B4E"/>
    <w:rsid w:val="444C9DA8"/>
    <w:rsid w:val="444E4894"/>
    <w:rsid w:val="445161B5"/>
    <w:rsid w:val="44561A27"/>
    <w:rsid w:val="4462A93F"/>
    <w:rsid w:val="4467C463"/>
    <w:rsid w:val="446ECC55"/>
    <w:rsid w:val="4473A45B"/>
    <w:rsid w:val="44798EAE"/>
    <w:rsid w:val="4481A979"/>
    <w:rsid w:val="448A3483"/>
    <w:rsid w:val="4491125B"/>
    <w:rsid w:val="44964B05"/>
    <w:rsid w:val="44B47316"/>
    <w:rsid w:val="44B67B33"/>
    <w:rsid w:val="44BCAF82"/>
    <w:rsid w:val="44BF4FE6"/>
    <w:rsid w:val="44C6A323"/>
    <w:rsid w:val="44CC1271"/>
    <w:rsid w:val="44D5023C"/>
    <w:rsid w:val="44DF38C2"/>
    <w:rsid w:val="44DFE619"/>
    <w:rsid w:val="44E11AD5"/>
    <w:rsid w:val="44E11B02"/>
    <w:rsid w:val="44E31D71"/>
    <w:rsid w:val="44E91145"/>
    <w:rsid w:val="44F351B5"/>
    <w:rsid w:val="44F41DEA"/>
    <w:rsid w:val="44F7CADB"/>
    <w:rsid w:val="45024AB9"/>
    <w:rsid w:val="450649A0"/>
    <w:rsid w:val="4513741C"/>
    <w:rsid w:val="4515671C"/>
    <w:rsid w:val="45283601"/>
    <w:rsid w:val="45293D7F"/>
    <w:rsid w:val="452EBA7B"/>
    <w:rsid w:val="4535F529"/>
    <w:rsid w:val="453E6DD5"/>
    <w:rsid w:val="45532131"/>
    <w:rsid w:val="45588BD6"/>
    <w:rsid w:val="456C05AD"/>
    <w:rsid w:val="4574DBA5"/>
    <w:rsid w:val="45903308"/>
    <w:rsid w:val="45950645"/>
    <w:rsid w:val="45978826"/>
    <w:rsid w:val="45995E45"/>
    <w:rsid w:val="459AAF32"/>
    <w:rsid w:val="45A5CD40"/>
    <w:rsid w:val="45B408A5"/>
    <w:rsid w:val="45B98DF0"/>
    <w:rsid w:val="45BC0093"/>
    <w:rsid w:val="45CFA759"/>
    <w:rsid w:val="45D07B57"/>
    <w:rsid w:val="45E983B1"/>
    <w:rsid w:val="45F080E9"/>
    <w:rsid w:val="45FAF66C"/>
    <w:rsid w:val="46005B0C"/>
    <w:rsid w:val="4609BE76"/>
    <w:rsid w:val="460B6519"/>
    <w:rsid w:val="460FAD42"/>
    <w:rsid w:val="46220FA2"/>
    <w:rsid w:val="4624B9E9"/>
    <w:rsid w:val="46282C2E"/>
    <w:rsid w:val="463B2931"/>
    <w:rsid w:val="46471B89"/>
    <w:rsid w:val="465FB2D3"/>
    <w:rsid w:val="4664A8CA"/>
    <w:rsid w:val="4666213B"/>
    <w:rsid w:val="468645C2"/>
    <w:rsid w:val="4694BA6B"/>
    <w:rsid w:val="469BEBA6"/>
    <w:rsid w:val="46A3A69B"/>
    <w:rsid w:val="46A3B9B7"/>
    <w:rsid w:val="46A6C2C3"/>
    <w:rsid w:val="46A84978"/>
    <w:rsid w:val="46AB6D6B"/>
    <w:rsid w:val="46AE1A11"/>
    <w:rsid w:val="46B11861"/>
    <w:rsid w:val="46B22904"/>
    <w:rsid w:val="46B3742B"/>
    <w:rsid w:val="46B88389"/>
    <w:rsid w:val="46BEE428"/>
    <w:rsid w:val="46CF5207"/>
    <w:rsid w:val="46E10820"/>
    <w:rsid w:val="46E7B051"/>
    <w:rsid w:val="46EC4559"/>
    <w:rsid w:val="46ED77C7"/>
    <w:rsid w:val="46F31070"/>
    <w:rsid w:val="46F7379A"/>
    <w:rsid w:val="47087AD7"/>
    <w:rsid w:val="470B19AC"/>
    <w:rsid w:val="470BB6C8"/>
    <w:rsid w:val="47213AF9"/>
    <w:rsid w:val="4724A2DF"/>
    <w:rsid w:val="472FF05A"/>
    <w:rsid w:val="4731A539"/>
    <w:rsid w:val="473FC37A"/>
    <w:rsid w:val="4741B996"/>
    <w:rsid w:val="4744367F"/>
    <w:rsid w:val="4746334E"/>
    <w:rsid w:val="474787D1"/>
    <w:rsid w:val="474A206A"/>
    <w:rsid w:val="4754FA1E"/>
    <w:rsid w:val="47594A0D"/>
    <w:rsid w:val="47667BD3"/>
    <w:rsid w:val="476C2567"/>
    <w:rsid w:val="4772C446"/>
    <w:rsid w:val="47845411"/>
    <w:rsid w:val="478A3E7C"/>
    <w:rsid w:val="478EA4A4"/>
    <w:rsid w:val="47901B7B"/>
    <w:rsid w:val="4792F46E"/>
    <w:rsid w:val="479E335B"/>
    <w:rsid w:val="47AFEB4B"/>
    <w:rsid w:val="47DFF570"/>
    <w:rsid w:val="47EAF884"/>
    <w:rsid w:val="47ECBB92"/>
    <w:rsid w:val="47EF1E1A"/>
    <w:rsid w:val="47FAAE9F"/>
    <w:rsid w:val="48020CF1"/>
    <w:rsid w:val="48138062"/>
    <w:rsid w:val="48162498"/>
    <w:rsid w:val="48170F1B"/>
    <w:rsid w:val="481C8855"/>
    <w:rsid w:val="482CA18C"/>
    <w:rsid w:val="483924E9"/>
    <w:rsid w:val="483CE16C"/>
    <w:rsid w:val="484242A1"/>
    <w:rsid w:val="4847764E"/>
    <w:rsid w:val="4848D215"/>
    <w:rsid w:val="484FDC41"/>
    <w:rsid w:val="4853C430"/>
    <w:rsid w:val="485E2B32"/>
    <w:rsid w:val="4866869A"/>
    <w:rsid w:val="486C6FB5"/>
    <w:rsid w:val="487ACDF8"/>
    <w:rsid w:val="488B7334"/>
    <w:rsid w:val="4892D130"/>
    <w:rsid w:val="48945FB8"/>
    <w:rsid w:val="48A4EFD9"/>
    <w:rsid w:val="48C6BE4D"/>
    <w:rsid w:val="48CC858D"/>
    <w:rsid w:val="48CED660"/>
    <w:rsid w:val="48D2BC44"/>
    <w:rsid w:val="48D76C44"/>
    <w:rsid w:val="48D9CAA2"/>
    <w:rsid w:val="48E46C68"/>
    <w:rsid w:val="48EBA8D7"/>
    <w:rsid w:val="48F1EE1E"/>
    <w:rsid w:val="48F65182"/>
    <w:rsid w:val="48F89689"/>
    <w:rsid w:val="48FB5C0A"/>
    <w:rsid w:val="48FDCAA4"/>
    <w:rsid w:val="490530DD"/>
    <w:rsid w:val="491019DA"/>
    <w:rsid w:val="491F7DE3"/>
    <w:rsid w:val="492742CC"/>
    <w:rsid w:val="492BC6FF"/>
    <w:rsid w:val="492CE4D1"/>
    <w:rsid w:val="492DC992"/>
    <w:rsid w:val="49350217"/>
    <w:rsid w:val="49415FD2"/>
    <w:rsid w:val="4946F976"/>
    <w:rsid w:val="4952D7B8"/>
    <w:rsid w:val="495C41CB"/>
    <w:rsid w:val="495E5F3D"/>
    <w:rsid w:val="4984D120"/>
    <w:rsid w:val="49853201"/>
    <w:rsid w:val="49988795"/>
    <w:rsid w:val="499C7E5B"/>
    <w:rsid w:val="499FFAB9"/>
    <w:rsid w:val="49A3F049"/>
    <w:rsid w:val="49B144A1"/>
    <w:rsid w:val="49B7CECE"/>
    <w:rsid w:val="49B83C06"/>
    <w:rsid w:val="49BE28AA"/>
    <w:rsid w:val="49CDD44A"/>
    <w:rsid w:val="49DCB192"/>
    <w:rsid w:val="49EF7588"/>
    <w:rsid w:val="49EFA778"/>
    <w:rsid w:val="49F119CE"/>
    <w:rsid w:val="49F4528F"/>
    <w:rsid w:val="49F46614"/>
    <w:rsid w:val="4A0266AC"/>
    <w:rsid w:val="4A03F770"/>
    <w:rsid w:val="4A13B5D8"/>
    <w:rsid w:val="4A190B2B"/>
    <w:rsid w:val="4A22883F"/>
    <w:rsid w:val="4A27BDF3"/>
    <w:rsid w:val="4A300C1E"/>
    <w:rsid w:val="4A3032F7"/>
    <w:rsid w:val="4A3053F0"/>
    <w:rsid w:val="4A3CC19D"/>
    <w:rsid w:val="4A429E74"/>
    <w:rsid w:val="4A5AC434"/>
    <w:rsid w:val="4A6BFBF4"/>
    <w:rsid w:val="4A6D3B73"/>
    <w:rsid w:val="4A76EF37"/>
    <w:rsid w:val="4A7B7080"/>
    <w:rsid w:val="4A804F70"/>
    <w:rsid w:val="4A879A47"/>
    <w:rsid w:val="4A884D56"/>
    <w:rsid w:val="4A91FC6C"/>
    <w:rsid w:val="4A9CE713"/>
    <w:rsid w:val="4AB00739"/>
    <w:rsid w:val="4AB1F76C"/>
    <w:rsid w:val="4AC27F64"/>
    <w:rsid w:val="4AC7783C"/>
    <w:rsid w:val="4ACC7EE8"/>
    <w:rsid w:val="4ACE2A40"/>
    <w:rsid w:val="4AD2B8E5"/>
    <w:rsid w:val="4AD4C79E"/>
    <w:rsid w:val="4ADD767D"/>
    <w:rsid w:val="4AE6D26D"/>
    <w:rsid w:val="4AF00F71"/>
    <w:rsid w:val="4B00FA26"/>
    <w:rsid w:val="4B031597"/>
    <w:rsid w:val="4B032FB4"/>
    <w:rsid w:val="4B0DF9AD"/>
    <w:rsid w:val="4B1EB96F"/>
    <w:rsid w:val="4B23D1AA"/>
    <w:rsid w:val="4B281EF2"/>
    <w:rsid w:val="4B2FC48F"/>
    <w:rsid w:val="4B31209D"/>
    <w:rsid w:val="4B366ADB"/>
    <w:rsid w:val="4B3DE67E"/>
    <w:rsid w:val="4B41FF2E"/>
    <w:rsid w:val="4B44E3F9"/>
    <w:rsid w:val="4B53373A"/>
    <w:rsid w:val="4B582D39"/>
    <w:rsid w:val="4B676324"/>
    <w:rsid w:val="4B6A6EF4"/>
    <w:rsid w:val="4B6B68FD"/>
    <w:rsid w:val="4B6B8A77"/>
    <w:rsid w:val="4B6F0B2C"/>
    <w:rsid w:val="4B718108"/>
    <w:rsid w:val="4B719D0C"/>
    <w:rsid w:val="4B8E357A"/>
    <w:rsid w:val="4B8ED526"/>
    <w:rsid w:val="4B985CA6"/>
    <w:rsid w:val="4B9A9FED"/>
    <w:rsid w:val="4B9EDB28"/>
    <w:rsid w:val="4BAEE308"/>
    <w:rsid w:val="4BAF6294"/>
    <w:rsid w:val="4BB64643"/>
    <w:rsid w:val="4BB98AB6"/>
    <w:rsid w:val="4BCE5B70"/>
    <w:rsid w:val="4BCFC6F1"/>
    <w:rsid w:val="4BDE6938"/>
    <w:rsid w:val="4BDF9041"/>
    <w:rsid w:val="4BE16737"/>
    <w:rsid w:val="4BEEF41B"/>
    <w:rsid w:val="4BFFF9CC"/>
    <w:rsid w:val="4C0297CF"/>
    <w:rsid w:val="4C08761E"/>
    <w:rsid w:val="4C0C5282"/>
    <w:rsid w:val="4C0EB517"/>
    <w:rsid w:val="4C0F0181"/>
    <w:rsid w:val="4C110587"/>
    <w:rsid w:val="4C1275B1"/>
    <w:rsid w:val="4C245C5E"/>
    <w:rsid w:val="4C27B02F"/>
    <w:rsid w:val="4C295E65"/>
    <w:rsid w:val="4C30492C"/>
    <w:rsid w:val="4C32903D"/>
    <w:rsid w:val="4C39048D"/>
    <w:rsid w:val="4C44E342"/>
    <w:rsid w:val="4C4B0E37"/>
    <w:rsid w:val="4C4D3827"/>
    <w:rsid w:val="4C50E576"/>
    <w:rsid w:val="4C528C1F"/>
    <w:rsid w:val="4C54BC5D"/>
    <w:rsid w:val="4C5D3F2A"/>
    <w:rsid w:val="4C605BBF"/>
    <w:rsid w:val="4C60CE37"/>
    <w:rsid w:val="4C640621"/>
    <w:rsid w:val="4C64C6C8"/>
    <w:rsid w:val="4C6B59D1"/>
    <w:rsid w:val="4C6D526C"/>
    <w:rsid w:val="4C78C1F2"/>
    <w:rsid w:val="4C83FC5F"/>
    <w:rsid w:val="4C8881C1"/>
    <w:rsid w:val="4C8A2A47"/>
    <w:rsid w:val="4C8C2254"/>
    <w:rsid w:val="4C8C4801"/>
    <w:rsid w:val="4C8CF8C6"/>
    <w:rsid w:val="4C9FDE6B"/>
    <w:rsid w:val="4CB5A31C"/>
    <w:rsid w:val="4CB7B636"/>
    <w:rsid w:val="4CC40D8E"/>
    <w:rsid w:val="4CCF5E7F"/>
    <w:rsid w:val="4CD389F0"/>
    <w:rsid w:val="4CE03761"/>
    <w:rsid w:val="4CE71198"/>
    <w:rsid w:val="4CEA0971"/>
    <w:rsid w:val="4CF253D8"/>
    <w:rsid w:val="4CF73A25"/>
    <w:rsid w:val="4CF8BFB9"/>
    <w:rsid w:val="4D0097AF"/>
    <w:rsid w:val="4D08B9AE"/>
    <w:rsid w:val="4D15AC95"/>
    <w:rsid w:val="4D1F81ED"/>
    <w:rsid w:val="4D21C1DA"/>
    <w:rsid w:val="4D231FA4"/>
    <w:rsid w:val="4D3224B0"/>
    <w:rsid w:val="4D32DFED"/>
    <w:rsid w:val="4D37E9AC"/>
    <w:rsid w:val="4D383A1C"/>
    <w:rsid w:val="4D38E64D"/>
    <w:rsid w:val="4D3DF623"/>
    <w:rsid w:val="4D43D3B3"/>
    <w:rsid w:val="4D6C0273"/>
    <w:rsid w:val="4D6E7F8F"/>
    <w:rsid w:val="4D8932B3"/>
    <w:rsid w:val="4D8EF859"/>
    <w:rsid w:val="4D92D9B7"/>
    <w:rsid w:val="4D94A0A7"/>
    <w:rsid w:val="4D9D502F"/>
    <w:rsid w:val="4DA7D9DF"/>
    <w:rsid w:val="4DB69B15"/>
    <w:rsid w:val="4DB95C23"/>
    <w:rsid w:val="4DBD002C"/>
    <w:rsid w:val="4DCF99F0"/>
    <w:rsid w:val="4DD163CE"/>
    <w:rsid w:val="4DDAD041"/>
    <w:rsid w:val="4DE80FA3"/>
    <w:rsid w:val="4DEE5935"/>
    <w:rsid w:val="4DF41416"/>
    <w:rsid w:val="4E026896"/>
    <w:rsid w:val="4E0662A3"/>
    <w:rsid w:val="4E06EB81"/>
    <w:rsid w:val="4E0CAEE1"/>
    <w:rsid w:val="4E0DAEBE"/>
    <w:rsid w:val="4E0EB629"/>
    <w:rsid w:val="4E120D78"/>
    <w:rsid w:val="4E13BCBF"/>
    <w:rsid w:val="4E1BF17A"/>
    <w:rsid w:val="4E1D3957"/>
    <w:rsid w:val="4E1E1FCB"/>
    <w:rsid w:val="4E20188B"/>
    <w:rsid w:val="4E244A7E"/>
    <w:rsid w:val="4E2587D7"/>
    <w:rsid w:val="4E2BCA75"/>
    <w:rsid w:val="4E321451"/>
    <w:rsid w:val="4E34083C"/>
    <w:rsid w:val="4E42D58F"/>
    <w:rsid w:val="4E704594"/>
    <w:rsid w:val="4E7BB478"/>
    <w:rsid w:val="4E815909"/>
    <w:rsid w:val="4E86BBAA"/>
    <w:rsid w:val="4E909C72"/>
    <w:rsid w:val="4E92730E"/>
    <w:rsid w:val="4EAEBCC1"/>
    <w:rsid w:val="4EB17EF6"/>
    <w:rsid w:val="4EB5688D"/>
    <w:rsid w:val="4EC3AD35"/>
    <w:rsid w:val="4EC58579"/>
    <w:rsid w:val="4EC74327"/>
    <w:rsid w:val="4ECF4ED1"/>
    <w:rsid w:val="4EDF6327"/>
    <w:rsid w:val="4EE2BF14"/>
    <w:rsid w:val="4EE32F0A"/>
    <w:rsid w:val="4EE77D2D"/>
    <w:rsid w:val="4EF0F701"/>
    <w:rsid w:val="4F0067C0"/>
    <w:rsid w:val="4F07519F"/>
    <w:rsid w:val="4F083806"/>
    <w:rsid w:val="4F08E1A9"/>
    <w:rsid w:val="4F1A40B8"/>
    <w:rsid w:val="4F2550DF"/>
    <w:rsid w:val="4F2E4564"/>
    <w:rsid w:val="4F3837F5"/>
    <w:rsid w:val="4F479B53"/>
    <w:rsid w:val="4F4C0AAB"/>
    <w:rsid w:val="4F553C8E"/>
    <w:rsid w:val="4F5AAC5F"/>
    <w:rsid w:val="4F5B77DE"/>
    <w:rsid w:val="4F641E3D"/>
    <w:rsid w:val="4F6A3C25"/>
    <w:rsid w:val="4F6B7FD5"/>
    <w:rsid w:val="4F6D2E67"/>
    <w:rsid w:val="4F6EE3ED"/>
    <w:rsid w:val="4F7483FC"/>
    <w:rsid w:val="4F76BFB3"/>
    <w:rsid w:val="4F7890B7"/>
    <w:rsid w:val="4F7BAF96"/>
    <w:rsid w:val="4F7E630B"/>
    <w:rsid w:val="4F84A46C"/>
    <w:rsid w:val="4F963367"/>
    <w:rsid w:val="4FA2827B"/>
    <w:rsid w:val="4FB6D4BB"/>
    <w:rsid w:val="4FC05AEB"/>
    <w:rsid w:val="4FC494A2"/>
    <w:rsid w:val="4FC7FCD5"/>
    <w:rsid w:val="4FCAEAF1"/>
    <w:rsid w:val="4FCE9654"/>
    <w:rsid w:val="4FDA62D4"/>
    <w:rsid w:val="4FDE5E03"/>
    <w:rsid w:val="4FEAEFB4"/>
    <w:rsid w:val="4FF9829F"/>
    <w:rsid w:val="4FFA3491"/>
    <w:rsid w:val="500AC90C"/>
    <w:rsid w:val="500B4AC6"/>
    <w:rsid w:val="5011CC68"/>
    <w:rsid w:val="50129A39"/>
    <w:rsid w:val="50374298"/>
    <w:rsid w:val="50426CB5"/>
    <w:rsid w:val="504B1401"/>
    <w:rsid w:val="50502636"/>
    <w:rsid w:val="50508E13"/>
    <w:rsid w:val="5057D2E8"/>
    <w:rsid w:val="5061210F"/>
    <w:rsid w:val="506FA877"/>
    <w:rsid w:val="5074F18B"/>
    <w:rsid w:val="5084354F"/>
    <w:rsid w:val="50893743"/>
    <w:rsid w:val="50950C87"/>
    <w:rsid w:val="5097DDBC"/>
    <w:rsid w:val="509A7D61"/>
    <w:rsid w:val="50A207CE"/>
    <w:rsid w:val="50A73422"/>
    <w:rsid w:val="50A9789B"/>
    <w:rsid w:val="50AAA03C"/>
    <w:rsid w:val="50C0007F"/>
    <w:rsid w:val="50C97829"/>
    <w:rsid w:val="50DD5EBD"/>
    <w:rsid w:val="50DFE142"/>
    <w:rsid w:val="5108EEFE"/>
    <w:rsid w:val="51146118"/>
    <w:rsid w:val="51180201"/>
    <w:rsid w:val="511CF6BB"/>
    <w:rsid w:val="512AA972"/>
    <w:rsid w:val="5144BC2C"/>
    <w:rsid w:val="5149A3CA"/>
    <w:rsid w:val="515D09E4"/>
    <w:rsid w:val="516022B1"/>
    <w:rsid w:val="516D2374"/>
    <w:rsid w:val="5175F892"/>
    <w:rsid w:val="517AF4EA"/>
    <w:rsid w:val="519155BB"/>
    <w:rsid w:val="5194387F"/>
    <w:rsid w:val="51962C1A"/>
    <w:rsid w:val="5196C3D4"/>
    <w:rsid w:val="519D4F88"/>
    <w:rsid w:val="51AAE613"/>
    <w:rsid w:val="51B0E4E1"/>
    <w:rsid w:val="51B74FA0"/>
    <w:rsid w:val="51B85512"/>
    <w:rsid w:val="51BA02B1"/>
    <w:rsid w:val="51CC77E8"/>
    <w:rsid w:val="51D8858E"/>
    <w:rsid w:val="51E2EAB6"/>
    <w:rsid w:val="51E9795B"/>
    <w:rsid w:val="51EBB321"/>
    <w:rsid w:val="51ED726E"/>
    <w:rsid w:val="51F338DA"/>
    <w:rsid w:val="51F40FE7"/>
    <w:rsid w:val="51FAF5BA"/>
    <w:rsid w:val="520D3623"/>
    <w:rsid w:val="5214C5A9"/>
    <w:rsid w:val="521C7947"/>
    <w:rsid w:val="5223C0AA"/>
    <w:rsid w:val="52281805"/>
    <w:rsid w:val="5229E96B"/>
    <w:rsid w:val="522A8021"/>
    <w:rsid w:val="5250E3FE"/>
    <w:rsid w:val="525885F2"/>
    <w:rsid w:val="525CE588"/>
    <w:rsid w:val="5278CCB3"/>
    <w:rsid w:val="5280A4DB"/>
    <w:rsid w:val="52888C10"/>
    <w:rsid w:val="528B4078"/>
    <w:rsid w:val="528EF115"/>
    <w:rsid w:val="52920284"/>
    <w:rsid w:val="529E9AF7"/>
    <w:rsid w:val="529F3197"/>
    <w:rsid w:val="52A745D5"/>
    <w:rsid w:val="52AB24CE"/>
    <w:rsid w:val="52AF93D9"/>
    <w:rsid w:val="52B27ADC"/>
    <w:rsid w:val="52B8475A"/>
    <w:rsid w:val="52C0126D"/>
    <w:rsid w:val="52C28F6A"/>
    <w:rsid w:val="52C63693"/>
    <w:rsid w:val="52CC0B2F"/>
    <w:rsid w:val="52D7A423"/>
    <w:rsid w:val="52DB5042"/>
    <w:rsid w:val="52E8FCAF"/>
    <w:rsid w:val="531010D2"/>
    <w:rsid w:val="5310643A"/>
    <w:rsid w:val="531157E3"/>
    <w:rsid w:val="531826A9"/>
    <w:rsid w:val="531AF927"/>
    <w:rsid w:val="532147BA"/>
    <w:rsid w:val="53224F03"/>
    <w:rsid w:val="5324C8C1"/>
    <w:rsid w:val="5328A9F8"/>
    <w:rsid w:val="53513A2B"/>
    <w:rsid w:val="5359BBAE"/>
    <w:rsid w:val="5363414D"/>
    <w:rsid w:val="53684889"/>
    <w:rsid w:val="536C8E9E"/>
    <w:rsid w:val="537BCB2B"/>
    <w:rsid w:val="5386BB2C"/>
    <w:rsid w:val="538AD7CC"/>
    <w:rsid w:val="538DF1F2"/>
    <w:rsid w:val="538E13BD"/>
    <w:rsid w:val="5391BB63"/>
    <w:rsid w:val="5396E89D"/>
    <w:rsid w:val="5397FD5A"/>
    <w:rsid w:val="53A55655"/>
    <w:rsid w:val="53B94ADA"/>
    <w:rsid w:val="53BF851A"/>
    <w:rsid w:val="53C40523"/>
    <w:rsid w:val="53D4BE44"/>
    <w:rsid w:val="53D9DC73"/>
    <w:rsid w:val="53DF9357"/>
    <w:rsid w:val="53E0BEE4"/>
    <w:rsid w:val="53E3E737"/>
    <w:rsid w:val="53E87EFE"/>
    <w:rsid w:val="53F170BF"/>
    <w:rsid w:val="53F3A049"/>
    <w:rsid w:val="53FD646B"/>
    <w:rsid w:val="54045293"/>
    <w:rsid w:val="5412AFE1"/>
    <w:rsid w:val="54153EBB"/>
    <w:rsid w:val="5416A1CB"/>
    <w:rsid w:val="54219402"/>
    <w:rsid w:val="54254729"/>
    <w:rsid w:val="542C0697"/>
    <w:rsid w:val="5432E13E"/>
    <w:rsid w:val="543F3FD4"/>
    <w:rsid w:val="543FE688"/>
    <w:rsid w:val="5448F362"/>
    <w:rsid w:val="544A49D0"/>
    <w:rsid w:val="545B082F"/>
    <w:rsid w:val="5476AAA0"/>
    <w:rsid w:val="547D771D"/>
    <w:rsid w:val="548D8614"/>
    <w:rsid w:val="5493A0C0"/>
    <w:rsid w:val="54A5EBFB"/>
    <w:rsid w:val="54ADD567"/>
    <w:rsid w:val="54B10B41"/>
    <w:rsid w:val="54B82A1C"/>
    <w:rsid w:val="54B97B16"/>
    <w:rsid w:val="54C53D46"/>
    <w:rsid w:val="54C59BB5"/>
    <w:rsid w:val="54C9D936"/>
    <w:rsid w:val="54D037B7"/>
    <w:rsid w:val="54D47FDF"/>
    <w:rsid w:val="54D833A2"/>
    <w:rsid w:val="54DB55EF"/>
    <w:rsid w:val="54EBACD1"/>
    <w:rsid w:val="54F196BA"/>
    <w:rsid w:val="55013BC2"/>
    <w:rsid w:val="5505A0AE"/>
    <w:rsid w:val="550BB725"/>
    <w:rsid w:val="550D2450"/>
    <w:rsid w:val="55121D85"/>
    <w:rsid w:val="55196FAC"/>
    <w:rsid w:val="551B2D09"/>
    <w:rsid w:val="552B4EDB"/>
    <w:rsid w:val="55388BA9"/>
    <w:rsid w:val="553AE999"/>
    <w:rsid w:val="554012AD"/>
    <w:rsid w:val="554DB096"/>
    <w:rsid w:val="55551B3B"/>
    <w:rsid w:val="555C4E34"/>
    <w:rsid w:val="555C8FAB"/>
    <w:rsid w:val="555F51D9"/>
    <w:rsid w:val="555FA30F"/>
    <w:rsid w:val="5569803A"/>
    <w:rsid w:val="556A224E"/>
    <w:rsid w:val="556D02F3"/>
    <w:rsid w:val="557054D0"/>
    <w:rsid w:val="558241DE"/>
    <w:rsid w:val="55830016"/>
    <w:rsid w:val="5583635D"/>
    <w:rsid w:val="558CEEDB"/>
    <w:rsid w:val="55935192"/>
    <w:rsid w:val="559497F8"/>
    <w:rsid w:val="5598E53E"/>
    <w:rsid w:val="559A3B3A"/>
    <w:rsid w:val="55A9D40E"/>
    <w:rsid w:val="55B0034A"/>
    <w:rsid w:val="55B3A9C6"/>
    <w:rsid w:val="55C67A38"/>
    <w:rsid w:val="55C6E8B6"/>
    <w:rsid w:val="55D152DC"/>
    <w:rsid w:val="55D35323"/>
    <w:rsid w:val="55D7BBEC"/>
    <w:rsid w:val="55DFE230"/>
    <w:rsid w:val="55E592DC"/>
    <w:rsid w:val="55ED78EC"/>
    <w:rsid w:val="55F179A9"/>
    <w:rsid w:val="55F47ADB"/>
    <w:rsid w:val="55F48D15"/>
    <w:rsid w:val="55F7E049"/>
    <w:rsid w:val="55F95E76"/>
    <w:rsid w:val="55FF1907"/>
    <w:rsid w:val="5601A6D4"/>
    <w:rsid w:val="56053D6D"/>
    <w:rsid w:val="560647EA"/>
    <w:rsid w:val="560DB9F0"/>
    <w:rsid w:val="561669FC"/>
    <w:rsid w:val="561BE0A9"/>
    <w:rsid w:val="56211441"/>
    <w:rsid w:val="56235F67"/>
    <w:rsid w:val="563DD7D8"/>
    <w:rsid w:val="563DE2A2"/>
    <w:rsid w:val="56591469"/>
    <w:rsid w:val="565CF3B4"/>
    <w:rsid w:val="5680D067"/>
    <w:rsid w:val="5681EA54"/>
    <w:rsid w:val="568847E2"/>
    <w:rsid w:val="568B5011"/>
    <w:rsid w:val="568CAEC3"/>
    <w:rsid w:val="568EE078"/>
    <w:rsid w:val="5693E162"/>
    <w:rsid w:val="569DC8D7"/>
    <w:rsid w:val="56A10FF3"/>
    <w:rsid w:val="56A889B4"/>
    <w:rsid w:val="56A94205"/>
    <w:rsid w:val="56B24A7C"/>
    <w:rsid w:val="56BA9DCC"/>
    <w:rsid w:val="56C5DEF9"/>
    <w:rsid w:val="56CB3CCB"/>
    <w:rsid w:val="56CDDE48"/>
    <w:rsid w:val="56D0E73F"/>
    <w:rsid w:val="56D293DF"/>
    <w:rsid w:val="56D2D6F3"/>
    <w:rsid w:val="56DB921A"/>
    <w:rsid w:val="56ED1483"/>
    <w:rsid w:val="56EF73E4"/>
    <w:rsid w:val="56F50540"/>
    <w:rsid w:val="570776FC"/>
    <w:rsid w:val="570E8C91"/>
    <w:rsid w:val="5713B630"/>
    <w:rsid w:val="5713FF42"/>
    <w:rsid w:val="57282097"/>
    <w:rsid w:val="5731060D"/>
    <w:rsid w:val="57432519"/>
    <w:rsid w:val="574E93C0"/>
    <w:rsid w:val="575523F9"/>
    <w:rsid w:val="57657251"/>
    <w:rsid w:val="5768C235"/>
    <w:rsid w:val="57711C18"/>
    <w:rsid w:val="57724766"/>
    <w:rsid w:val="5779A157"/>
    <w:rsid w:val="577D1528"/>
    <w:rsid w:val="57863503"/>
    <w:rsid w:val="578A695B"/>
    <w:rsid w:val="578F2A1D"/>
    <w:rsid w:val="57919B7A"/>
    <w:rsid w:val="5792816E"/>
    <w:rsid w:val="579D0F77"/>
    <w:rsid w:val="57B38FAE"/>
    <w:rsid w:val="57B4B754"/>
    <w:rsid w:val="57B626E2"/>
    <w:rsid w:val="57C24A34"/>
    <w:rsid w:val="57D20824"/>
    <w:rsid w:val="57D5E6D2"/>
    <w:rsid w:val="57E3E244"/>
    <w:rsid w:val="57EA56E8"/>
    <w:rsid w:val="57EECFAF"/>
    <w:rsid w:val="57F2569F"/>
    <w:rsid w:val="57F60D54"/>
    <w:rsid w:val="57FEB14E"/>
    <w:rsid w:val="5804E4A5"/>
    <w:rsid w:val="5805E0E3"/>
    <w:rsid w:val="580D4959"/>
    <w:rsid w:val="580D8C59"/>
    <w:rsid w:val="5813424F"/>
    <w:rsid w:val="582F2173"/>
    <w:rsid w:val="582FC99F"/>
    <w:rsid w:val="5837EDF5"/>
    <w:rsid w:val="583F74E5"/>
    <w:rsid w:val="584DF0E5"/>
    <w:rsid w:val="5858990F"/>
    <w:rsid w:val="585BE9C8"/>
    <w:rsid w:val="585FA700"/>
    <w:rsid w:val="58612BFE"/>
    <w:rsid w:val="5869B9D9"/>
    <w:rsid w:val="586F18C2"/>
    <w:rsid w:val="587005C9"/>
    <w:rsid w:val="58773C20"/>
    <w:rsid w:val="587BA289"/>
    <w:rsid w:val="587F5893"/>
    <w:rsid w:val="587FC27E"/>
    <w:rsid w:val="5883EE08"/>
    <w:rsid w:val="5898EA3C"/>
    <w:rsid w:val="589C484A"/>
    <w:rsid w:val="589E2DDB"/>
    <w:rsid w:val="58BCEF72"/>
    <w:rsid w:val="58BF60DF"/>
    <w:rsid w:val="58D6DAEE"/>
    <w:rsid w:val="58DC6064"/>
    <w:rsid w:val="58E085D3"/>
    <w:rsid w:val="58E37349"/>
    <w:rsid w:val="58F342ED"/>
    <w:rsid w:val="58FC2F8A"/>
    <w:rsid w:val="58FFD801"/>
    <w:rsid w:val="5909A2F0"/>
    <w:rsid w:val="590C2095"/>
    <w:rsid w:val="591B7F17"/>
    <w:rsid w:val="591B7FB1"/>
    <w:rsid w:val="591E675B"/>
    <w:rsid w:val="592A3D23"/>
    <w:rsid w:val="592DF494"/>
    <w:rsid w:val="5940C218"/>
    <w:rsid w:val="59428ABB"/>
    <w:rsid w:val="5946A707"/>
    <w:rsid w:val="594A2CC0"/>
    <w:rsid w:val="59511BF0"/>
    <w:rsid w:val="5956B967"/>
    <w:rsid w:val="5959EECE"/>
    <w:rsid w:val="595DBCC8"/>
    <w:rsid w:val="5960902F"/>
    <w:rsid w:val="59760067"/>
    <w:rsid w:val="5978BCAB"/>
    <w:rsid w:val="5978F815"/>
    <w:rsid w:val="597E6D9D"/>
    <w:rsid w:val="598704CC"/>
    <w:rsid w:val="5988233F"/>
    <w:rsid w:val="5996CEA0"/>
    <w:rsid w:val="599BC5C1"/>
    <w:rsid w:val="59A06D3B"/>
    <w:rsid w:val="59A5B0BD"/>
    <w:rsid w:val="59AA1078"/>
    <w:rsid w:val="59AB92E9"/>
    <w:rsid w:val="59AE7969"/>
    <w:rsid w:val="59B20E59"/>
    <w:rsid w:val="59B89123"/>
    <w:rsid w:val="59B9FD8D"/>
    <w:rsid w:val="59BF1064"/>
    <w:rsid w:val="59C11ECB"/>
    <w:rsid w:val="59CF834E"/>
    <w:rsid w:val="59CFA10A"/>
    <w:rsid w:val="59DECE7A"/>
    <w:rsid w:val="59E1DFBF"/>
    <w:rsid w:val="59E875B7"/>
    <w:rsid w:val="59E91105"/>
    <w:rsid w:val="59EB328C"/>
    <w:rsid w:val="59EED87B"/>
    <w:rsid w:val="59F6D4B6"/>
    <w:rsid w:val="59F9287F"/>
    <w:rsid w:val="59FD1FDE"/>
    <w:rsid w:val="5A04D5F6"/>
    <w:rsid w:val="5A081C49"/>
    <w:rsid w:val="5A0B66EB"/>
    <w:rsid w:val="5A0BDBAA"/>
    <w:rsid w:val="5A14B34E"/>
    <w:rsid w:val="5A179F5B"/>
    <w:rsid w:val="5A2485DB"/>
    <w:rsid w:val="5A27C11F"/>
    <w:rsid w:val="5A2A3209"/>
    <w:rsid w:val="5A33D08B"/>
    <w:rsid w:val="5A410933"/>
    <w:rsid w:val="5A44ACDE"/>
    <w:rsid w:val="5A4600AB"/>
    <w:rsid w:val="5A482174"/>
    <w:rsid w:val="5A4BE6CC"/>
    <w:rsid w:val="5A4EA651"/>
    <w:rsid w:val="5A501EF4"/>
    <w:rsid w:val="5A607401"/>
    <w:rsid w:val="5A6D0041"/>
    <w:rsid w:val="5A6DB53A"/>
    <w:rsid w:val="5A7840BD"/>
    <w:rsid w:val="5A9ACD49"/>
    <w:rsid w:val="5A9B9A40"/>
    <w:rsid w:val="5A9C1B50"/>
    <w:rsid w:val="5A9D1A81"/>
    <w:rsid w:val="5A9EF7F0"/>
    <w:rsid w:val="5AA30908"/>
    <w:rsid w:val="5AA51701"/>
    <w:rsid w:val="5AA5420B"/>
    <w:rsid w:val="5AA8CE6F"/>
    <w:rsid w:val="5AB906BC"/>
    <w:rsid w:val="5AC498B5"/>
    <w:rsid w:val="5ACBC08E"/>
    <w:rsid w:val="5ACBE898"/>
    <w:rsid w:val="5ACCFB64"/>
    <w:rsid w:val="5ACD870A"/>
    <w:rsid w:val="5AD56E82"/>
    <w:rsid w:val="5AEC6913"/>
    <w:rsid w:val="5AF6C63F"/>
    <w:rsid w:val="5AF7C4B1"/>
    <w:rsid w:val="5AF9468B"/>
    <w:rsid w:val="5AFD6273"/>
    <w:rsid w:val="5B02B83B"/>
    <w:rsid w:val="5B08495A"/>
    <w:rsid w:val="5B134747"/>
    <w:rsid w:val="5B14DA3A"/>
    <w:rsid w:val="5B1806EC"/>
    <w:rsid w:val="5B20C834"/>
    <w:rsid w:val="5B2627F3"/>
    <w:rsid w:val="5B26F5E6"/>
    <w:rsid w:val="5B2BE89F"/>
    <w:rsid w:val="5B385C5F"/>
    <w:rsid w:val="5B3A2BED"/>
    <w:rsid w:val="5B3A6B61"/>
    <w:rsid w:val="5B3A830A"/>
    <w:rsid w:val="5B48B938"/>
    <w:rsid w:val="5B54B697"/>
    <w:rsid w:val="5B714BC2"/>
    <w:rsid w:val="5B75CEAD"/>
    <w:rsid w:val="5B8017EC"/>
    <w:rsid w:val="5B809047"/>
    <w:rsid w:val="5B8AB020"/>
    <w:rsid w:val="5B8B9AE8"/>
    <w:rsid w:val="5B8E43BF"/>
    <w:rsid w:val="5B936FCA"/>
    <w:rsid w:val="5B94236C"/>
    <w:rsid w:val="5B9626C2"/>
    <w:rsid w:val="5B9A096A"/>
    <w:rsid w:val="5BA14937"/>
    <w:rsid w:val="5BAD9E63"/>
    <w:rsid w:val="5BB21B31"/>
    <w:rsid w:val="5BB252E8"/>
    <w:rsid w:val="5BB2AAB0"/>
    <w:rsid w:val="5BC0D8FC"/>
    <w:rsid w:val="5BC2251F"/>
    <w:rsid w:val="5BCA8EFD"/>
    <w:rsid w:val="5BD3DC78"/>
    <w:rsid w:val="5BD65407"/>
    <w:rsid w:val="5BE14D47"/>
    <w:rsid w:val="5BEB341B"/>
    <w:rsid w:val="5BEDADE9"/>
    <w:rsid w:val="5BEFDC62"/>
    <w:rsid w:val="5BF6340A"/>
    <w:rsid w:val="5C03D15A"/>
    <w:rsid w:val="5C0BCEC1"/>
    <w:rsid w:val="5C0EAE81"/>
    <w:rsid w:val="5C0F55C3"/>
    <w:rsid w:val="5C12D711"/>
    <w:rsid w:val="5C1447B6"/>
    <w:rsid w:val="5C16C281"/>
    <w:rsid w:val="5C185A93"/>
    <w:rsid w:val="5C1DA2AF"/>
    <w:rsid w:val="5C352980"/>
    <w:rsid w:val="5C39ACF9"/>
    <w:rsid w:val="5C3F510E"/>
    <w:rsid w:val="5C453AC3"/>
    <w:rsid w:val="5C473723"/>
    <w:rsid w:val="5C68BF0D"/>
    <w:rsid w:val="5C7E3AB1"/>
    <w:rsid w:val="5C842256"/>
    <w:rsid w:val="5C849469"/>
    <w:rsid w:val="5C88435B"/>
    <w:rsid w:val="5C890052"/>
    <w:rsid w:val="5C8D4213"/>
    <w:rsid w:val="5C9D49A2"/>
    <w:rsid w:val="5C9F0734"/>
    <w:rsid w:val="5CA06D50"/>
    <w:rsid w:val="5CA2E453"/>
    <w:rsid w:val="5CAEEFE1"/>
    <w:rsid w:val="5CC06EE2"/>
    <w:rsid w:val="5CC2B5E4"/>
    <w:rsid w:val="5CC8A0AD"/>
    <w:rsid w:val="5CD1E892"/>
    <w:rsid w:val="5CD41C57"/>
    <w:rsid w:val="5CD9B28C"/>
    <w:rsid w:val="5CDA9926"/>
    <w:rsid w:val="5CE1F054"/>
    <w:rsid w:val="5CE4C484"/>
    <w:rsid w:val="5CE7830D"/>
    <w:rsid w:val="5CFAEF3A"/>
    <w:rsid w:val="5CFB986E"/>
    <w:rsid w:val="5D021EAE"/>
    <w:rsid w:val="5D09D934"/>
    <w:rsid w:val="5D0E02B6"/>
    <w:rsid w:val="5D0EED98"/>
    <w:rsid w:val="5D10ABBC"/>
    <w:rsid w:val="5D1FB5A8"/>
    <w:rsid w:val="5D331D1A"/>
    <w:rsid w:val="5D3B0BB3"/>
    <w:rsid w:val="5D45C2BE"/>
    <w:rsid w:val="5D4A3582"/>
    <w:rsid w:val="5D4A6E41"/>
    <w:rsid w:val="5D52E87A"/>
    <w:rsid w:val="5D60B1B3"/>
    <w:rsid w:val="5D7E72E5"/>
    <w:rsid w:val="5D826C7F"/>
    <w:rsid w:val="5D897E4A"/>
    <w:rsid w:val="5D8C4F00"/>
    <w:rsid w:val="5D96E5A3"/>
    <w:rsid w:val="5DA4D537"/>
    <w:rsid w:val="5DAED3D1"/>
    <w:rsid w:val="5DB31076"/>
    <w:rsid w:val="5DB7DFC8"/>
    <w:rsid w:val="5DBD9980"/>
    <w:rsid w:val="5DC158F3"/>
    <w:rsid w:val="5DD7F4A1"/>
    <w:rsid w:val="5DD90FFB"/>
    <w:rsid w:val="5DD98ACD"/>
    <w:rsid w:val="5DD9BBC3"/>
    <w:rsid w:val="5DE6A29A"/>
    <w:rsid w:val="5DF2A73D"/>
    <w:rsid w:val="5E0667B6"/>
    <w:rsid w:val="5E1215BA"/>
    <w:rsid w:val="5E1490E9"/>
    <w:rsid w:val="5E1E8E66"/>
    <w:rsid w:val="5E3469AF"/>
    <w:rsid w:val="5E34BFF5"/>
    <w:rsid w:val="5E379A26"/>
    <w:rsid w:val="5E40AA21"/>
    <w:rsid w:val="5E526EAB"/>
    <w:rsid w:val="5E550E53"/>
    <w:rsid w:val="5E570AC4"/>
    <w:rsid w:val="5E583EE4"/>
    <w:rsid w:val="5E669A5F"/>
    <w:rsid w:val="5E693191"/>
    <w:rsid w:val="5E724583"/>
    <w:rsid w:val="5E7480B1"/>
    <w:rsid w:val="5E75B005"/>
    <w:rsid w:val="5E75BEC5"/>
    <w:rsid w:val="5E7A5953"/>
    <w:rsid w:val="5E7EDB52"/>
    <w:rsid w:val="5E8602F6"/>
    <w:rsid w:val="5E94EA40"/>
    <w:rsid w:val="5E970A2F"/>
    <w:rsid w:val="5E9862B8"/>
    <w:rsid w:val="5EA6FFD4"/>
    <w:rsid w:val="5EA70E09"/>
    <w:rsid w:val="5EAAC714"/>
    <w:rsid w:val="5EAC82F4"/>
    <w:rsid w:val="5EB78B1B"/>
    <w:rsid w:val="5EBEF088"/>
    <w:rsid w:val="5EBFD682"/>
    <w:rsid w:val="5EBFF6D1"/>
    <w:rsid w:val="5EC473E1"/>
    <w:rsid w:val="5ED34737"/>
    <w:rsid w:val="5EE0630D"/>
    <w:rsid w:val="5EE6DFF5"/>
    <w:rsid w:val="5EEDC91A"/>
    <w:rsid w:val="5EF3DE25"/>
    <w:rsid w:val="5EF4EEB0"/>
    <w:rsid w:val="5F109DEF"/>
    <w:rsid w:val="5F1238D9"/>
    <w:rsid w:val="5F2B23E1"/>
    <w:rsid w:val="5F2DA837"/>
    <w:rsid w:val="5F2E43F2"/>
    <w:rsid w:val="5F3749DA"/>
    <w:rsid w:val="5F397099"/>
    <w:rsid w:val="5F45137B"/>
    <w:rsid w:val="5F51CC8E"/>
    <w:rsid w:val="5F5A112C"/>
    <w:rsid w:val="5F7C6569"/>
    <w:rsid w:val="5F7E1FF7"/>
    <w:rsid w:val="5F81561A"/>
    <w:rsid w:val="5F83D9D3"/>
    <w:rsid w:val="5F8A8A87"/>
    <w:rsid w:val="5F8B454A"/>
    <w:rsid w:val="5F8E1BEC"/>
    <w:rsid w:val="5F9278C1"/>
    <w:rsid w:val="5F93CA35"/>
    <w:rsid w:val="5F947A72"/>
    <w:rsid w:val="5F977026"/>
    <w:rsid w:val="5F9B5F34"/>
    <w:rsid w:val="5FA2FBBB"/>
    <w:rsid w:val="5FA87A32"/>
    <w:rsid w:val="5FABFC9C"/>
    <w:rsid w:val="5FB3E6EE"/>
    <w:rsid w:val="5FB532F4"/>
    <w:rsid w:val="5FB6C1E2"/>
    <w:rsid w:val="5FC721C9"/>
    <w:rsid w:val="5FC7D2F4"/>
    <w:rsid w:val="5FC9C525"/>
    <w:rsid w:val="5FCABCFE"/>
    <w:rsid w:val="5FD0DA46"/>
    <w:rsid w:val="5FD360DD"/>
    <w:rsid w:val="5FD4535F"/>
    <w:rsid w:val="5FD5F3DD"/>
    <w:rsid w:val="5FE2CDCD"/>
    <w:rsid w:val="5FE6D4CD"/>
    <w:rsid w:val="5FE7BB8F"/>
    <w:rsid w:val="5FEACEDB"/>
    <w:rsid w:val="5FED019D"/>
    <w:rsid w:val="5FEF8430"/>
    <w:rsid w:val="5FEF87E4"/>
    <w:rsid w:val="5FF2A1BC"/>
    <w:rsid w:val="5FF3C87A"/>
    <w:rsid w:val="5FF4AFB2"/>
    <w:rsid w:val="5FF94072"/>
    <w:rsid w:val="600CCC81"/>
    <w:rsid w:val="600FB487"/>
    <w:rsid w:val="6021A4FC"/>
    <w:rsid w:val="60231C0F"/>
    <w:rsid w:val="602B96D5"/>
    <w:rsid w:val="603F1EC1"/>
    <w:rsid w:val="60625E15"/>
    <w:rsid w:val="606362F3"/>
    <w:rsid w:val="606D55EF"/>
    <w:rsid w:val="60827B62"/>
    <w:rsid w:val="6091B73D"/>
    <w:rsid w:val="60966AA3"/>
    <w:rsid w:val="60A3551A"/>
    <w:rsid w:val="60B5B31F"/>
    <w:rsid w:val="60B9B6BA"/>
    <w:rsid w:val="60C5E3B9"/>
    <w:rsid w:val="60C602EA"/>
    <w:rsid w:val="60DA4769"/>
    <w:rsid w:val="60ED9738"/>
    <w:rsid w:val="60F2F5D4"/>
    <w:rsid w:val="60F703C4"/>
    <w:rsid w:val="60FE7C68"/>
    <w:rsid w:val="60FF3A7F"/>
    <w:rsid w:val="60FF5765"/>
    <w:rsid w:val="61045041"/>
    <w:rsid w:val="6104FAF4"/>
    <w:rsid w:val="610C3B6F"/>
    <w:rsid w:val="61101946"/>
    <w:rsid w:val="611554FD"/>
    <w:rsid w:val="6115B034"/>
    <w:rsid w:val="613C7404"/>
    <w:rsid w:val="61434BBB"/>
    <w:rsid w:val="6146E8B0"/>
    <w:rsid w:val="614C3892"/>
    <w:rsid w:val="61530535"/>
    <w:rsid w:val="6158442C"/>
    <w:rsid w:val="6158509B"/>
    <w:rsid w:val="615D5B07"/>
    <w:rsid w:val="616024E8"/>
    <w:rsid w:val="61719978"/>
    <w:rsid w:val="617333CA"/>
    <w:rsid w:val="61788B25"/>
    <w:rsid w:val="618C51A6"/>
    <w:rsid w:val="61A1C5FA"/>
    <w:rsid w:val="61A71DBA"/>
    <w:rsid w:val="61AD42E5"/>
    <w:rsid w:val="61B216BB"/>
    <w:rsid w:val="61B3131D"/>
    <w:rsid w:val="61B4A8FE"/>
    <w:rsid w:val="61C528AE"/>
    <w:rsid w:val="61C538A1"/>
    <w:rsid w:val="61D21768"/>
    <w:rsid w:val="61D755D8"/>
    <w:rsid w:val="61E6CDF7"/>
    <w:rsid w:val="61EE1C7B"/>
    <w:rsid w:val="61EE5E5D"/>
    <w:rsid w:val="61EE95D6"/>
    <w:rsid w:val="61F96335"/>
    <w:rsid w:val="61FF706D"/>
    <w:rsid w:val="6206EE47"/>
    <w:rsid w:val="6208FA28"/>
    <w:rsid w:val="62208C20"/>
    <w:rsid w:val="62248D85"/>
    <w:rsid w:val="62297EDC"/>
    <w:rsid w:val="622C13DF"/>
    <w:rsid w:val="622E202B"/>
    <w:rsid w:val="623D79DC"/>
    <w:rsid w:val="624A6691"/>
    <w:rsid w:val="624DD7F9"/>
    <w:rsid w:val="6253F587"/>
    <w:rsid w:val="6258C268"/>
    <w:rsid w:val="6258EEBF"/>
    <w:rsid w:val="6258FFD1"/>
    <w:rsid w:val="62656326"/>
    <w:rsid w:val="626E9FC3"/>
    <w:rsid w:val="6272930A"/>
    <w:rsid w:val="62741550"/>
    <w:rsid w:val="62744273"/>
    <w:rsid w:val="627C823E"/>
    <w:rsid w:val="6281A42A"/>
    <w:rsid w:val="62855F94"/>
    <w:rsid w:val="62887AF4"/>
    <w:rsid w:val="628C3157"/>
    <w:rsid w:val="628E0C25"/>
    <w:rsid w:val="628FE68C"/>
    <w:rsid w:val="629F1C2F"/>
    <w:rsid w:val="62A012D7"/>
    <w:rsid w:val="62A45934"/>
    <w:rsid w:val="62C422BB"/>
    <w:rsid w:val="62DCCE62"/>
    <w:rsid w:val="62DDA7B5"/>
    <w:rsid w:val="62DE6483"/>
    <w:rsid w:val="62DF8DA4"/>
    <w:rsid w:val="62E39735"/>
    <w:rsid w:val="62E8B19B"/>
    <w:rsid w:val="62E91610"/>
    <w:rsid w:val="62F86F4D"/>
    <w:rsid w:val="62FD4CAB"/>
    <w:rsid w:val="62FD816A"/>
    <w:rsid w:val="63034D56"/>
    <w:rsid w:val="6310411E"/>
    <w:rsid w:val="63158FF0"/>
    <w:rsid w:val="631C9554"/>
    <w:rsid w:val="631CD1A6"/>
    <w:rsid w:val="6322A46F"/>
    <w:rsid w:val="6332BCBA"/>
    <w:rsid w:val="63463CF6"/>
    <w:rsid w:val="63490CAE"/>
    <w:rsid w:val="634B22C8"/>
    <w:rsid w:val="634D35DF"/>
    <w:rsid w:val="634E4A6E"/>
    <w:rsid w:val="6353FD03"/>
    <w:rsid w:val="63545B63"/>
    <w:rsid w:val="635B2440"/>
    <w:rsid w:val="636B2700"/>
    <w:rsid w:val="63713979"/>
    <w:rsid w:val="637ADF43"/>
    <w:rsid w:val="637C54FB"/>
    <w:rsid w:val="6388161D"/>
    <w:rsid w:val="638ADA5A"/>
    <w:rsid w:val="63928990"/>
    <w:rsid w:val="639548D5"/>
    <w:rsid w:val="63970AEC"/>
    <w:rsid w:val="6397C453"/>
    <w:rsid w:val="63A04C21"/>
    <w:rsid w:val="63A1647C"/>
    <w:rsid w:val="63A5F030"/>
    <w:rsid w:val="63A641C6"/>
    <w:rsid w:val="63AD6D7C"/>
    <w:rsid w:val="63AF9945"/>
    <w:rsid w:val="63B130AF"/>
    <w:rsid w:val="63BC118F"/>
    <w:rsid w:val="63CF15A9"/>
    <w:rsid w:val="63D23DC7"/>
    <w:rsid w:val="63DCAEC3"/>
    <w:rsid w:val="63E7F366"/>
    <w:rsid w:val="63E84933"/>
    <w:rsid w:val="63ED2B91"/>
    <w:rsid w:val="63F08A51"/>
    <w:rsid w:val="63F28460"/>
    <w:rsid w:val="63F8F08E"/>
    <w:rsid w:val="6403895E"/>
    <w:rsid w:val="640B1FDD"/>
    <w:rsid w:val="640D2971"/>
    <w:rsid w:val="641627AC"/>
    <w:rsid w:val="641714E5"/>
    <w:rsid w:val="64177713"/>
    <w:rsid w:val="641EBEBD"/>
    <w:rsid w:val="642678B2"/>
    <w:rsid w:val="642BCA55"/>
    <w:rsid w:val="6433E0B6"/>
    <w:rsid w:val="64345FB4"/>
    <w:rsid w:val="64407B62"/>
    <w:rsid w:val="6440FE6B"/>
    <w:rsid w:val="64480938"/>
    <w:rsid w:val="644F834F"/>
    <w:rsid w:val="6460FB57"/>
    <w:rsid w:val="64670791"/>
    <w:rsid w:val="646B1760"/>
    <w:rsid w:val="646C45D2"/>
    <w:rsid w:val="646E5E95"/>
    <w:rsid w:val="6493A568"/>
    <w:rsid w:val="64947100"/>
    <w:rsid w:val="64A017AA"/>
    <w:rsid w:val="64AA9145"/>
    <w:rsid w:val="64B2CDE6"/>
    <w:rsid w:val="64B4DAD3"/>
    <w:rsid w:val="64B60C0C"/>
    <w:rsid w:val="64BBAFD1"/>
    <w:rsid w:val="64C44551"/>
    <w:rsid w:val="64C817E3"/>
    <w:rsid w:val="64D47A30"/>
    <w:rsid w:val="64D65B7C"/>
    <w:rsid w:val="64DFECE3"/>
    <w:rsid w:val="64E09B4A"/>
    <w:rsid w:val="64EC8AB8"/>
    <w:rsid w:val="64F3D928"/>
    <w:rsid w:val="64FDEF01"/>
    <w:rsid w:val="6507B8A1"/>
    <w:rsid w:val="6508F4E1"/>
    <w:rsid w:val="6510EE28"/>
    <w:rsid w:val="65114544"/>
    <w:rsid w:val="6514A696"/>
    <w:rsid w:val="651BB5D0"/>
    <w:rsid w:val="651CD6BC"/>
    <w:rsid w:val="6528CF1E"/>
    <w:rsid w:val="652FC3AB"/>
    <w:rsid w:val="65440D6A"/>
    <w:rsid w:val="6545D8D5"/>
    <w:rsid w:val="65464032"/>
    <w:rsid w:val="6546F0C1"/>
    <w:rsid w:val="65573D87"/>
    <w:rsid w:val="655EE62C"/>
    <w:rsid w:val="656A6A5C"/>
    <w:rsid w:val="656DCCC6"/>
    <w:rsid w:val="656E4702"/>
    <w:rsid w:val="65764788"/>
    <w:rsid w:val="65834A1F"/>
    <w:rsid w:val="6583D6C4"/>
    <w:rsid w:val="658BF5BD"/>
    <w:rsid w:val="658E2074"/>
    <w:rsid w:val="6595980E"/>
    <w:rsid w:val="65977C7E"/>
    <w:rsid w:val="65978B2F"/>
    <w:rsid w:val="659C530D"/>
    <w:rsid w:val="65A5061B"/>
    <w:rsid w:val="65ACF767"/>
    <w:rsid w:val="65AF4228"/>
    <w:rsid w:val="65C4D55F"/>
    <w:rsid w:val="65E4E094"/>
    <w:rsid w:val="65E67E87"/>
    <w:rsid w:val="65ECB146"/>
    <w:rsid w:val="65F8C283"/>
    <w:rsid w:val="65FD70AD"/>
    <w:rsid w:val="66013ED6"/>
    <w:rsid w:val="66080FBD"/>
    <w:rsid w:val="66085FF8"/>
    <w:rsid w:val="660B43F9"/>
    <w:rsid w:val="660C1310"/>
    <w:rsid w:val="660DBB94"/>
    <w:rsid w:val="6611CAE4"/>
    <w:rsid w:val="6611D79D"/>
    <w:rsid w:val="66134A71"/>
    <w:rsid w:val="66165529"/>
    <w:rsid w:val="6618E496"/>
    <w:rsid w:val="66392A2C"/>
    <w:rsid w:val="663BD2AF"/>
    <w:rsid w:val="6643B6BE"/>
    <w:rsid w:val="6644F7A0"/>
    <w:rsid w:val="6646EC53"/>
    <w:rsid w:val="6648F83D"/>
    <w:rsid w:val="664D0D51"/>
    <w:rsid w:val="664EE5B9"/>
    <w:rsid w:val="66504214"/>
    <w:rsid w:val="6654C253"/>
    <w:rsid w:val="6664B274"/>
    <w:rsid w:val="6664FC2D"/>
    <w:rsid w:val="6673D794"/>
    <w:rsid w:val="667900E5"/>
    <w:rsid w:val="6684C0E9"/>
    <w:rsid w:val="668D4C2B"/>
    <w:rsid w:val="669266D9"/>
    <w:rsid w:val="6694470F"/>
    <w:rsid w:val="66962D4D"/>
    <w:rsid w:val="66973A11"/>
    <w:rsid w:val="669A94EE"/>
    <w:rsid w:val="66BFC3FD"/>
    <w:rsid w:val="66C4D324"/>
    <w:rsid w:val="66C9D0FD"/>
    <w:rsid w:val="66DAA72D"/>
    <w:rsid w:val="66E732D5"/>
    <w:rsid w:val="66F77547"/>
    <w:rsid w:val="670E7442"/>
    <w:rsid w:val="671909EE"/>
    <w:rsid w:val="671A1AF4"/>
    <w:rsid w:val="67344759"/>
    <w:rsid w:val="6739522C"/>
    <w:rsid w:val="673F02F4"/>
    <w:rsid w:val="67403CBF"/>
    <w:rsid w:val="6744B4C4"/>
    <w:rsid w:val="6746042D"/>
    <w:rsid w:val="674B9A51"/>
    <w:rsid w:val="674BBD5E"/>
    <w:rsid w:val="67512E57"/>
    <w:rsid w:val="67583A97"/>
    <w:rsid w:val="675F673C"/>
    <w:rsid w:val="675FFB36"/>
    <w:rsid w:val="6766E6B6"/>
    <w:rsid w:val="676CCAD0"/>
    <w:rsid w:val="67738A93"/>
    <w:rsid w:val="677EDCE5"/>
    <w:rsid w:val="67836979"/>
    <w:rsid w:val="6785E003"/>
    <w:rsid w:val="6786D385"/>
    <w:rsid w:val="678704BA"/>
    <w:rsid w:val="679535C6"/>
    <w:rsid w:val="67978841"/>
    <w:rsid w:val="67A6A5B8"/>
    <w:rsid w:val="67AEE244"/>
    <w:rsid w:val="67B4EA2A"/>
    <w:rsid w:val="67C0EBA5"/>
    <w:rsid w:val="67C5E339"/>
    <w:rsid w:val="67C7C830"/>
    <w:rsid w:val="67D2AD70"/>
    <w:rsid w:val="67D8AD42"/>
    <w:rsid w:val="67E58319"/>
    <w:rsid w:val="67E6CC62"/>
    <w:rsid w:val="67F74C26"/>
    <w:rsid w:val="67F898EC"/>
    <w:rsid w:val="680D1BD3"/>
    <w:rsid w:val="681D8C8A"/>
    <w:rsid w:val="682A1008"/>
    <w:rsid w:val="682D134D"/>
    <w:rsid w:val="682FD0D2"/>
    <w:rsid w:val="6846B7B2"/>
    <w:rsid w:val="684835EC"/>
    <w:rsid w:val="684BC1C1"/>
    <w:rsid w:val="68539FE4"/>
    <w:rsid w:val="6854590B"/>
    <w:rsid w:val="685BA6A8"/>
    <w:rsid w:val="686F2031"/>
    <w:rsid w:val="68708B40"/>
    <w:rsid w:val="687E67B6"/>
    <w:rsid w:val="6885599D"/>
    <w:rsid w:val="6890EB20"/>
    <w:rsid w:val="68953D61"/>
    <w:rsid w:val="68965953"/>
    <w:rsid w:val="68A9D237"/>
    <w:rsid w:val="68B10E14"/>
    <w:rsid w:val="68B44BA6"/>
    <w:rsid w:val="68C17E69"/>
    <w:rsid w:val="68C27541"/>
    <w:rsid w:val="68C3A42F"/>
    <w:rsid w:val="68D03AB4"/>
    <w:rsid w:val="68D31456"/>
    <w:rsid w:val="68D3181D"/>
    <w:rsid w:val="68F45E68"/>
    <w:rsid w:val="68FD8C6C"/>
    <w:rsid w:val="68FF8744"/>
    <w:rsid w:val="69050E50"/>
    <w:rsid w:val="690B3F50"/>
    <w:rsid w:val="690F0DFC"/>
    <w:rsid w:val="69237654"/>
    <w:rsid w:val="6923C0F8"/>
    <w:rsid w:val="692B266B"/>
    <w:rsid w:val="692E62A6"/>
    <w:rsid w:val="6931612E"/>
    <w:rsid w:val="69371FBD"/>
    <w:rsid w:val="69401FBE"/>
    <w:rsid w:val="694226E4"/>
    <w:rsid w:val="6949E67E"/>
    <w:rsid w:val="696603C1"/>
    <w:rsid w:val="696B8655"/>
    <w:rsid w:val="697098AC"/>
    <w:rsid w:val="6982A568"/>
    <w:rsid w:val="6988276D"/>
    <w:rsid w:val="698B3079"/>
    <w:rsid w:val="69920EED"/>
    <w:rsid w:val="6997BBBF"/>
    <w:rsid w:val="699ACDDC"/>
    <w:rsid w:val="699F537A"/>
    <w:rsid w:val="69A06EA3"/>
    <w:rsid w:val="69A4806A"/>
    <w:rsid w:val="69BCE245"/>
    <w:rsid w:val="69D4853A"/>
    <w:rsid w:val="69DA7A98"/>
    <w:rsid w:val="69F2E9A7"/>
    <w:rsid w:val="69F70B7F"/>
    <w:rsid w:val="6A02A77C"/>
    <w:rsid w:val="6A03ADCB"/>
    <w:rsid w:val="6A0AEBD6"/>
    <w:rsid w:val="6A0C192E"/>
    <w:rsid w:val="6A0EF030"/>
    <w:rsid w:val="6A104EE2"/>
    <w:rsid w:val="6A1336B9"/>
    <w:rsid w:val="6A250BC0"/>
    <w:rsid w:val="6A274C53"/>
    <w:rsid w:val="6A280FCD"/>
    <w:rsid w:val="6A32010F"/>
    <w:rsid w:val="6A36E5D4"/>
    <w:rsid w:val="6A453259"/>
    <w:rsid w:val="6A4C5D6B"/>
    <w:rsid w:val="6A631084"/>
    <w:rsid w:val="6A68BD99"/>
    <w:rsid w:val="6A728C31"/>
    <w:rsid w:val="6A73CD06"/>
    <w:rsid w:val="6A7A9C4B"/>
    <w:rsid w:val="6A7DACE8"/>
    <w:rsid w:val="6A82B311"/>
    <w:rsid w:val="6A8549AC"/>
    <w:rsid w:val="6A898405"/>
    <w:rsid w:val="6A9B0DF2"/>
    <w:rsid w:val="6AA99585"/>
    <w:rsid w:val="6AAC9C09"/>
    <w:rsid w:val="6AC2D00C"/>
    <w:rsid w:val="6AC4BE2A"/>
    <w:rsid w:val="6AD81DAC"/>
    <w:rsid w:val="6ADA8493"/>
    <w:rsid w:val="6ADDB644"/>
    <w:rsid w:val="6AE196D6"/>
    <w:rsid w:val="6AE5A90C"/>
    <w:rsid w:val="6AE60316"/>
    <w:rsid w:val="6AE9430B"/>
    <w:rsid w:val="6AEA165C"/>
    <w:rsid w:val="6AF20F14"/>
    <w:rsid w:val="6AF369D9"/>
    <w:rsid w:val="6AF370EA"/>
    <w:rsid w:val="6AF75786"/>
    <w:rsid w:val="6AFAE548"/>
    <w:rsid w:val="6B0561B5"/>
    <w:rsid w:val="6B1691C8"/>
    <w:rsid w:val="6B17BC6E"/>
    <w:rsid w:val="6B19D56F"/>
    <w:rsid w:val="6B1BD13C"/>
    <w:rsid w:val="6B1CF33E"/>
    <w:rsid w:val="6B3164C0"/>
    <w:rsid w:val="6B3C2338"/>
    <w:rsid w:val="6B43DF2B"/>
    <w:rsid w:val="6B4F64B3"/>
    <w:rsid w:val="6B50369A"/>
    <w:rsid w:val="6B62BB8B"/>
    <w:rsid w:val="6B653017"/>
    <w:rsid w:val="6B66DAAB"/>
    <w:rsid w:val="6B694E77"/>
    <w:rsid w:val="6B6E2C37"/>
    <w:rsid w:val="6B739754"/>
    <w:rsid w:val="6B8C2D6E"/>
    <w:rsid w:val="6B8D74E6"/>
    <w:rsid w:val="6BA03819"/>
    <w:rsid w:val="6BA438E0"/>
    <w:rsid w:val="6BA8F346"/>
    <w:rsid w:val="6BB260F2"/>
    <w:rsid w:val="6BB283CB"/>
    <w:rsid w:val="6BC56E99"/>
    <w:rsid w:val="6BD074D1"/>
    <w:rsid w:val="6BDD0F06"/>
    <w:rsid w:val="6BE2EBAC"/>
    <w:rsid w:val="6BE99300"/>
    <w:rsid w:val="6BFDE8E3"/>
    <w:rsid w:val="6C0867DA"/>
    <w:rsid w:val="6C0B08AC"/>
    <w:rsid w:val="6C0DF594"/>
    <w:rsid w:val="6C155D83"/>
    <w:rsid w:val="6C170C36"/>
    <w:rsid w:val="6C2F1AA0"/>
    <w:rsid w:val="6C3A6E22"/>
    <w:rsid w:val="6C3DF602"/>
    <w:rsid w:val="6C40007B"/>
    <w:rsid w:val="6C4487D4"/>
    <w:rsid w:val="6C45BE95"/>
    <w:rsid w:val="6C492243"/>
    <w:rsid w:val="6C4A7BC1"/>
    <w:rsid w:val="6C534E45"/>
    <w:rsid w:val="6C54A86A"/>
    <w:rsid w:val="6C5B452E"/>
    <w:rsid w:val="6C6FECA3"/>
    <w:rsid w:val="6C78170D"/>
    <w:rsid w:val="6C792B89"/>
    <w:rsid w:val="6C7EAB74"/>
    <w:rsid w:val="6C88AC98"/>
    <w:rsid w:val="6C8A1F29"/>
    <w:rsid w:val="6C8B5FE0"/>
    <w:rsid w:val="6C8BBF5C"/>
    <w:rsid w:val="6C96089B"/>
    <w:rsid w:val="6C9E59DD"/>
    <w:rsid w:val="6CAB4AAF"/>
    <w:rsid w:val="6CAF7510"/>
    <w:rsid w:val="6CB4E436"/>
    <w:rsid w:val="6CBAECB3"/>
    <w:rsid w:val="6CBF367F"/>
    <w:rsid w:val="6CBF87E0"/>
    <w:rsid w:val="6CC872C6"/>
    <w:rsid w:val="6CCC84A1"/>
    <w:rsid w:val="6CD28F6C"/>
    <w:rsid w:val="6CD5E3D3"/>
    <w:rsid w:val="6CE083D6"/>
    <w:rsid w:val="6CE43F54"/>
    <w:rsid w:val="6D0D7612"/>
    <w:rsid w:val="6D11F6B8"/>
    <w:rsid w:val="6D123B4F"/>
    <w:rsid w:val="6D1C8165"/>
    <w:rsid w:val="6D24B2AB"/>
    <w:rsid w:val="6D32CA8A"/>
    <w:rsid w:val="6D402401"/>
    <w:rsid w:val="6D56E005"/>
    <w:rsid w:val="6D5BF000"/>
    <w:rsid w:val="6D6D59B9"/>
    <w:rsid w:val="6D6F7117"/>
    <w:rsid w:val="6D71FCD0"/>
    <w:rsid w:val="6D737FAB"/>
    <w:rsid w:val="6D829B5B"/>
    <w:rsid w:val="6D83E395"/>
    <w:rsid w:val="6D8633E8"/>
    <w:rsid w:val="6D867738"/>
    <w:rsid w:val="6D89E214"/>
    <w:rsid w:val="6D8DB0E9"/>
    <w:rsid w:val="6D96C117"/>
    <w:rsid w:val="6DB036E6"/>
    <w:rsid w:val="6DB22F29"/>
    <w:rsid w:val="6DB75E5C"/>
    <w:rsid w:val="6DB8525D"/>
    <w:rsid w:val="6DBFBD6B"/>
    <w:rsid w:val="6DC2C740"/>
    <w:rsid w:val="6DD0E79C"/>
    <w:rsid w:val="6DD21AEC"/>
    <w:rsid w:val="6DD7DD63"/>
    <w:rsid w:val="6DE8DCD4"/>
    <w:rsid w:val="6DEAD511"/>
    <w:rsid w:val="6DEE5515"/>
    <w:rsid w:val="6E02BAB1"/>
    <w:rsid w:val="6E0FDF63"/>
    <w:rsid w:val="6E146135"/>
    <w:rsid w:val="6E1BA3F8"/>
    <w:rsid w:val="6E206D74"/>
    <w:rsid w:val="6E227872"/>
    <w:rsid w:val="6E246C70"/>
    <w:rsid w:val="6E247370"/>
    <w:rsid w:val="6E2AD21F"/>
    <w:rsid w:val="6E2C5F74"/>
    <w:rsid w:val="6E2F0B48"/>
    <w:rsid w:val="6E31392F"/>
    <w:rsid w:val="6E352058"/>
    <w:rsid w:val="6E3DA9C2"/>
    <w:rsid w:val="6E4051C3"/>
    <w:rsid w:val="6E4243E2"/>
    <w:rsid w:val="6E45817E"/>
    <w:rsid w:val="6E49891D"/>
    <w:rsid w:val="6E4BEC5D"/>
    <w:rsid w:val="6E5C9578"/>
    <w:rsid w:val="6E662E45"/>
    <w:rsid w:val="6E6E372A"/>
    <w:rsid w:val="6E795FA5"/>
    <w:rsid w:val="6E849062"/>
    <w:rsid w:val="6E8569A1"/>
    <w:rsid w:val="6E91146D"/>
    <w:rsid w:val="6E9CB53F"/>
    <w:rsid w:val="6EB1E649"/>
    <w:rsid w:val="6ECA505D"/>
    <w:rsid w:val="6ECA68D0"/>
    <w:rsid w:val="6ECDD709"/>
    <w:rsid w:val="6ED42764"/>
    <w:rsid w:val="6EDC6D94"/>
    <w:rsid w:val="6EDFF724"/>
    <w:rsid w:val="6EE0837B"/>
    <w:rsid w:val="6EE4631A"/>
    <w:rsid w:val="6EE92ACA"/>
    <w:rsid w:val="6EE95544"/>
    <w:rsid w:val="6EE9ACB8"/>
    <w:rsid w:val="6EEE500E"/>
    <w:rsid w:val="6EF3B716"/>
    <w:rsid w:val="6F06B67D"/>
    <w:rsid w:val="6F089513"/>
    <w:rsid w:val="6F12641F"/>
    <w:rsid w:val="6F1347B0"/>
    <w:rsid w:val="6F1C4DFF"/>
    <w:rsid w:val="6F1D4118"/>
    <w:rsid w:val="6F2591CF"/>
    <w:rsid w:val="6F267A1D"/>
    <w:rsid w:val="6F367C65"/>
    <w:rsid w:val="6F378DA4"/>
    <w:rsid w:val="6F3C68E2"/>
    <w:rsid w:val="6F3E6815"/>
    <w:rsid w:val="6F46F78D"/>
    <w:rsid w:val="6F48EA2E"/>
    <w:rsid w:val="6F4EA56B"/>
    <w:rsid w:val="6F5BD485"/>
    <w:rsid w:val="6F6A675B"/>
    <w:rsid w:val="6F6C2085"/>
    <w:rsid w:val="6F7024FD"/>
    <w:rsid w:val="6F71356C"/>
    <w:rsid w:val="6F7257D9"/>
    <w:rsid w:val="6F759D69"/>
    <w:rsid w:val="6F81B28B"/>
    <w:rsid w:val="6F91E56A"/>
    <w:rsid w:val="6F995F54"/>
    <w:rsid w:val="6F9B1EAB"/>
    <w:rsid w:val="6F9F76E6"/>
    <w:rsid w:val="6FA5759F"/>
    <w:rsid w:val="6FA5E95F"/>
    <w:rsid w:val="6FB15F2E"/>
    <w:rsid w:val="6FB82593"/>
    <w:rsid w:val="6FD89CCA"/>
    <w:rsid w:val="6FDD94BA"/>
    <w:rsid w:val="6FDFCD9B"/>
    <w:rsid w:val="6FE68F72"/>
    <w:rsid w:val="6FEDF018"/>
    <w:rsid w:val="6FF1AD91"/>
    <w:rsid w:val="6FF32487"/>
    <w:rsid w:val="6FF43B48"/>
    <w:rsid w:val="6FFA6E60"/>
    <w:rsid w:val="700B5400"/>
    <w:rsid w:val="70194A24"/>
    <w:rsid w:val="701FD866"/>
    <w:rsid w:val="70261507"/>
    <w:rsid w:val="7033983C"/>
    <w:rsid w:val="70395124"/>
    <w:rsid w:val="703A367A"/>
    <w:rsid w:val="704498AB"/>
    <w:rsid w:val="704D36EE"/>
    <w:rsid w:val="705CD622"/>
    <w:rsid w:val="706224C8"/>
    <w:rsid w:val="70663511"/>
    <w:rsid w:val="706B7193"/>
    <w:rsid w:val="706FD071"/>
    <w:rsid w:val="70739509"/>
    <w:rsid w:val="707CBCCD"/>
    <w:rsid w:val="70866ADC"/>
    <w:rsid w:val="70882EBF"/>
    <w:rsid w:val="7088D7E7"/>
    <w:rsid w:val="708A26DC"/>
    <w:rsid w:val="708C47F4"/>
    <w:rsid w:val="7097B05C"/>
    <w:rsid w:val="70A9B244"/>
    <w:rsid w:val="70AD33A6"/>
    <w:rsid w:val="70BFD20A"/>
    <w:rsid w:val="70C42D47"/>
    <w:rsid w:val="70CF3EE5"/>
    <w:rsid w:val="70D5CA10"/>
    <w:rsid w:val="70D88067"/>
    <w:rsid w:val="70EF716F"/>
    <w:rsid w:val="70F918DA"/>
    <w:rsid w:val="7108E551"/>
    <w:rsid w:val="710D63E3"/>
    <w:rsid w:val="71174D57"/>
    <w:rsid w:val="711CA3B4"/>
    <w:rsid w:val="713038FE"/>
    <w:rsid w:val="7132827B"/>
    <w:rsid w:val="713E296D"/>
    <w:rsid w:val="71563B09"/>
    <w:rsid w:val="715992AD"/>
    <w:rsid w:val="715E4A5E"/>
    <w:rsid w:val="7160D661"/>
    <w:rsid w:val="71625345"/>
    <w:rsid w:val="716BB719"/>
    <w:rsid w:val="717AE03E"/>
    <w:rsid w:val="717AE8B9"/>
    <w:rsid w:val="71825CA7"/>
    <w:rsid w:val="718F49F5"/>
    <w:rsid w:val="71959C2E"/>
    <w:rsid w:val="719A2BC5"/>
    <w:rsid w:val="719D60F3"/>
    <w:rsid w:val="71A3F89A"/>
    <w:rsid w:val="71A78AA0"/>
    <w:rsid w:val="71AA4CB8"/>
    <w:rsid w:val="71B21C32"/>
    <w:rsid w:val="71BB3F9B"/>
    <w:rsid w:val="71C603E3"/>
    <w:rsid w:val="71C7BA7D"/>
    <w:rsid w:val="71C9766F"/>
    <w:rsid w:val="71D4A46C"/>
    <w:rsid w:val="71D83A55"/>
    <w:rsid w:val="71E05AE4"/>
    <w:rsid w:val="71ED99F8"/>
    <w:rsid w:val="71F91DEE"/>
    <w:rsid w:val="720ADADD"/>
    <w:rsid w:val="7212E2A6"/>
    <w:rsid w:val="7216B980"/>
    <w:rsid w:val="72198152"/>
    <w:rsid w:val="72198AF3"/>
    <w:rsid w:val="722358E6"/>
    <w:rsid w:val="7226752A"/>
    <w:rsid w:val="72317822"/>
    <w:rsid w:val="723A7DBC"/>
    <w:rsid w:val="723D2A9C"/>
    <w:rsid w:val="72408253"/>
    <w:rsid w:val="72468ACB"/>
    <w:rsid w:val="724AF11A"/>
    <w:rsid w:val="72544E71"/>
    <w:rsid w:val="725E0CE5"/>
    <w:rsid w:val="725F2A3E"/>
    <w:rsid w:val="726953DE"/>
    <w:rsid w:val="7273638E"/>
    <w:rsid w:val="72817A34"/>
    <w:rsid w:val="7284016D"/>
    <w:rsid w:val="7290A45A"/>
    <w:rsid w:val="7296E1DB"/>
    <w:rsid w:val="729A42CF"/>
    <w:rsid w:val="729D3CDF"/>
    <w:rsid w:val="72A588A6"/>
    <w:rsid w:val="72B0328B"/>
    <w:rsid w:val="72B13A08"/>
    <w:rsid w:val="72B2EB40"/>
    <w:rsid w:val="72B740D8"/>
    <w:rsid w:val="72B75AAE"/>
    <w:rsid w:val="72C30314"/>
    <w:rsid w:val="72C7F0AA"/>
    <w:rsid w:val="72CABE8C"/>
    <w:rsid w:val="72D6A80B"/>
    <w:rsid w:val="72D96705"/>
    <w:rsid w:val="72DCADCA"/>
    <w:rsid w:val="72EC83AE"/>
    <w:rsid w:val="72EEEDC9"/>
    <w:rsid w:val="72F0319B"/>
    <w:rsid w:val="72F5E995"/>
    <w:rsid w:val="730635C9"/>
    <w:rsid w:val="730FE280"/>
    <w:rsid w:val="731497C7"/>
    <w:rsid w:val="73232D0F"/>
    <w:rsid w:val="7327E73F"/>
    <w:rsid w:val="732B15E7"/>
    <w:rsid w:val="73309985"/>
    <w:rsid w:val="733A0F48"/>
    <w:rsid w:val="73406FC4"/>
    <w:rsid w:val="734D6548"/>
    <w:rsid w:val="734DA8B1"/>
    <w:rsid w:val="734FC79C"/>
    <w:rsid w:val="735B708B"/>
    <w:rsid w:val="736F5858"/>
    <w:rsid w:val="73729D65"/>
    <w:rsid w:val="73744E6B"/>
    <w:rsid w:val="737D8D4E"/>
    <w:rsid w:val="737DD49B"/>
    <w:rsid w:val="73819BDD"/>
    <w:rsid w:val="73898C1C"/>
    <w:rsid w:val="738DB819"/>
    <w:rsid w:val="738DB84B"/>
    <w:rsid w:val="7391A4AD"/>
    <w:rsid w:val="73975B4E"/>
    <w:rsid w:val="73ADCE76"/>
    <w:rsid w:val="73D0515D"/>
    <w:rsid w:val="73D56DCE"/>
    <w:rsid w:val="73E3982E"/>
    <w:rsid w:val="73E93C4E"/>
    <w:rsid w:val="73F2A5E0"/>
    <w:rsid w:val="73F91E5E"/>
    <w:rsid w:val="73FCF234"/>
    <w:rsid w:val="73FE30E6"/>
    <w:rsid w:val="740B9B35"/>
    <w:rsid w:val="740C1BF5"/>
    <w:rsid w:val="741002CD"/>
    <w:rsid w:val="7412ADFE"/>
    <w:rsid w:val="7418F345"/>
    <w:rsid w:val="74288F51"/>
    <w:rsid w:val="742D852D"/>
    <w:rsid w:val="742E897D"/>
    <w:rsid w:val="743840B2"/>
    <w:rsid w:val="743A7DE5"/>
    <w:rsid w:val="743F059F"/>
    <w:rsid w:val="74455392"/>
    <w:rsid w:val="7453B354"/>
    <w:rsid w:val="7454D03D"/>
    <w:rsid w:val="745A855C"/>
    <w:rsid w:val="745AF256"/>
    <w:rsid w:val="7467FF26"/>
    <w:rsid w:val="7477DB0F"/>
    <w:rsid w:val="7478DB46"/>
    <w:rsid w:val="747D7F8F"/>
    <w:rsid w:val="7487C580"/>
    <w:rsid w:val="7488B341"/>
    <w:rsid w:val="748CBF7F"/>
    <w:rsid w:val="74A034F6"/>
    <w:rsid w:val="74A0C2FC"/>
    <w:rsid w:val="74A6242D"/>
    <w:rsid w:val="74A7848E"/>
    <w:rsid w:val="74A9EFDE"/>
    <w:rsid w:val="74B2304C"/>
    <w:rsid w:val="74BBE9A8"/>
    <w:rsid w:val="74BC1D2A"/>
    <w:rsid w:val="74BC7A10"/>
    <w:rsid w:val="74E414EA"/>
    <w:rsid w:val="74E52452"/>
    <w:rsid w:val="74E6FAEB"/>
    <w:rsid w:val="74FAA7BA"/>
    <w:rsid w:val="74FCCB64"/>
    <w:rsid w:val="75000441"/>
    <w:rsid w:val="7503BA42"/>
    <w:rsid w:val="75056AFE"/>
    <w:rsid w:val="7509019D"/>
    <w:rsid w:val="750B4F73"/>
    <w:rsid w:val="75247071"/>
    <w:rsid w:val="7525137C"/>
    <w:rsid w:val="75262FD5"/>
    <w:rsid w:val="752B6C27"/>
    <w:rsid w:val="7535D160"/>
    <w:rsid w:val="7536680F"/>
    <w:rsid w:val="753884ED"/>
    <w:rsid w:val="753D83AF"/>
    <w:rsid w:val="75443F8B"/>
    <w:rsid w:val="7546D0C2"/>
    <w:rsid w:val="754D0E0B"/>
    <w:rsid w:val="754FA82A"/>
    <w:rsid w:val="7558A169"/>
    <w:rsid w:val="755D37D1"/>
    <w:rsid w:val="755E5AD6"/>
    <w:rsid w:val="75642583"/>
    <w:rsid w:val="7570CA08"/>
    <w:rsid w:val="7581DB9F"/>
    <w:rsid w:val="75833EA9"/>
    <w:rsid w:val="7584DD1E"/>
    <w:rsid w:val="758B44AE"/>
    <w:rsid w:val="758C4E7A"/>
    <w:rsid w:val="759E4504"/>
    <w:rsid w:val="75A080E7"/>
    <w:rsid w:val="75B3E8AA"/>
    <w:rsid w:val="75B8045C"/>
    <w:rsid w:val="75BA37F1"/>
    <w:rsid w:val="75BAC6D9"/>
    <w:rsid w:val="75C9BF9B"/>
    <w:rsid w:val="75CB211F"/>
    <w:rsid w:val="75D36050"/>
    <w:rsid w:val="75D5F1ED"/>
    <w:rsid w:val="75E22313"/>
    <w:rsid w:val="75E5C88E"/>
    <w:rsid w:val="75E98B77"/>
    <w:rsid w:val="75EE3330"/>
    <w:rsid w:val="75FBB535"/>
    <w:rsid w:val="75FC86E4"/>
    <w:rsid w:val="75FD3442"/>
    <w:rsid w:val="7606EAE4"/>
    <w:rsid w:val="760A72C3"/>
    <w:rsid w:val="760C59A2"/>
    <w:rsid w:val="760F116E"/>
    <w:rsid w:val="7614AB24"/>
    <w:rsid w:val="761DE5FB"/>
    <w:rsid w:val="76259375"/>
    <w:rsid w:val="763E1F74"/>
    <w:rsid w:val="764EB960"/>
    <w:rsid w:val="76531C3E"/>
    <w:rsid w:val="7655F104"/>
    <w:rsid w:val="766D090B"/>
    <w:rsid w:val="766D363A"/>
    <w:rsid w:val="7671B63F"/>
    <w:rsid w:val="76793C43"/>
    <w:rsid w:val="7683352B"/>
    <w:rsid w:val="768D5E4D"/>
    <w:rsid w:val="768DB860"/>
    <w:rsid w:val="7692EBC5"/>
    <w:rsid w:val="7699927A"/>
    <w:rsid w:val="769F235B"/>
    <w:rsid w:val="769F50AF"/>
    <w:rsid w:val="76A2E8CF"/>
    <w:rsid w:val="76A7F865"/>
    <w:rsid w:val="76AAF226"/>
    <w:rsid w:val="76B818E0"/>
    <w:rsid w:val="76B88EBC"/>
    <w:rsid w:val="76BC57E3"/>
    <w:rsid w:val="76C83E36"/>
    <w:rsid w:val="76D3E827"/>
    <w:rsid w:val="76D79E7A"/>
    <w:rsid w:val="76DB6735"/>
    <w:rsid w:val="76E863D8"/>
    <w:rsid w:val="76E92EA4"/>
    <w:rsid w:val="76EC438A"/>
    <w:rsid w:val="76FADC43"/>
    <w:rsid w:val="76FB735C"/>
    <w:rsid w:val="77026789"/>
    <w:rsid w:val="7707618D"/>
    <w:rsid w:val="77152840"/>
    <w:rsid w:val="77296CA6"/>
    <w:rsid w:val="772DD2A3"/>
    <w:rsid w:val="773289A0"/>
    <w:rsid w:val="77340E97"/>
    <w:rsid w:val="77431D54"/>
    <w:rsid w:val="77473131"/>
    <w:rsid w:val="7749EA16"/>
    <w:rsid w:val="775350C6"/>
    <w:rsid w:val="775A00CD"/>
    <w:rsid w:val="77636241"/>
    <w:rsid w:val="77698E2C"/>
    <w:rsid w:val="776CF065"/>
    <w:rsid w:val="77748C59"/>
    <w:rsid w:val="777E2111"/>
    <w:rsid w:val="77843DE0"/>
    <w:rsid w:val="7784A526"/>
    <w:rsid w:val="7787E2E6"/>
    <w:rsid w:val="778ACBD1"/>
    <w:rsid w:val="778BB006"/>
    <w:rsid w:val="778C76B9"/>
    <w:rsid w:val="7795D171"/>
    <w:rsid w:val="779C7A92"/>
    <w:rsid w:val="77A21120"/>
    <w:rsid w:val="77AE6975"/>
    <w:rsid w:val="77B1116A"/>
    <w:rsid w:val="77B16666"/>
    <w:rsid w:val="77B2A60A"/>
    <w:rsid w:val="77CC60E3"/>
    <w:rsid w:val="77CFC159"/>
    <w:rsid w:val="77DB8D94"/>
    <w:rsid w:val="77DC825D"/>
    <w:rsid w:val="77DE1338"/>
    <w:rsid w:val="77E5D8E6"/>
    <w:rsid w:val="77F965FA"/>
    <w:rsid w:val="77FE067F"/>
    <w:rsid w:val="78070984"/>
    <w:rsid w:val="78084E1D"/>
    <w:rsid w:val="780F3851"/>
    <w:rsid w:val="781384A0"/>
    <w:rsid w:val="781719D3"/>
    <w:rsid w:val="781781E5"/>
    <w:rsid w:val="781BFED2"/>
    <w:rsid w:val="782E085D"/>
    <w:rsid w:val="78383226"/>
    <w:rsid w:val="783AF818"/>
    <w:rsid w:val="783ED1E7"/>
    <w:rsid w:val="78446705"/>
    <w:rsid w:val="78572498"/>
    <w:rsid w:val="7859A56C"/>
    <w:rsid w:val="7863C56D"/>
    <w:rsid w:val="78653218"/>
    <w:rsid w:val="786B3E6F"/>
    <w:rsid w:val="786D548C"/>
    <w:rsid w:val="787CACCD"/>
    <w:rsid w:val="788F7B20"/>
    <w:rsid w:val="789BAC58"/>
    <w:rsid w:val="789BEBC1"/>
    <w:rsid w:val="789C1D2A"/>
    <w:rsid w:val="78AD3D21"/>
    <w:rsid w:val="78B4D71C"/>
    <w:rsid w:val="78B5E180"/>
    <w:rsid w:val="78B873F6"/>
    <w:rsid w:val="78BAC10B"/>
    <w:rsid w:val="78BD8497"/>
    <w:rsid w:val="78C201B1"/>
    <w:rsid w:val="78C23983"/>
    <w:rsid w:val="78CBE57C"/>
    <w:rsid w:val="78D2947B"/>
    <w:rsid w:val="78E70680"/>
    <w:rsid w:val="78E8FF4E"/>
    <w:rsid w:val="78EB4D6A"/>
    <w:rsid w:val="78ED2135"/>
    <w:rsid w:val="78F47314"/>
    <w:rsid w:val="78F5AF37"/>
    <w:rsid w:val="7902C6DB"/>
    <w:rsid w:val="790438BC"/>
    <w:rsid w:val="7906BF53"/>
    <w:rsid w:val="790EB8C1"/>
    <w:rsid w:val="7910FDB1"/>
    <w:rsid w:val="79116F5C"/>
    <w:rsid w:val="79146053"/>
    <w:rsid w:val="7928F48D"/>
    <w:rsid w:val="7932A165"/>
    <w:rsid w:val="7933B04D"/>
    <w:rsid w:val="793476F0"/>
    <w:rsid w:val="793C11D9"/>
    <w:rsid w:val="793CAB96"/>
    <w:rsid w:val="793EB0D1"/>
    <w:rsid w:val="794D241A"/>
    <w:rsid w:val="794F0AD8"/>
    <w:rsid w:val="795922CB"/>
    <w:rsid w:val="795B9456"/>
    <w:rsid w:val="796438D1"/>
    <w:rsid w:val="79694484"/>
    <w:rsid w:val="797B7D3D"/>
    <w:rsid w:val="798785B6"/>
    <w:rsid w:val="798E8712"/>
    <w:rsid w:val="79956899"/>
    <w:rsid w:val="799EBC1A"/>
    <w:rsid w:val="79A0F750"/>
    <w:rsid w:val="79B3A7DF"/>
    <w:rsid w:val="79B6133B"/>
    <w:rsid w:val="79BD01C3"/>
    <w:rsid w:val="79C00BD1"/>
    <w:rsid w:val="79C63523"/>
    <w:rsid w:val="79C6CC69"/>
    <w:rsid w:val="79CF0549"/>
    <w:rsid w:val="79CF2C12"/>
    <w:rsid w:val="79D8F7BB"/>
    <w:rsid w:val="7A11824C"/>
    <w:rsid w:val="7A1BABF4"/>
    <w:rsid w:val="7A30117C"/>
    <w:rsid w:val="7A40E70D"/>
    <w:rsid w:val="7A444FD5"/>
    <w:rsid w:val="7A4FC2E4"/>
    <w:rsid w:val="7A59F5E6"/>
    <w:rsid w:val="7A5D4B2E"/>
    <w:rsid w:val="7A5F7D98"/>
    <w:rsid w:val="7A704630"/>
    <w:rsid w:val="7A7F1F49"/>
    <w:rsid w:val="7A7F2575"/>
    <w:rsid w:val="7A8638D5"/>
    <w:rsid w:val="7A899313"/>
    <w:rsid w:val="7A9474BE"/>
    <w:rsid w:val="7A9736B2"/>
    <w:rsid w:val="7A9D1DD7"/>
    <w:rsid w:val="7AA21860"/>
    <w:rsid w:val="7AA8BB28"/>
    <w:rsid w:val="7AB3BB32"/>
    <w:rsid w:val="7AB418F9"/>
    <w:rsid w:val="7AB65F7F"/>
    <w:rsid w:val="7AC070E5"/>
    <w:rsid w:val="7AC37068"/>
    <w:rsid w:val="7AD40235"/>
    <w:rsid w:val="7ADC53A1"/>
    <w:rsid w:val="7ADCB5C3"/>
    <w:rsid w:val="7ADE8981"/>
    <w:rsid w:val="7AEFE8DA"/>
    <w:rsid w:val="7AF19A82"/>
    <w:rsid w:val="7AF99BCD"/>
    <w:rsid w:val="7AFDA32C"/>
    <w:rsid w:val="7B0B5505"/>
    <w:rsid w:val="7B1104FF"/>
    <w:rsid w:val="7B142BF6"/>
    <w:rsid w:val="7B171941"/>
    <w:rsid w:val="7B3385CF"/>
    <w:rsid w:val="7B4999B5"/>
    <w:rsid w:val="7B4A119C"/>
    <w:rsid w:val="7B4AD326"/>
    <w:rsid w:val="7B4E9A6F"/>
    <w:rsid w:val="7B53F8C3"/>
    <w:rsid w:val="7B55F4B1"/>
    <w:rsid w:val="7B821C95"/>
    <w:rsid w:val="7B8668A0"/>
    <w:rsid w:val="7B8DEE48"/>
    <w:rsid w:val="7B91B878"/>
    <w:rsid w:val="7B9C8E55"/>
    <w:rsid w:val="7BAD4896"/>
    <w:rsid w:val="7BAFFB33"/>
    <w:rsid w:val="7BC4CA61"/>
    <w:rsid w:val="7BC55803"/>
    <w:rsid w:val="7BCE4305"/>
    <w:rsid w:val="7BD752B6"/>
    <w:rsid w:val="7BDE7D3C"/>
    <w:rsid w:val="7BF3D714"/>
    <w:rsid w:val="7BFCA628"/>
    <w:rsid w:val="7BFFD631"/>
    <w:rsid w:val="7C125949"/>
    <w:rsid w:val="7C1815E8"/>
    <w:rsid w:val="7C23D781"/>
    <w:rsid w:val="7C2677AD"/>
    <w:rsid w:val="7C2CFD64"/>
    <w:rsid w:val="7C40019D"/>
    <w:rsid w:val="7C530163"/>
    <w:rsid w:val="7C662200"/>
    <w:rsid w:val="7C6CBB22"/>
    <w:rsid w:val="7C78B109"/>
    <w:rsid w:val="7C79AA2F"/>
    <w:rsid w:val="7C7D3F7A"/>
    <w:rsid w:val="7C7F4CF6"/>
    <w:rsid w:val="7C8B625A"/>
    <w:rsid w:val="7C955E83"/>
    <w:rsid w:val="7CA01342"/>
    <w:rsid w:val="7CAF4839"/>
    <w:rsid w:val="7CB2413F"/>
    <w:rsid w:val="7CB4CD47"/>
    <w:rsid w:val="7CBC1079"/>
    <w:rsid w:val="7CCAF027"/>
    <w:rsid w:val="7CCD5652"/>
    <w:rsid w:val="7CCE1989"/>
    <w:rsid w:val="7CD2F542"/>
    <w:rsid w:val="7CDBF44C"/>
    <w:rsid w:val="7CEA97E0"/>
    <w:rsid w:val="7CF7EA9A"/>
    <w:rsid w:val="7CF8A52F"/>
    <w:rsid w:val="7CF9C785"/>
    <w:rsid w:val="7CFA016A"/>
    <w:rsid w:val="7D095FE3"/>
    <w:rsid w:val="7D0E99DC"/>
    <w:rsid w:val="7D1FD900"/>
    <w:rsid w:val="7D2225CC"/>
    <w:rsid w:val="7D2AE74A"/>
    <w:rsid w:val="7D3368EF"/>
    <w:rsid w:val="7D362C57"/>
    <w:rsid w:val="7D3BB8EB"/>
    <w:rsid w:val="7D469C71"/>
    <w:rsid w:val="7D477CEB"/>
    <w:rsid w:val="7D630754"/>
    <w:rsid w:val="7D71773F"/>
    <w:rsid w:val="7D776012"/>
    <w:rsid w:val="7D91BC89"/>
    <w:rsid w:val="7D9EFFD3"/>
    <w:rsid w:val="7DA048D2"/>
    <w:rsid w:val="7DA5310D"/>
    <w:rsid w:val="7DAF55E3"/>
    <w:rsid w:val="7DB1ADA9"/>
    <w:rsid w:val="7DB40D27"/>
    <w:rsid w:val="7DBF6D71"/>
    <w:rsid w:val="7DCDEFBC"/>
    <w:rsid w:val="7DD77724"/>
    <w:rsid w:val="7DDDC2BA"/>
    <w:rsid w:val="7DE0640C"/>
    <w:rsid w:val="7DE107B7"/>
    <w:rsid w:val="7DF81B7F"/>
    <w:rsid w:val="7E02F644"/>
    <w:rsid w:val="7E038CC7"/>
    <w:rsid w:val="7E0CF533"/>
    <w:rsid w:val="7E166D2A"/>
    <w:rsid w:val="7E195C36"/>
    <w:rsid w:val="7E1B25ED"/>
    <w:rsid w:val="7E258BDE"/>
    <w:rsid w:val="7E27933B"/>
    <w:rsid w:val="7E3D487D"/>
    <w:rsid w:val="7E47D9DC"/>
    <w:rsid w:val="7E496D57"/>
    <w:rsid w:val="7E49B3E6"/>
    <w:rsid w:val="7E50C075"/>
    <w:rsid w:val="7E5EC6AE"/>
    <w:rsid w:val="7E65D524"/>
    <w:rsid w:val="7E706EFE"/>
    <w:rsid w:val="7E7844D0"/>
    <w:rsid w:val="7E81C859"/>
    <w:rsid w:val="7E8AF264"/>
    <w:rsid w:val="7E8B673E"/>
    <w:rsid w:val="7E8C8D1D"/>
    <w:rsid w:val="7E99116A"/>
    <w:rsid w:val="7E9F0FC2"/>
    <w:rsid w:val="7EA0998E"/>
    <w:rsid w:val="7EA1A576"/>
    <w:rsid w:val="7EAB4A4F"/>
    <w:rsid w:val="7EAED55C"/>
    <w:rsid w:val="7EB57A0E"/>
    <w:rsid w:val="7EB783E0"/>
    <w:rsid w:val="7EB91B7B"/>
    <w:rsid w:val="7EBD4D44"/>
    <w:rsid w:val="7EC82E2A"/>
    <w:rsid w:val="7ED334B4"/>
    <w:rsid w:val="7ED9CBD5"/>
    <w:rsid w:val="7EDBA33A"/>
    <w:rsid w:val="7EDBEEE6"/>
    <w:rsid w:val="7EE012C6"/>
    <w:rsid w:val="7EE8ACFF"/>
    <w:rsid w:val="7EED6B5D"/>
    <w:rsid w:val="7EF2F432"/>
    <w:rsid w:val="7EF581E9"/>
    <w:rsid w:val="7EFFA849"/>
    <w:rsid w:val="7F06DFF2"/>
    <w:rsid w:val="7F21C5D3"/>
    <w:rsid w:val="7F26DFD6"/>
    <w:rsid w:val="7F31E39E"/>
    <w:rsid w:val="7F331963"/>
    <w:rsid w:val="7F399DF7"/>
    <w:rsid w:val="7F3B75C3"/>
    <w:rsid w:val="7F405B68"/>
    <w:rsid w:val="7F40E8D3"/>
    <w:rsid w:val="7F44709D"/>
    <w:rsid w:val="7F4A7E57"/>
    <w:rsid w:val="7F4EC9CC"/>
    <w:rsid w:val="7F502249"/>
    <w:rsid w:val="7F5C8DBA"/>
    <w:rsid w:val="7F6A9FD2"/>
    <w:rsid w:val="7F6D87CB"/>
    <w:rsid w:val="7F7327D4"/>
    <w:rsid w:val="7F74C4FC"/>
    <w:rsid w:val="7F7E5EC9"/>
    <w:rsid w:val="7F7E93C1"/>
    <w:rsid w:val="7F8644BE"/>
    <w:rsid w:val="7F95EE05"/>
    <w:rsid w:val="7F98512F"/>
    <w:rsid w:val="7FA3A6D6"/>
    <w:rsid w:val="7FAC7D18"/>
    <w:rsid w:val="7FAFE93C"/>
    <w:rsid w:val="7FCC26B9"/>
    <w:rsid w:val="7FCC3E3A"/>
    <w:rsid w:val="7FCE56AA"/>
    <w:rsid w:val="7FE3C290"/>
    <w:rsid w:val="7FED5C5B"/>
    <w:rsid w:val="7FF36B3C"/>
    <w:rsid w:val="7FF6964D"/>
    <w:rsid w:val="7FFBC03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CD8613"/>
  <w15:chartTrackingRefBased/>
  <w15:docId w15:val="{E08B6799-D9B5-47F4-9D5C-952A26BD2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7D1"/>
    <w:pPr>
      <w:spacing w:before="240" w:after="60"/>
    </w:pPr>
  </w:style>
  <w:style w:type="paragraph" w:styleId="Heading1">
    <w:name w:val="heading 1"/>
    <w:basedOn w:val="Normal"/>
    <w:next w:val="Normal"/>
    <w:link w:val="Heading1Char"/>
    <w:uiPriority w:val="9"/>
    <w:qFormat/>
    <w:rsid w:val="00CE0649"/>
    <w:pPr>
      <w:keepNext/>
      <w:keepLines/>
      <w:spacing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E0649"/>
    <w:pPr>
      <w:keepNext/>
      <w:keepLines/>
      <w:spacing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C1D80"/>
    <w:pPr>
      <w:keepNext/>
      <w:keepLines/>
      <w:spacing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13C6F"/>
    <w:pPr>
      <w:keepNext/>
      <w:keepLines/>
      <w:spacing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E064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CE0649"/>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4E1102"/>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0649"/>
    <w:pPr>
      <w:numPr>
        <w:numId w:val="50"/>
      </w:num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649"/>
    <w:rPr>
      <w:rFonts w:ascii="Segoe UI" w:hAnsi="Segoe UI" w:cs="Segoe UI"/>
      <w:sz w:val="18"/>
      <w:szCs w:val="18"/>
    </w:rPr>
  </w:style>
  <w:style w:type="character" w:customStyle="1" w:styleId="Heading1Char">
    <w:name w:val="Heading 1 Char"/>
    <w:basedOn w:val="DefaultParagraphFont"/>
    <w:link w:val="Heading1"/>
    <w:uiPriority w:val="9"/>
    <w:rsid w:val="00CE064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E064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C1D8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13C6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CE064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CE0649"/>
    <w:rPr>
      <w:rFonts w:asciiTheme="majorHAnsi" w:eastAsiaTheme="majorEastAsia" w:hAnsiTheme="majorHAnsi" w:cstheme="majorBidi"/>
      <w:color w:val="1F3763" w:themeColor="accent1" w:themeShade="7F"/>
    </w:rPr>
  </w:style>
  <w:style w:type="paragraph" w:styleId="ListParagraph">
    <w:name w:val="List Paragraph"/>
    <w:aliases w:val="Rec para,List Paragraph1,Recommendation,List Paragraph11"/>
    <w:basedOn w:val="Normal"/>
    <w:link w:val="ListParagraphChar"/>
    <w:uiPriority w:val="34"/>
    <w:qFormat/>
    <w:rsid w:val="00CE0649"/>
    <w:pPr>
      <w:ind w:left="720"/>
      <w:contextualSpacing/>
    </w:pPr>
  </w:style>
  <w:style w:type="paragraph" w:styleId="FootnoteText">
    <w:name w:val="footnote text"/>
    <w:aliases w:val="ALTS FOOTNOTE,AQC Footnote"/>
    <w:basedOn w:val="Normal"/>
    <w:link w:val="FootnoteTextChar"/>
    <w:uiPriority w:val="99"/>
    <w:unhideWhenUsed/>
    <w:qFormat/>
    <w:rsid w:val="00CE0649"/>
    <w:pPr>
      <w:numPr>
        <w:numId w:val="36"/>
      </w:numPr>
      <w:tabs>
        <w:tab w:val="num" w:pos="360"/>
      </w:tabs>
      <w:spacing w:after="0" w:line="240" w:lineRule="auto"/>
      <w:ind w:firstLine="0"/>
    </w:pPr>
    <w:rPr>
      <w:sz w:val="18"/>
      <w:szCs w:val="20"/>
      <w:lang w:val="en-US"/>
    </w:rPr>
  </w:style>
  <w:style w:type="character" w:customStyle="1" w:styleId="FootnoteTextChar">
    <w:name w:val="Footnote Text Char"/>
    <w:aliases w:val="ALTS FOOTNOTE Char,AQC Footnote Char"/>
    <w:basedOn w:val="DefaultParagraphFont"/>
    <w:link w:val="FootnoteText"/>
    <w:uiPriority w:val="99"/>
    <w:rsid w:val="00CE0649"/>
    <w:rPr>
      <w:sz w:val="18"/>
      <w:szCs w:val="20"/>
      <w:lang w:val="en-US"/>
    </w:rPr>
  </w:style>
  <w:style w:type="character" w:styleId="FootnoteReference">
    <w:name w:val="footnote reference"/>
    <w:basedOn w:val="DefaultParagraphFont"/>
    <w:uiPriority w:val="99"/>
    <w:unhideWhenUsed/>
    <w:rsid w:val="00CE0649"/>
    <w:rPr>
      <w:vertAlign w:val="superscript"/>
    </w:rPr>
  </w:style>
  <w:style w:type="character" w:styleId="Hyperlink">
    <w:name w:val="Hyperlink"/>
    <w:basedOn w:val="DefaultParagraphFont"/>
    <w:uiPriority w:val="99"/>
    <w:unhideWhenUsed/>
    <w:rsid w:val="00CE0649"/>
    <w:rPr>
      <w:color w:val="0563C1" w:themeColor="hyperlink"/>
      <w:u w:val="single"/>
    </w:rPr>
  </w:style>
  <w:style w:type="character" w:customStyle="1" w:styleId="ListParagraphChar">
    <w:name w:val="List Paragraph Char"/>
    <w:aliases w:val="Rec para Char,List Paragraph1 Char,Recommendation Char,List Paragraph11 Char"/>
    <w:basedOn w:val="DefaultParagraphFont"/>
    <w:link w:val="ListParagraph"/>
    <w:uiPriority w:val="34"/>
    <w:locked/>
    <w:rsid w:val="00CE0649"/>
  </w:style>
  <w:style w:type="paragraph" w:styleId="CommentText">
    <w:name w:val="annotation text"/>
    <w:basedOn w:val="Normal"/>
    <w:link w:val="CommentTextChar"/>
    <w:uiPriority w:val="99"/>
    <w:unhideWhenUsed/>
    <w:rsid w:val="00CE0649"/>
    <w:pPr>
      <w:spacing w:line="240" w:lineRule="auto"/>
    </w:pPr>
    <w:rPr>
      <w:sz w:val="20"/>
      <w:szCs w:val="20"/>
    </w:rPr>
  </w:style>
  <w:style w:type="character" w:customStyle="1" w:styleId="CommentTextChar">
    <w:name w:val="Comment Text Char"/>
    <w:basedOn w:val="DefaultParagraphFont"/>
    <w:link w:val="CommentText"/>
    <w:uiPriority w:val="99"/>
    <w:rsid w:val="00CE0649"/>
    <w:rPr>
      <w:sz w:val="20"/>
      <w:szCs w:val="20"/>
    </w:rPr>
  </w:style>
  <w:style w:type="character" w:styleId="CommentReference">
    <w:name w:val="annotation reference"/>
    <w:basedOn w:val="DefaultParagraphFont"/>
    <w:uiPriority w:val="99"/>
    <w:semiHidden/>
    <w:unhideWhenUsed/>
    <w:rsid w:val="00CE0649"/>
    <w:rPr>
      <w:sz w:val="16"/>
      <w:szCs w:val="16"/>
    </w:rPr>
  </w:style>
  <w:style w:type="character" w:customStyle="1" w:styleId="normaltextrun">
    <w:name w:val="normaltextrun"/>
    <w:basedOn w:val="DefaultParagraphFont"/>
    <w:rsid w:val="00CE0649"/>
  </w:style>
  <w:style w:type="paragraph" w:customStyle="1" w:styleId="Content">
    <w:name w:val="Content"/>
    <w:basedOn w:val="Normal"/>
    <w:qFormat/>
    <w:rsid w:val="008977F0"/>
  </w:style>
  <w:style w:type="paragraph" w:customStyle="1" w:styleId="Footnote">
    <w:name w:val="Footnote"/>
    <w:basedOn w:val="FootnoteText"/>
    <w:link w:val="FootnoteChar"/>
    <w:qFormat/>
    <w:rsid w:val="00CE0649"/>
  </w:style>
  <w:style w:type="character" w:customStyle="1" w:styleId="FootnoteChar">
    <w:name w:val="Footnote Char"/>
    <w:basedOn w:val="FootnoteTextChar"/>
    <w:link w:val="Footnote"/>
    <w:rsid w:val="00CE0649"/>
    <w:rPr>
      <w:sz w:val="18"/>
      <w:szCs w:val="20"/>
      <w:lang w:val="en-US"/>
    </w:rPr>
  </w:style>
  <w:style w:type="character" w:customStyle="1" w:styleId="eop">
    <w:name w:val="eop"/>
    <w:basedOn w:val="DefaultParagraphFont"/>
    <w:rsid w:val="00CE0649"/>
  </w:style>
  <w:style w:type="paragraph" w:styleId="CommentSubject">
    <w:name w:val="annotation subject"/>
    <w:basedOn w:val="CommentText"/>
    <w:next w:val="CommentText"/>
    <w:link w:val="CommentSubjectChar"/>
    <w:uiPriority w:val="99"/>
    <w:unhideWhenUsed/>
    <w:rsid w:val="00CE0649"/>
    <w:rPr>
      <w:b/>
      <w:bCs/>
    </w:rPr>
  </w:style>
  <w:style w:type="character" w:customStyle="1" w:styleId="CommentSubjectChar">
    <w:name w:val="Comment Subject Char"/>
    <w:basedOn w:val="CommentTextChar"/>
    <w:link w:val="CommentSubject"/>
    <w:uiPriority w:val="99"/>
    <w:rsid w:val="00CE0649"/>
    <w:rPr>
      <w:b/>
      <w:bCs/>
      <w:sz w:val="20"/>
      <w:szCs w:val="20"/>
    </w:rPr>
  </w:style>
  <w:style w:type="paragraph" w:customStyle="1" w:styleId="paragraph">
    <w:name w:val="paragraph"/>
    <w:basedOn w:val="Normal"/>
    <w:rsid w:val="00CE064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uperscript">
    <w:name w:val="superscript"/>
    <w:basedOn w:val="DefaultParagraphFont"/>
    <w:rsid w:val="00CE0649"/>
  </w:style>
  <w:style w:type="paragraph" w:styleId="Header">
    <w:name w:val="header"/>
    <w:basedOn w:val="Normal"/>
    <w:link w:val="HeaderChar"/>
    <w:uiPriority w:val="99"/>
    <w:unhideWhenUsed/>
    <w:rsid w:val="00CE064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E0649"/>
  </w:style>
  <w:style w:type="paragraph" w:styleId="Footer">
    <w:name w:val="footer"/>
    <w:basedOn w:val="Normal"/>
    <w:link w:val="FooterChar"/>
    <w:uiPriority w:val="99"/>
    <w:unhideWhenUsed/>
    <w:rsid w:val="00CE064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E0649"/>
  </w:style>
  <w:style w:type="table" w:styleId="TableGrid">
    <w:name w:val="Table Grid"/>
    <w:basedOn w:val="TableNormal"/>
    <w:uiPriority w:val="39"/>
    <w:rsid w:val="00CE0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E0649"/>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0649"/>
    <w:rPr>
      <w:rFonts w:asciiTheme="majorHAnsi" w:eastAsiaTheme="majorEastAsia" w:hAnsiTheme="majorHAnsi" w:cstheme="majorBidi"/>
      <w:spacing w:val="-10"/>
      <w:kern w:val="28"/>
      <w:sz w:val="56"/>
      <w:szCs w:val="56"/>
    </w:rPr>
  </w:style>
  <w:style w:type="paragraph" w:customStyle="1" w:styleId="msonormal0">
    <w:name w:val="msonormal"/>
    <w:basedOn w:val="Normal"/>
    <w:rsid w:val="00CE064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textrun">
    <w:name w:val="textrun"/>
    <w:basedOn w:val="DefaultParagraphFont"/>
    <w:rsid w:val="00CE0649"/>
  </w:style>
  <w:style w:type="paragraph" w:customStyle="1" w:styleId="outlineelement">
    <w:name w:val="outlineelement"/>
    <w:basedOn w:val="Normal"/>
    <w:rsid w:val="00CE064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trackchangetextinsertion">
    <w:name w:val="trackchangetextinsertion"/>
    <w:basedOn w:val="DefaultParagraphFont"/>
    <w:rsid w:val="00CE0649"/>
  </w:style>
  <w:style w:type="character" w:customStyle="1" w:styleId="trackchangetextdeletion">
    <w:name w:val="trackchangetextdeletion"/>
    <w:basedOn w:val="DefaultParagraphFont"/>
    <w:rsid w:val="00CE0649"/>
  </w:style>
  <w:style w:type="character" w:customStyle="1" w:styleId="trackedchange">
    <w:name w:val="trackedchange"/>
    <w:basedOn w:val="DefaultParagraphFont"/>
    <w:rsid w:val="00CE0649"/>
  </w:style>
  <w:style w:type="character" w:customStyle="1" w:styleId="linebreakblob">
    <w:name w:val="linebreakblob"/>
    <w:basedOn w:val="DefaultParagraphFont"/>
    <w:rsid w:val="00CE0649"/>
  </w:style>
  <w:style w:type="character" w:customStyle="1" w:styleId="bcx0">
    <w:name w:val="bcx0"/>
    <w:basedOn w:val="DefaultParagraphFont"/>
    <w:rsid w:val="00CE0649"/>
  </w:style>
  <w:style w:type="paragraph" w:styleId="NormalWeb">
    <w:name w:val="Normal (Web)"/>
    <w:basedOn w:val="Normal"/>
    <w:uiPriority w:val="99"/>
    <w:unhideWhenUsed/>
    <w:rsid w:val="00CE064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ardreadability">
    <w:name w:val="hardreadability"/>
    <w:basedOn w:val="DefaultParagraphFont"/>
    <w:rsid w:val="00CE0649"/>
  </w:style>
  <w:style w:type="character" w:customStyle="1" w:styleId="adverb">
    <w:name w:val="adverb"/>
    <w:basedOn w:val="DefaultParagraphFont"/>
    <w:rsid w:val="00CE0649"/>
  </w:style>
  <w:style w:type="character" w:customStyle="1" w:styleId="passivevoice">
    <w:name w:val="passivevoice"/>
    <w:basedOn w:val="DefaultParagraphFont"/>
    <w:rsid w:val="00CE0649"/>
  </w:style>
  <w:style w:type="character" w:customStyle="1" w:styleId="complexword">
    <w:name w:val="complexword"/>
    <w:basedOn w:val="DefaultParagraphFont"/>
    <w:rsid w:val="00CE0649"/>
  </w:style>
  <w:style w:type="character" w:customStyle="1" w:styleId="veryhardreadability">
    <w:name w:val="veryhardreadability"/>
    <w:basedOn w:val="DefaultParagraphFont"/>
    <w:rsid w:val="00CE0649"/>
  </w:style>
  <w:style w:type="paragraph" w:styleId="NoSpacing">
    <w:name w:val="No Spacing"/>
    <w:uiPriority w:val="1"/>
    <w:qFormat/>
    <w:rsid w:val="002239B5"/>
    <w:pPr>
      <w:spacing w:after="0" w:line="240" w:lineRule="auto"/>
    </w:pPr>
  </w:style>
  <w:style w:type="paragraph" w:styleId="TOCHeading">
    <w:name w:val="TOC Heading"/>
    <w:basedOn w:val="Heading1"/>
    <w:next w:val="Normal"/>
    <w:uiPriority w:val="39"/>
    <w:unhideWhenUsed/>
    <w:qFormat/>
    <w:rsid w:val="002F761D"/>
    <w:pPr>
      <w:outlineLvl w:val="9"/>
    </w:pPr>
    <w:rPr>
      <w:lang w:val="en-US"/>
    </w:rPr>
  </w:style>
  <w:style w:type="paragraph" w:styleId="TOC1">
    <w:name w:val="toc 1"/>
    <w:basedOn w:val="Normal"/>
    <w:next w:val="Normal"/>
    <w:autoRedefine/>
    <w:uiPriority w:val="39"/>
    <w:unhideWhenUsed/>
    <w:rsid w:val="004C3B07"/>
    <w:pPr>
      <w:tabs>
        <w:tab w:val="right" w:leader="dot" w:pos="9016"/>
      </w:tabs>
      <w:spacing w:line="240" w:lineRule="auto"/>
      <w:ind w:right="113"/>
    </w:pPr>
    <w:rPr>
      <w:rFonts w:eastAsiaTheme="majorEastAsia" w:cstheme="minorHAnsi"/>
      <w:b/>
      <w:bCs/>
      <w:noProof/>
      <w:sz w:val="24"/>
      <w:szCs w:val="24"/>
    </w:rPr>
  </w:style>
  <w:style w:type="paragraph" w:styleId="TOC2">
    <w:name w:val="toc 2"/>
    <w:basedOn w:val="Normal"/>
    <w:next w:val="Normal"/>
    <w:autoRedefine/>
    <w:uiPriority w:val="39"/>
    <w:unhideWhenUsed/>
    <w:rsid w:val="00AE5853"/>
    <w:pPr>
      <w:tabs>
        <w:tab w:val="right" w:leader="dot" w:pos="9174"/>
      </w:tabs>
      <w:spacing w:before="120" w:line="240" w:lineRule="auto"/>
      <w:ind w:left="221"/>
    </w:pPr>
    <w:rPr>
      <w:rFonts w:eastAsiaTheme="majorEastAsia" w:cstheme="minorHAnsi"/>
      <w:noProof/>
    </w:rPr>
  </w:style>
  <w:style w:type="paragraph" w:styleId="TOC3">
    <w:name w:val="toc 3"/>
    <w:basedOn w:val="Normal"/>
    <w:next w:val="Normal"/>
    <w:autoRedefine/>
    <w:uiPriority w:val="39"/>
    <w:unhideWhenUsed/>
    <w:rsid w:val="00AE5853"/>
    <w:pPr>
      <w:tabs>
        <w:tab w:val="right" w:leader="dot" w:pos="9174"/>
      </w:tabs>
      <w:spacing w:before="0" w:after="0"/>
      <w:ind w:left="442"/>
    </w:pPr>
  </w:style>
  <w:style w:type="paragraph" w:styleId="Caption">
    <w:name w:val="caption"/>
    <w:basedOn w:val="Normal"/>
    <w:next w:val="Normal"/>
    <w:uiPriority w:val="35"/>
    <w:unhideWhenUsed/>
    <w:qFormat/>
    <w:rsid w:val="00AE085C"/>
    <w:pPr>
      <w:keepNext/>
      <w:spacing w:line="240" w:lineRule="auto"/>
      <w:jc w:val="center"/>
    </w:pPr>
    <w:rPr>
      <w:i/>
      <w:iCs/>
    </w:rPr>
  </w:style>
  <w:style w:type="paragraph" w:customStyle="1" w:styleId="Para">
    <w:name w:val="Para"/>
    <w:basedOn w:val="ListParagraph"/>
    <w:link w:val="ParaChar"/>
    <w:qFormat/>
    <w:rsid w:val="00846385"/>
    <w:pPr>
      <w:numPr>
        <w:numId w:val="1"/>
      </w:numPr>
      <w:spacing w:before="0" w:after="240"/>
      <w:contextualSpacing w:val="0"/>
    </w:pPr>
  </w:style>
  <w:style w:type="character" w:customStyle="1" w:styleId="ParaChar">
    <w:name w:val="Para Char"/>
    <w:basedOn w:val="DefaultParagraphFont"/>
    <w:link w:val="Para"/>
    <w:rsid w:val="00846385"/>
  </w:style>
  <w:style w:type="paragraph" w:styleId="Revision">
    <w:name w:val="Revision"/>
    <w:hidden/>
    <w:uiPriority w:val="99"/>
    <w:semiHidden/>
    <w:rsid w:val="00846385"/>
    <w:pPr>
      <w:spacing w:after="0" w:line="240" w:lineRule="auto"/>
    </w:pPr>
  </w:style>
  <w:style w:type="character" w:styleId="UnresolvedMention">
    <w:name w:val="Unresolved Mention"/>
    <w:basedOn w:val="DefaultParagraphFont"/>
    <w:uiPriority w:val="99"/>
    <w:unhideWhenUsed/>
    <w:rsid w:val="00846385"/>
    <w:rPr>
      <w:color w:val="605E5C"/>
      <w:shd w:val="clear" w:color="auto" w:fill="E1DFDD"/>
    </w:rPr>
  </w:style>
  <w:style w:type="character" w:styleId="Mention">
    <w:name w:val="Mention"/>
    <w:basedOn w:val="DefaultParagraphFont"/>
    <w:uiPriority w:val="99"/>
    <w:unhideWhenUsed/>
    <w:rsid w:val="00846385"/>
    <w:rPr>
      <w:color w:val="2B579A"/>
      <w:shd w:val="clear" w:color="auto" w:fill="E1DFDD"/>
    </w:rPr>
  </w:style>
  <w:style w:type="character" w:styleId="Strong">
    <w:name w:val="Strong"/>
    <w:basedOn w:val="DefaultParagraphFont"/>
    <w:uiPriority w:val="22"/>
    <w:qFormat/>
    <w:rsid w:val="002D1F8D"/>
    <w:rPr>
      <w:b/>
      <w:bCs/>
    </w:rPr>
  </w:style>
  <w:style w:type="paragraph" w:customStyle="1" w:styleId="Default">
    <w:name w:val="Default"/>
    <w:rsid w:val="008F1C19"/>
    <w:pPr>
      <w:autoSpaceDE w:val="0"/>
      <w:autoSpaceDN w:val="0"/>
      <w:adjustRightInd w:val="0"/>
      <w:spacing w:after="0" w:line="240" w:lineRule="auto"/>
    </w:pPr>
    <w:rPr>
      <w:rFonts w:ascii="Calibri" w:hAnsi="Calibri" w:cs="Calibri"/>
      <w:color w:val="000000"/>
      <w:sz w:val="24"/>
      <w:szCs w:val="24"/>
    </w:rPr>
  </w:style>
  <w:style w:type="paragraph" w:customStyle="1" w:styleId="text">
    <w:name w:val="text"/>
    <w:basedOn w:val="Normal"/>
    <w:rsid w:val="005631A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label">
    <w:name w:val="label"/>
    <w:basedOn w:val="DefaultParagraphFont"/>
    <w:rsid w:val="005631AF"/>
  </w:style>
  <w:style w:type="character" w:customStyle="1" w:styleId="normaltextrun1">
    <w:name w:val="normaltextrun1"/>
    <w:basedOn w:val="DefaultParagraphFont"/>
    <w:rsid w:val="003F2F5D"/>
  </w:style>
  <w:style w:type="character" w:styleId="PlaceholderText">
    <w:name w:val="Placeholder Text"/>
    <w:basedOn w:val="DefaultParagraphFont"/>
    <w:uiPriority w:val="99"/>
    <w:semiHidden/>
    <w:rsid w:val="00B021C3"/>
    <w:rPr>
      <w:color w:val="808080"/>
    </w:rPr>
  </w:style>
  <w:style w:type="character" w:customStyle="1" w:styleId="fieldrange">
    <w:name w:val="fieldrange"/>
    <w:basedOn w:val="DefaultParagraphFont"/>
    <w:rsid w:val="0092767B"/>
  </w:style>
  <w:style w:type="character" w:customStyle="1" w:styleId="wacimagecontainer">
    <w:name w:val="wacimagecontainer"/>
    <w:basedOn w:val="DefaultParagraphFont"/>
    <w:rsid w:val="0092767B"/>
  </w:style>
  <w:style w:type="character" w:customStyle="1" w:styleId="pagebreakblob">
    <w:name w:val="pagebreakblob"/>
    <w:basedOn w:val="DefaultParagraphFont"/>
    <w:rsid w:val="0092767B"/>
  </w:style>
  <w:style w:type="character" w:customStyle="1" w:styleId="pagebreakborderspan">
    <w:name w:val="pagebreakborderspan"/>
    <w:basedOn w:val="DefaultParagraphFont"/>
    <w:rsid w:val="0092767B"/>
  </w:style>
  <w:style w:type="character" w:customStyle="1" w:styleId="pagebreaktextspan">
    <w:name w:val="pagebreaktextspan"/>
    <w:basedOn w:val="DefaultParagraphFont"/>
    <w:rsid w:val="0092767B"/>
  </w:style>
  <w:style w:type="table" w:styleId="GridTable1Light">
    <w:name w:val="Grid Table 1 Light"/>
    <w:basedOn w:val="TableNormal"/>
    <w:uiPriority w:val="46"/>
    <w:rsid w:val="004108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AF328C"/>
    <w:rPr>
      <w:color w:val="954F72" w:themeColor="followedHyperlink"/>
      <w:u w:val="single"/>
    </w:rPr>
  </w:style>
  <w:style w:type="table" w:styleId="GridTable5Dark-Accent1">
    <w:name w:val="Grid Table 5 Dark Accent 1"/>
    <w:basedOn w:val="TableNormal"/>
    <w:uiPriority w:val="50"/>
    <w:rsid w:val="009940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TMLDefinition">
    <w:name w:val="HTML Definition"/>
    <w:basedOn w:val="DefaultParagraphFont"/>
    <w:uiPriority w:val="99"/>
    <w:semiHidden/>
    <w:unhideWhenUsed/>
    <w:rsid w:val="006F5210"/>
    <w:rPr>
      <w:i/>
      <w:iCs/>
    </w:rPr>
  </w:style>
  <w:style w:type="character" w:styleId="Emphasis">
    <w:name w:val="Emphasis"/>
    <w:basedOn w:val="DefaultParagraphFont"/>
    <w:uiPriority w:val="20"/>
    <w:qFormat/>
    <w:rsid w:val="004F473C"/>
    <w:rPr>
      <w:i/>
      <w:iCs/>
    </w:rPr>
  </w:style>
  <w:style w:type="table" w:styleId="PlainTable1">
    <w:name w:val="Plain Table 1"/>
    <w:basedOn w:val="TableNormal"/>
    <w:uiPriority w:val="41"/>
    <w:rsid w:val="00E90382"/>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C86B3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7Colorful-Accent5">
    <w:name w:val="Grid Table 7 Colorful Accent 5"/>
    <w:basedOn w:val="TableNormal"/>
    <w:uiPriority w:val="52"/>
    <w:rsid w:val="008D376E"/>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A19">
    <w:name w:val="A19"/>
    <w:uiPriority w:val="99"/>
    <w:rsid w:val="004A4E2D"/>
    <w:rPr>
      <w:rFonts w:cs="Frutiger LT Pro 57 Condensed"/>
      <w:color w:val="000000"/>
    </w:rPr>
  </w:style>
  <w:style w:type="character" w:customStyle="1" w:styleId="MOTKeypointsChar">
    <w:name w:val="MOT Key points Char"/>
    <w:basedOn w:val="DefaultParagraphFont"/>
    <w:link w:val="MOTKeypoints"/>
    <w:locked/>
    <w:rsid w:val="002520DA"/>
  </w:style>
  <w:style w:type="paragraph" w:customStyle="1" w:styleId="MOTKeypoints">
    <w:name w:val="MOT Key points"/>
    <w:basedOn w:val="Normal"/>
    <w:link w:val="MOTKeypointsChar"/>
    <w:autoRedefine/>
    <w:qFormat/>
    <w:rsid w:val="002520DA"/>
    <w:pPr>
      <w:numPr>
        <w:numId w:val="33"/>
      </w:numPr>
      <w:tabs>
        <w:tab w:val="num" w:pos="360"/>
      </w:tabs>
      <w:spacing w:before="0" w:after="0" w:line="240" w:lineRule="auto"/>
      <w:ind w:firstLine="0"/>
    </w:pPr>
  </w:style>
  <w:style w:type="paragraph" w:customStyle="1" w:styleId="Body">
    <w:name w:val="Body"/>
    <w:basedOn w:val="ListParagraph"/>
    <w:link w:val="BodyChar"/>
    <w:qFormat/>
    <w:rsid w:val="002520DA"/>
    <w:pPr>
      <w:numPr>
        <w:numId w:val="35"/>
      </w:numPr>
      <w:tabs>
        <w:tab w:val="num" w:pos="360"/>
      </w:tabs>
      <w:spacing w:before="0" w:after="120" w:line="360" w:lineRule="auto"/>
      <w:ind w:firstLine="0"/>
    </w:pPr>
  </w:style>
  <w:style w:type="character" w:customStyle="1" w:styleId="BodyChar">
    <w:name w:val="Body Char"/>
    <w:basedOn w:val="ListParagraphChar"/>
    <w:link w:val="Body"/>
    <w:rsid w:val="002520DA"/>
  </w:style>
  <w:style w:type="paragraph" w:styleId="EndnoteText">
    <w:name w:val="endnote text"/>
    <w:basedOn w:val="Normal"/>
    <w:link w:val="EndnoteTextChar"/>
    <w:uiPriority w:val="99"/>
    <w:semiHidden/>
    <w:unhideWhenUsed/>
    <w:rsid w:val="002520DA"/>
    <w:pPr>
      <w:spacing w:before="0" w:after="0" w:line="240" w:lineRule="auto"/>
      <w:contextualSpacing/>
    </w:pPr>
    <w:rPr>
      <w:rFonts w:cs="Times New Roman (Body CS)"/>
      <w:sz w:val="20"/>
      <w:szCs w:val="20"/>
    </w:rPr>
  </w:style>
  <w:style w:type="character" w:customStyle="1" w:styleId="EndnoteTextChar">
    <w:name w:val="Endnote Text Char"/>
    <w:basedOn w:val="DefaultParagraphFont"/>
    <w:link w:val="EndnoteText"/>
    <w:uiPriority w:val="99"/>
    <w:semiHidden/>
    <w:rsid w:val="002520DA"/>
    <w:rPr>
      <w:rFonts w:cs="Times New Roman (Body CS)"/>
      <w:sz w:val="20"/>
      <w:szCs w:val="20"/>
    </w:rPr>
  </w:style>
  <w:style w:type="paragraph" w:styleId="Bibliography">
    <w:name w:val="Bibliography"/>
    <w:basedOn w:val="Normal"/>
    <w:next w:val="Normal"/>
    <w:uiPriority w:val="37"/>
    <w:unhideWhenUsed/>
    <w:rsid w:val="002520DA"/>
    <w:pPr>
      <w:spacing w:after="0" w:line="480" w:lineRule="auto"/>
      <w:ind w:left="720" w:hanging="720"/>
    </w:pPr>
  </w:style>
  <w:style w:type="table" w:styleId="GridTable4-Accent5">
    <w:name w:val="Grid Table 4 Accent 5"/>
    <w:basedOn w:val="TableNormal"/>
    <w:uiPriority w:val="49"/>
    <w:rsid w:val="002520D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5">
    <w:name w:val="Plain Table 5"/>
    <w:basedOn w:val="TableNormal"/>
    <w:uiPriority w:val="45"/>
    <w:rsid w:val="002520D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
    <w:name w:val="No List1"/>
    <w:next w:val="NoList"/>
    <w:uiPriority w:val="99"/>
    <w:semiHidden/>
    <w:unhideWhenUsed/>
    <w:rsid w:val="00BB5CA5"/>
  </w:style>
  <w:style w:type="table" w:styleId="GridTable4-Accent6">
    <w:name w:val="Grid Table 4 Accent 6"/>
    <w:basedOn w:val="TableNormal"/>
    <w:uiPriority w:val="49"/>
    <w:rsid w:val="00592B7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4">
    <w:name w:val="toc 4"/>
    <w:basedOn w:val="Normal"/>
    <w:next w:val="Normal"/>
    <w:autoRedefine/>
    <w:uiPriority w:val="39"/>
    <w:unhideWhenUsed/>
    <w:rsid w:val="00B31091"/>
    <w:pPr>
      <w:spacing w:before="0" w:after="100"/>
      <w:ind w:left="660"/>
    </w:pPr>
    <w:rPr>
      <w:rFonts w:eastAsiaTheme="minorEastAsia"/>
      <w:lang w:eastAsia="en-NZ"/>
    </w:rPr>
  </w:style>
  <w:style w:type="paragraph" w:styleId="TOC5">
    <w:name w:val="toc 5"/>
    <w:basedOn w:val="Normal"/>
    <w:next w:val="Normal"/>
    <w:autoRedefine/>
    <w:uiPriority w:val="39"/>
    <w:unhideWhenUsed/>
    <w:rsid w:val="00B31091"/>
    <w:pPr>
      <w:spacing w:before="0" w:after="100"/>
      <w:ind w:left="880"/>
    </w:pPr>
    <w:rPr>
      <w:rFonts w:eastAsiaTheme="minorEastAsia"/>
      <w:lang w:eastAsia="en-NZ"/>
    </w:rPr>
  </w:style>
  <w:style w:type="paragraph" w:styleId="TOC6">
    <w:name w:val="toc 6"/>
    <w:basedOn w:val="Normal"/>
    <w:next w:val="Normal"/>
    <w:autoRedefine/>
    <w:uiPriority w:val="39"/>
    <w:unhideWhenUsed/>
    <w:rsid w:val="00B31091"/>
    <w:pPr>
      <w:spacing w:before="0" w:after="100"/>
      <w:ind w:left="1100"/>
    </w:pPr>
    <w:rPr>
      <w:rFonts w:eastAsiaTheme="minorEastAsia"/>
      <w:lang w:eastAsia="en-NZ"/>
    </w:rPr>
  </w:style>
  <w:style w:type="paragraph" w:styleId="TOC7">
    <w:name w:val="toc 7"/>
    <w:basedOn w:val="Normal"/>
    <w:next w:val="Normal"/>
    <w:autoRedefine/>
    <w:uiPriority w:val="39"/>
    <w:unhideWhenUsed/>
    <w:rsid w:val="00B31091"/>
    <w:pPr>
      <w:spacing w:before="0" w:after="100"/>
      <w:ind w:left="1320"/>
    </w:pPr>
    <w:rPr>
      <w:rFonts w:eastAsiaTheme="minorEastAsia"/>
      <w:lang w:eastAsia="en-NZ"/>
    </w:rPr>
  </w:style>
  <w:style w:type="paragraph" w:styleId="TOC8">
    <w:name w:val="toc 8"/>
    <w:basedOn w:val="Normal"/>
    <w:next w:val="Normal"/>
    <w:autoRedefine/>
    <w:uiPriority w:val="39"/>
    <w:unhideWhenUsed/>
    <w:rsid w:val="00B31091"/>
    <w:pPr>
      <w:spacing w:before="0" w:after="100"/>
      <w:ind w:left="1540"/>
    </w:pPr>
    <w:rPr>
      <w:rFonts w:eastAsiaTheme="minorEastAsia"/>
      <w:lang w:eastAsia="en-NZ"/>
    </w:rPr>
  </w:style>
  <w:style w:type="paragraph" w:styleId="TOC9">
    <w:name w:val="toc 9"/>
    <w:basedOn w:val="Normal"/>
    <w:next w:val="Normal"/>
    <w:autoRedefine/>
    <w:uiPriority w:val="39"/>
    <w:unhideWhenUsed/>
    <w:rsid w:val="00B31091"/>
    <w:pPr>
      <w:spacing w:before="0" w:after="100"/>
      <w:ind w:left="1760"/>
    </w:pPr>
    <w:rPr>
      <w:rFonts w:eastAsiaTheme="minorEastAsia"/>
      <w:lang w:eastAsia="en-NZ"/>
    </w:rPr>
  </w:style>
  <w:style w:type="character" w:customStyle="1" w:styleId="Heading7Char">
    <w:name w:val="Heading 7 Char"/>
    <w:basedOn w:val="DefaultParagraphFont"/>
    <w:link w:val="Heading7"/>
    <w:uiPriority w:val="9"/>
    <w:rsid w:val="004E1102"/>
    <w:rPr>
      <w:rFonts w:asciiTheme="majorHAnsi" w:eastAsiaTheme="majorEastAsia" w:hAnsiTheme="majorHAnsi" w:cstheme="majorBidi"/>
      <w:i/>
      <w:iCs/>
      <w:color w:val="1F3763" w:themeColor="accent1" w:themeShade="7F"/>
    </w:rPr>
  </w:style>
  <w:style w:type="table" w:customStyle="1" w:styleId="GridTable4-Accent61">
    <w:name w:val="Grid Table 4 - Accent 61"/>
    <w:basedOn w:val="TableNormal"/>
    <w:next w:val="GridTable4-Accent6"/>
    <w:uiPriority w:val="49"/>
    <w:rsid w:val="00FC05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scxw197482600">
    <w:name w:val="scxw197482600"/>
    <w:basedOn w:val="DefaultParagraphFont"/>
    <w:rsid w:val="00F03A47"/>
  </w:style>
  <w:style w:type="character" w:styleId="EndnoteReference">
    <w:name w:val="endnote reference"/>
    <w:basedOn w:val="DefaultParagraphFont"/>
    <w:uiPriority w:val="99"/>
    <w:semiHidden/>
    <w:unhideWhenUsed/>
    <w:rsid w:val="00F03A47"/>
    <w:rPr>
      <w:vertAlign w:val="superscript"/>
    </w:rPr>
  </w:style>
  <w:style w:type="paragraph" w:customStyle="1" w:styleId="xmsonormal">
    <w:name w:val="x_msonormal"/>
    <w:basedOn w:val="Normal"/>
    <w:rsid w:val="00637531"/>
    <w:pPr>
      <w:spacing w:before="0" w:after="0" w:line="240" w:lineRule="auto"/>
    </w:pPr>
    <w:rPr>
      <w:rFonts w:ascii="Calibri" w:hAnsi="Calibri" w:cs="Calibri"/>
      <w:lang w:eastAsia="en-NZ"/>
    </w:rPr>
  </w:style>
  <w:style w:type="table" w:styleId="GridTable5Dark-Accent3">
    <w:name w:val="Grid Table 5 Dark Accent 3"/>
    <w:basedOn w:val="TableNormal"/>
    <w:uiPriority w:val="50"/>
    <w:rsid w:val="00E369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24527">
      <w:bodyDiv w:val="1"/>
      <w:marLeft w:val="0"/>
      <w:marRight w:val="0"/>
      <w:marTop w:val="0"/>
      <w:marBottom w:val="0"/>
      <w:divBdr>
        <w:top w:val="none" w:sz="0" w:space="0" w:color="auto"/>
        <w:left w:val="none" w:sz="0" w:space="0" w:color="auto"/>
        <w:bottom w:val="none" w:sz="0" w:space="0" w:color="auto"/>
        <w:right w:val="none" w:sz="0" w:space="0" w:color="auto"/>
      </w:divBdr>
      <w:divsChild>
        <w:div w:id="1240091553">
          <w:marLeft w:val="0"/>
          <w:marRight w:val="0"/>
          <w:marTop w:val="83"/>
          <w:marBottom w:val="0"/>
          <w:divBdr>
            <w:top w:val="none" w:sz="0" w:space="0" w:color="auto"/>
            <w:left w:val="none" w:sz="0" w:space="0" w:color="auto"/>
            <w:bottom w:val="none" w:sz="0" w:space="0" w:color="auto"/>
            <w:right w:val="none" w:sz="0" w:space="0" w:color="auto"/>
          </w:divBdr>
          <w:divsChild>
            <w:div w:id="455296477">
              <w:marLeft w:val="0"/>
              <w:marRight w:val="0"/>
              <w:marTop w:val="83"/>
              <w:marBottom w:val="0"/>
              <w:divBdr>
                <w:top w:val="none" w:sz="0" w:space="0" w:color="auto"/>
                <w:left w:val="none" w:sz="0" w:space="0" w:color="auto"/>
                <w:bottom w:val="none" w:sz="0" w:space="0" w:color="auto"/>
                <w:right w:val="none" w:sz="0" w:space="0" w:color="auto"/>
              </w:divBdr>
            </w:div>
            <w:div w:id="600339728">
              <w:marLeft w:val="0"/>
              <w:marRight w:val="0"/>
              <w:marTop w:val="83"/>
              <w:marBottom w:val="0"/>
              <w:divBdr>
                <w:top w:val="none" w:sz="0" w:space="0" w:color="auto"/>
                <w:left w:val="none" w:sz="0" w:space="0" w:color="auto"/>
                <w:bottom w:val="none" w:sz="0" w:space="0" w:color="auto"/>
                <w:right w:val="none" w:sz="0" w:space="0" w:color="auto"/>
              </w:divBdr>
            </w:div>
          </w:divsChild>
        </w:div>
        <w:div w:id="1358122623">
          <w:marLeft w:val="0"/>
          <w:marRight w:val="0"/>
          <w:marTop w:val="83"/>
          <w:marBottom w:val="0"/>
          <w:divBdr>
            <w:top w:val="none" w:sz="0" w:space="0" w:color="auto"/>
            <w:left w:val="none" w:sz="0" w:space="0" w:color="auto"/>
            <w:bottom w:val="none" w:sz="0" w:space="0" w:color="auto"/>
            <w:right w:val="none" w:sz="0" w:space="0" w:color="auto"/>
          </w:divBdr>
          <w:divsChild>
            <w:div w:id="197933622">
              <w:marLeft w:val="0"/>
              <w:marRight w:val="0"/>
              <w:marTop w:val="83"/>
              <w:marBottom w:val="0"/>
              <w:divBdr>
                <w:top w:val="none" w:sz="0" w:space="0" w:color="auto"/>
                <w:left w:val="none" w:sz="0" w:space="0" w:color="auto"/>
                <w:bottom w:val="none" w:sz="0" w:space="0" w:color="auto"/>
                <w:right w:val="none" w:sz="0" w:space="0" w:color="auto"/>
              </w:divBdr>
            </w:div>
            <w:div w:id="1093087599">
              <w:marLeft w:val="0"/>
              <w:marRight w:val="0"/>
              <w:marTop w:val="83"/>
              <w:marBottom w:val="0"/>
              <w:divBdr>
                <w:top w:val="none" w:sz="0" w:space="0" w:color="auto"/>
                <w:left w:val="none" w:sz="0" w:space="0" w:color="auto"/>
                <w:bottom w:val="none" w:sz="0" w:space="0" w:color="auto"/>
                <w:right w:val="none" w:sz="0" w:space="0" w:color="auto"/>
              </w:divBdr>
            </w:div>
            <w:div w:id="1904482541">
              <w:marLeft w:val="0"/>
              <w:marRight w:val="0"/>
              <w:marTop w:val="83"/>
              <w:marBottom w:val="0"/>
              <w:divBdr>
                <w:top w:val="none" w:sz="0" w:space="0" w:color="auto"/>
                <w:left w:val="none" w:sz="0" w:space="0" w:color="auto"/>
                <w:bottom w:val="none" w:sz="0" w:space="0" w:color="auto"/>
                <w:right w:val="none" w:sz="0" w:space="0" w:color="auto"/>
              </w:divBdr>
            </w:div>
            <w:div w:id="208937843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56827120">
      <w:bodyDiv w:val="1"/>
      <w:marLeft w:val="0"/>
      <w:marRight w:val="0"/>
      <w:marTop w:val="0"/>
      <w:marBottom w:val="0"/>
      <w:divBdr>
        <w:top w:val="none" w:sz="0" w:space="0" w:color="auto"/>
        <w:left w:val="none" w:sz="0" w:space="0" w:color="auto"/>
        <w:bottom w:val="none" w:sz="0" w:space="0" w:color="auto"/>
        <w:right w:val="none" w:sz="0" w:space="0" w:color="auto"/>
      </w:divBdr>
      <w:divsChild>
        <w:div w:id="1396214">
          <w:marLeft w:val="0"/>
          <w:marRight w:val="0"/>
          <w:marTop w:val="0"/>
          <w:marBottom w:val="0"/>
          <w:divBdr>
            <w:top w:val="none" w:sz="0" w:space="0" w:color="auto"/>
            <w:left w:val="none" w:sz="0" w:space="0" w:color="auto"/>
            <w:bottom w:val="none" w:sz="0" w:space="0" w:color="auto"/>
            <w:right w:val="none" w:sz="0" w:space="0" w:color="auto"/>
          </w:divBdr>
        </w:div>
        <w:div w:id="1804228120">
          <w:marLeft w:val="0"/>
          <w:marRight w:val="0"/>
          <w:marTop w:val="0"/>
          <w:marBottom w:val="0"/>
          <w:divBdr>
            <w:top w:val="none" w:sz="0" w:space="0" w:color="auto"/>
            <w:left w:val="none" w:sz="0" w:space="0" w:color="auto"/>
            <w:bottom w:val="none" w:sz="0" w:space="0" w:color="auto"/>
            <w:right w:val="none" w:sz="0" w:space="0" w:color="auto"/>
          </w:divBdr>
        </w:div>
      </w:divsChild>
    </w:div>
    <w:div w:id="60561153">
      <w:bodyDiv w:val="1"/>
      <w:marLeft w:val="0"/>
      <w:marRight w:val="0"/>
      <w:marTop w:val="0"/>
      <w:marBottom w:val="0"/>
      <w:divBdr>
        <w:top w:val="none" w:sz="0" w:space="0" w:color="auto"/>
        <w:left w:val="none" w:sz="0" w:space="0" w:color="auto"/>
        <w:bottom w:val="none" w:sz="0" w:space="0" w:color="auto"/>
        <w:right w:val="none" w:sz="0" w:space="0" w:color="auto"/>
      </w:divBdr>
      <w:divsChild>
        <w:div w:id="1071737009">
          <w:marLeft w:val="274"/>
          <w:marRight w:val="0"/>
          <w:marTop w:val="150"/>
          <w:marBottom w:val="0"/>
          <w:divBdr>
            <w:top w:val="none" w:sz="0" w:space="0" w:color="auto"/>
            <w:left w:val="none" w:sz="0" w:space="0" w:color="auto"/>
            <w:bottom w:val="none" w:sz="0" w:space="0" w:color="auto"/>
            <w:right w:val="none" w:sz="0" w:space="0" w:color="auto"/>
          </w:divBdr>
        </w:div>
      </w:divsChild>
    </w:div>
    <w:div w:id="89744704">
      <w:bodyDiv w:val="1"/>
      <w:marLeft w:val="0"/>
      <w:marRight w:val="0"/>
      <w:marTop w:val="0"/>
      <w:marBottom w:val="0"/>
      <w:divBdr>
        <w:top w:val="none" w:sz="0" w:space="0" w:color="auto"/>
        <w:left w:val="none" w:sz="0" w:space="0" w:color="auto"/>
        <w:bottom w:val="none" w:sz="0" w:space="0" w:color="auto"/>
        <w:right w:val="none" w:sz="0" w:space="0" w:color="auto"/>
      </w:divBdr>
      <w:divsChild>
        <w:div w:id="446580524">
          <w:marLeft w:val="0"/>
          <w:marRight w:val="0"/>
          <w:marTop w:val="0"/>
          <w:marBottom w:val="0"/>
          <w:divBdr>
            <w:top w:val="none" w:sz="0" w:space="0" w:color="auto"/>
            <w:left w:val="none" w:sz="0" w:space="0" w:color="auto"/>
            <w:bottom w:val="none" w:sz="0" w:space="0" w:color="auto"/>
            <w:right w:val="none" w:sz="0" w:space="0" w:color="auto"/>
          </w:divBdr>
        </w:div>
        <w:div w:id="756903111">
          <w:marLeft w:val="0"/>
          <w:marRight w:val="0"/>
          <w:marTop w:val="0"/>
          <w:marBottom w:val="0"/>
          <w:divBdr>
            <w:top w:val="none" w:sz="0" w:space="0" w:color="auto"/>
            <w:left w:val="none" w:sz="0" w:space="0" w:color="auto"/>
            <w:bottom w:val="none" w:sz="0" w:space="0" w:color="auto"/>
            <w:right w:val="none" w:sz="0" w:space="0" w:color="auto"/>
          </w:divBdr>
        </w:div>
        <w:div w:id="823661013">
          <w:marLeft w:val="0"/>
          <w:marRight w:val="0"/>
          <w:marTop w:val="0"/>
          <w:marBottom w:val="0"/>
          <w:divBdr>
            <w:top w:val="none" w:sz="0" w:space="0" w:color="auto"/>
            <w:left w:val="none" w:sz="0" w:space="0" w:color="auto"/>
            <w:bottom w:val="none" w:sz="0" w:space="0" w:color="auto"/>
            <w:right w:val="none" w:sz="0" w:space="0" w:color="auto"/>
          </w:divBdr>
        </w:div>
        <w:div w:id="1036468765">
          <w:marLeft w:val="0"/>
          <w:marRight w:val="0"/>
          <w:marTop w:val="0"/>
          <w:marBottom w:val="0"/>
          <w:divBdr>
            <w:top w:val="none" w:sz="0" w:space="0" w:color="auto"/>
            <w:left w:val="none" w:sz="0" w:space="0" w:color="auto"/>
            <w:bottom w:val="none" w:sz="0" w:space="0" w:color="auto"/>
            <w:right w:val="none" w:sz="0" w:space="0" w:color="auto"/>
          </w:divBdr>
        </w:div>
        <w:div w:id="2074352913">
          <w:marLeft w:val="0"/>
          <w:marRight w:val="0"/>
          <w:marTop w:val="0"/>
          <w:marBottom w:val="0"/>
          <w:divBdr>
            <w:top w:val="none" w:sz="0" w:space="0" w:color="auto"/>
            <w:left w:val="none" w:sz="0" w:space="0" w:color="auto"/>
            <w:bottom w:val="none" w:sz="0" w:space="0" w:color="auto"/>
            <w:right w:val="none" w:sz="0" w:space="0" w:color="auto"/>
          </w:divBdr>
        </w:div>
        <w:div w:id="2136092579">
          <w:marLeft w:val="0"/>
          <w:marRight w:val="0"/>
          <w:marTop w:val="0"/>
          <w:marBottom w:val="0"/>
          <w:divBdr>
            <w:top w:val="none" w:sz="0" w:space="0" w:color="auto"/>
            <w:left w:val="none" w:sz="0" w:space="0" w:color="auto"/>
            <w:bottom w:val="none" w:sz="0" w:space="0" w:color="auto"/>
            <w:right w:val="none" w:sz="0" w:space="0" w:color="auto"/>
          </w:divBdr>
        </w:div>
      </w:divsChild>
    </w:div>
    <w:div w:id="97261643">
      <w:bodyDiv w:val="1"/>
      <w:marLeft w:val="0"/>
      <w:marRight w:val="0"/>
      <w:marTop w:val="0"/>
      <w:marBottom w:val="0"/>
      <w:divBdr>
        <w:top w:val="none" w:sz="0" w:space="0" w:color="auto"/>
        <w:left w:val="none" w:sz="0" w:space="0" w:color="auto"/>
        <w:bottom w:val="none" w:sz="0" w:space="0" w:color="auto"/>
        <w:right w:val="none" w:sz="0" w:space="0" w:color="auto"/>
      </w:divBdr>
    </w:div>
    <w:div w:id="126552211">
      <w:bodyDiv w:val="1"/>
      <w:marLeft w:val="0"/>
      <w:marRight w:val="0"/>
      <w:marTop w:val="0"/>
      <w:marBottom w:val="0"/>
      <w:divBdr>
        <w:top w:val="none" w:sz="0" w:space="0" w:color="auto"/>
        <w:left w:val="none" w:sz="0" w:space="0" w:color="auto"/>
        <w:bottom w:val="none" w:sz="0" w:space="0" w:color="auto"/>
        <w:right w:val="none" w:sz="0" w:space="0" w:color="auto"/>
      </w:divBdr>
    </w:div>
    <w:div w:id="165101410">
      <w:bodyDiv w:val="1"/>
      <w:marLeft w:val="0"/>
      <w:marRight w:val="0"/>
      <w:marTop w:val="0"/>
      <w:marBottom w:val="0"/>
      <w:divBdr>
        <w:top w:val="none" w:sz="0" w:space="0" w:color="auto"/>
        <w:left w:val="none" w:sz="0" w:space="0" w:color="auto"/>
        <w:bottom w:val="none" w:sz="0" w:space="0" w:color="auto"/>
        <w:right w:val="none" w:sz="0" w:space="0" w:color="auto"/>
      </w:divBdr>
    </w:div>
    <w:div w:id="201020302">
      <w:bodyDiv w:val="1"/>
      <w:marLeft w:val="0"/>
      <w:marRight w:val="0"/>
      <w:marTop w:val="0"/>
      <w:marBottom w:val="0"/>
      <w:divBdr>
        <w:top w:val="none" w:sz="0" w:space="0" w:color="auto"/>
        <w:left w:val="none" w:sz="0" w:space="0" w:color="auto"/>
        <w:bottom w:val="none" w:sz="0" w:space="0" w:color="auto"/>
        <w:right w:val="none" w:sz="0" w:space="0" w:color="auto"/>
      </w:divBdr>
      <w:divsChild>
        <w:div w:id="541359123">
          <w:marLeft w:val="0"/>
          <w:marRight w:val="0"/>
          <w:marTop w:val="0"/>
          <w:marBottom w:val="0"/>
          <w:divBdr>
            <w:top w:val="none" w:sz="0" w:space="0" w:color="auto"/>
            <w:left w:val="none" w:sz="0" w:space="0" w:color="auto"/>
            <w:bottom w:val="none" w:sz="0" w:space="0" w:color="auto"/>
            <w:right w:val="none" w:sz="0" w:space="0" w:color="auto"/>
          </w:divBdr>
        </w:div>
      </w:divsChild>
    </w:div>
    <w:div w:id="205992079">
      <w:bodyDiv w:val="1"/>
      <w:marLeft w:val="0"/>
      <w:marRight w:val="0"/>
      <w:marTop w:val="0"/>
      <w:marBottom w:val="0"/>
      <w:divBdr>
        <w:top w:val="none" w:sz="0" w:space="0" w:color="auto"/>
        <w:left w:val="none" w:sz="0" w:space="0" w:color="auto"/>
        <w:bottom w:val="none" w:sz="0" w:space="0" w:color="auto"/>
        <w:right w:val="none" w:sz="0" w:space="0" w:color="auto"/>
      </w:divBdr>
      <w:divsChild>
        <w:div w:id="951857369">
          <w:marLeft w:val="720"/>
          <w:marRight w:val="0"/>
          <w:marTop w:val="150"/>
          <w:marBottom w:val="0"/>
          <w:divBdr>
            <w:top w:val="none" w:sz="0" w:space="0" w:color="auto"/>
            <w:left w:val="none" w:sz="0" w:space="0" w:color="auto"/>
            <w:bottom w:val="none" w:sz="0" w:space="0" w:color="auto"/>
            <w:right w:val="none" w:sz="0" w:space="0" w:color="auto"/>
          </w:divBdr>
        </w:div>
        <w:div w:id="2009749174">
          <w:marLeft w:val="720"/>
          <w:marRight w:val="0"/>
          <w:marTop w:val="150"/>
          <w:marBottom w:val="0"/>
          <w:divBdr>
            <w:top w:val="none" w:sz="0" w:space="0" w:color="auto"/>
            <w:left w:val="none" w:sz="0" w:space="0" w:color="auto"/>
            <w:bottom w:val="none" w:sz="0" w:space="0" w:color="auto"/>
            <w:right w:val="none" w:sz="0" w:space="0" w:color="auto"/>
          </w:divBdr>
        </w:div>
      </w:divsChild>
    </w:div>
    <w:div w:id="214203162">
      <w:bodyDiv w:val="1"/>
      <w:marLeft w:val="0"/>
      <w:marRight w:val="0"/>
      <w:marTop w:val="0"/>
      <w:marBottom w:val="0"/>
      <w:divBdr>
        <w:top w:val="none" w:sz="0" w:space="0" w:color="auto"/>
        <w:left w:val="none" w:sz="0" w:space="0" w:color="auto"/>
        <w:bottom w:val="none" w:sz="0" w:space="0" w:color="auto"/>
        <w:right w:val="none" w:sz="0" w:space="0" w:color="auto"/>
      </w:divBdr>
      <w:divsChild>
        <w:div w:id="48455757">
          <w:marLeft w:val="274"/>
          <w:marRight w:val="0"/>
          <w:marTop w:val="150"/>
          <w:marBottom w:val="0"/>
          <w:divBdr>
            <w:top w:val="none" w:sz="0" w:space="0" w:color="auto"/>
            <w:left w:val="none" w:sz="0" w:space="0" w:color="auto"/>
            <w:bottom w:val="none" w:sz="0" w:space="0" w:color="auto"/>
            <w:right w:val="none" w:sz="0" w:space="0" w:color="auto"/>
          </w:divBdr>
        </w:div>
        <w:div w:id="332613848">
          <w:marLeft w:val="274"/>
          <w:marRight w:val="0"/>
          <w:marTop w:val="150"/>
          <w:marBottom w:val="0"/>
          <w:divBdr>
            <w:top w:val="none" w:sz="0" w:space="0" w:color="auto"/>
            <w:left w:val="none" w:sz="0" w:space="0" w:color="auto"/>
            <w:bottom w:val="none" w:sz="0" w:space="0" w:color="auto"/>
            <w:right w:val="none" w:sz="0" w:space="0" w:color="auto"/>
          </w:divBdr>
        </w:div>
        <w:div w:id="602735441">
          <w:marLeft w:val="274"/>
          <w:marRight w:val="0"/>
          <w:marTop w:val="150"/>
          <w:marBottom w:val="0"/>
          <w:divBdr>
            <w:top w:val="none" w:sz="0" w:space="0" w:color="auto"/>
            <w:left w:val="none" w:sz="0" w:space="0" w:color="auto"/>
            <w:bottom w:val="none" w:sz="0" w:space="0" w:color="auto"/>
            <w:right w:val="none" w:sz="0" w:space="0" w:color="auto"/>
          </w:divBdr>
        </w:div>
        <w:div w:id="742335828">
          <w:marLeft w:val="274"/>
          <w:marRight w:val="0"/>
          <w:marTop w:val="150"/>
          <w:marBottom w:val="0"/>
          <w:divBdr>
            <w:top w:val="none" w:sz="0" w:space="0" w:color="auto"/>
            <w:left w:val="none" w:sz="0" w:space="0" w:color="auto"/>
            <w:bottom w:val="none" w:sz="0" w:space="0" w:color="auto"/>
            <w:right w:val="none" w:sz="0" w:space="0" w:color="auto"/>
          </w:divBdr>
        </w:div>
        <w:div w:id="1032196389">
          <w:marLeft w:val="274"/>
          <w:marRight w:val="0"/>
          <w:marTop w:val="150"/>
          <w:marBottom w:val="0"/>
          <w:divBdr>
            <w:top w:val="none" w:sz="0" w:space="0" w:color="auto"/>
            <w:left w:val="none" w:sz="0" w:space="0" w:color="auto"/>
            <w:bottom w:val="none" w:sz="0" w:space="0" w:color="auto"/>
            <w:right w:val="none" w:sz="0" w:space="0" w:color="auto"/>
          </w:divBdr>
        </w:div>
        <w:div w:id="1617101509">
          <w:marLeft w:val="274"/>
          <w:marRight w:val="0"/>
          <w:marTop w:val="150"/>
          <w:marBottom w:val="0"/>
          <w:divBdr>
            <w:top w:val="none" w:sz="0" w:space="0" w:color="auto"/>
            <w:left w:val="none" w:sz="0" w:space="0" w:color="auto"/>
            <w:bottom w:val="none" w:sz="0" w:space="0" w:color="auto"/>
            <w:right w:val="none" w:sz="0" w:space="0" w:color="auto"/>
          </w:divBdr>
        </w:div>
        <w:div w:id="1994793499">
          <w:marLeft w:val="274"/>
          <w:marRight w:val="0"/>
          <w:marTop w:val="150"/>
          <w:marBottom w:val="0"/>
          <w:divBdr>
            <w:top w:val="none" w:sz="0" w:space="0" w:color="auto"/>
            <w:left w:val="none" w:sz="0" w:space="0" w:color="auto"/>
            <w:bottom w:val="none" w:sz="0" w:space="0" w:color="auto"/>
            <w:right w:val="none" w:sz="0" w:space="0" w:color="auto"/>
          </w:divBdr>
        </w:div>
      </w:divsChild>
    </w:div>
    <w:div w:id="268514905">
      <w:bodyDiv w:val="1"/>
      <w:marLeft w:val="0"/>
      <w:marRight w:val="0"/>
      <w:marTop w:val="0"/>
      <w:marBottom w:val="0"/>
      <w:divBdr>
        <w:top w:val="none" w:sz="0" w:space="0" w:color="auto"/>
        <w:left w:val="none" w:sz="0" w:space="0" w:color="auto"/>
        <w:bottom w:val="none" w:sz="0" w:space="0" w:color="auto"/>
        <w:right w:val="none" w:sz="0" w:space="0" w:color="auto"/>
      </w:divBdr>
    </w:div>
    <w:div w:id="282423375">
      <w:bodyDiv w:val="1"/>
      <w:marLeft w:val="0"/>
      <w:marRight w:val="0"/>
      <w:marTop w:val="0"/>
      <w:marBottom w:val="0"/>
      <w:divBdr>
        <w:top w:val="none" w:sz="0" w:space="0" w:color="auto"/>
        <w:left w:val="none" w:sz="0" w:space="0" w:color="auto"/>
        <w:bottom w:val="none" w:sz="0" w:space="0" w:color="auto"/>
        <w:right w:val="none" w:sz="0" w:space="0" w:color="auto"/>
      </w:divBdr>
      <w:divsChild>
        <w:div w:id="269897542">
          <w:marLeft w:val="0"/>
          <w:marRight w:val="0"/>
          <w:marTop w:val="83"/>
          <w:marBottom w:val="0"/>
          <w:divBdr>
            <w:top w:val="none" w:sz="0" w:space="0" w:color="auto"/>
            <w:left w:val="none" w:sz="0" w:space="0" w:color="auto"/>
            <w:bottom w:val="none" w:sz="0" w:space="0" w:color="auto"/>
            <w:right w:val="none" w:sz="0" w:space="0" w:color="auto"/>
          </w:divBdr>
        </w:div>
        <w:div w:id="894243344">
          <w:marLeft w:val="0"/>
          <w:marRight w:val="0"/>
          <w:marTop w:val="83"/>
          <w:marBottom w:val="0"/>
          <w:divBdr>
            <w:top w:val="none" w:sz="0" w:space="0" w:color="auto"/>
            <w:left w:val="none" w:sz="0" w:space="0" w:color="auto"/>
            <w:bottom w:val="none" w:sz="0" w:space="0" w:color="auto"/>
            <w:right w:val="none" w:sz="0" w:space="0" w:color="auto"/>
          </w:divBdr>
        </w:div>
        <w:div w:id="1341617594">
          <w:marLeft w:val="0"/>
          <w:marRight w:val="0"/>
          <w:marTop w:val="83"/>
          <w:marBottom w:val="0"/>
          <w:divBdr>
            <w:top w:val="none" w:sz="0" w:space="0" w:color="auto"/>
            <w:left w:val="none" w:sz="0" w:space="0" w:color="auto"/>
            <w:bottom w:val="none" w:sz="0" w:space="0" w:color="auto"/>
            <w:right w:val="none" w:sz="0" w:space="0" w:color="auto"/>
          </w:divBdr>
        </w:div>
        <w:div w:id="1504272266">
          <w:marLeft w:val="0"/>
          <w:marRight w:val="0"/>
          <w:marTop w:val="83"/>
          <w:marBottom w:val="0"/>
          <w:divBdr>
            <w:top w:val="none" w:sz="0" w:space="0" w:color="auto"/>
            <w:left w:val="none" w:sz="0" w:space="0" w:color="auto"/>
            <w:bottom w:val="none" w:sz="0" w:space="0" w:color="auto"/>
            <w:right w:val="none" w:sz="0" w:space="0" w:color="auto"/>
          </w:divBdr>
        </w:div>
        <w:div w:id="1585528421">
          <w:marLeft w:val="0"/>
          <w:marRight w:val="0"/>
          <w:marTop w:val="83"/>
          <w:marBottom w:val="0"/>
          <w:divBdr>
            <w:top w:val="none" w:sz="0" w:space="0" w:color="auto"/>
            <w:left w:val="none" w:sz="0" w:space="0" w:color="auto"/>
            <w:bottom w:val="none" w:sz="0" w:space="0" w:color="auto"/>
            <w:right w:val="none" w:sz="0" w:space="0" w:color="auto"/>
          </w:divBdr>
        </w:div>
      </w:divsChild>
    </w:div>
    <w:div w:id="285238417">
      <w:bodyDiv w:val="1"/>
      <w:marLeft w:val="0"/>
      <w:marRight w:val="0"/>
      <w:marTop w:val="0"/>
      <w:marBottom w:val="0"/>
      <w:divBdr>
        <w:top w:val="none" w:sz="0" w:space="0" w:color="auto"/>
        <w:left w:val="none" w:sz="0" w:space="0" w:color="auto"/>
        <w:bottom w:val="none" w:sz="0" w:space="0" w:color="auto"/>
        <w:right w:val="none" w:sz="0" w:space="0" w:color="auto"/>
      </w:divBdr>
    </w:div>
    <w:div w:id="393158697">
      <w:bodyDiv w:val="1"/>
      <w:marLeft w:val="0"/>
      <w:marRight w:val="0"/>
      <w:marTop w:val="0"/>
      <w:marBottom w:val="0"/>
      <w:divBdr>
        <w:top w:val="none" w:sz="0" w:space="0" w:color="auto"/>
        <w:left w:val="none" w:sz="0" w:space="0" w:color="auto"/>
        <w:bottom w:val="none" w:sz="0" w:space="0" w:color="auto"/>
        <w:right w:val="none" w:sz="0" w:space="0" w:color="auto"/>
      </w:divBdr>
      <w:divsChild>
        <w:div w:id="1199440783">
          <w:marLeft w:val="0"/>
          <w:marRight w:val="0"/>
          <w:marTop w:val="0"/>
          <w:marBottom w:val="0"/>
          <w:divBdr>
            <w:top w:val="none" w:sz="0" w:space="0" w:color="auto"/>
            <w:left w:val="none" w:sz="0" w:space="0" w:color="auto"/>
            <w:bottom w:val="none" w:sz="0" w:space="0" w:color="auto"/>
            <w:right w:val="none" w:sz="0" w:space="0" w:color="auto"/>
          </w:divBdr>
        </w:div>
      </w:divsChild>
    </w:div>
    <w:div w:id="457186914">
      <w:bodyDiv w:val="1"/>
      <w:marLeft w:val="0"/>
      <w:marRight w:val="0"/>
      <w:marTop w:val="0"/>
      <w:marBottom w:val="0"/>
      <w:divBdr>
        <w:top w:val="none" w:sz="0" w:space="0" w:color="auto"/>
        <w:left w:val="none" w:sz="0" w:space="0" w:color="auto"/>
        <w:bottom w:val="none" w:sz="0" w:space="0" w:color="auto"/>
        <w:right w:val="none" w:sz="0" w:space="0" w:color="auto"/>
      </w:divBdr>
    </w:div>
    <w:div w:id="494414937">
      <w:bodyDiv w:val="1"/>
      <w:marLeft w:val="0"/>
      <w:marRight w:val="0"/>
      <w:marTop w:val="0"/>
      <w:marBottom w:val="0"/>
      <w:divBdr>
        <w:top w:val="none" w:sz="0" w:space="0" w:color="auto"/>
        <w:left w:val="none" w:sz="0" w:space="0" w:color="auto"/>
        <w:bottom w:val="none" w:sz="0" w:space="0" w:color="auto"/>
        <w:right w:val="none" w:sz="0" w:space="0" w:color="auto"/>
      </w:divBdr>
      <w:divsChild>
        <w:div w:id="1273123550">
          <w:marLeft w:val="0"/>
          <w:marRight w:val="0"/>
          <w:marTop w:val="83"/>
          <w:marBottom w:val="0"/>
          <w:divBdr>
            <w:top w:val="none" w:sz="0" w:space="0" w:color="auto"/>
            <w:left w:val="none" w:sz="0" w:space="0" w:color="auto"/>
            <w:bottom w:val="none" w:sz="0" w:space="0" w:color="auto"/>
            <w:right w:val="none" w:sz="0" w:space="0" w:color="auto"/>
          </w:divBdr>
        </w:div>
        <w:div w:id="1404181688">
          <w:marLeft w:val="0"/>
          <w:marRight w:val="0"/>
          <w:marTop w:val="83"/>
          <w:marBottom w:val="0"/>
          <w:divBdr>
            <w:top w:val="none" w:sz="0" w:space="0" w:color="auto"/>
            <w:left w:val="none" w:sz="0" w:space="0" w:color="auto"/>
            <w:bottom w:val="none" w:sz="0" w:space="0" w:color="auto"/>
            <w:right w:val="none" w:sz="0" w:space="0" w:color="auto"/>
          </w:divBdr>
        </w:div>
      </w:divsChild>
    </w:div>
    <w:div w:id="521162320">
      <w:bodyDiv w:val="1"/>
      <w:marLeft w:val="0"/>
      <w:marRight w:val="0"/>
      <w:marTop w:val="0"/>
      <w:marBottom w:val="0"/>
      <w:divBdr>
        <w:top w:val="none" w:sz="0" w:space="0" w:color="auto"/>
        <w:left w:val="none" w:sz="0" w:space="0" w:color="auto"/>
        <w:bottom w:val="none" w:sz="0" w:space="0" w:color="auto"/>
        <w:right w:val="none" w:sz="0" w:space="0" w:color="auto"/>
      </w:divBdr>
    </w:div>
    <w:div w:id="526481487">
      <w:bodyDiv w:val="1"/>
      <w:marLeft w:val="0"/>
      <w:marRight w:val="0"/>
      <w:marTop w:val="0"/>
      <w:marBottom w:val="0"/>
      <w:divBdr>
        <w:top w:val="none" w:sz="0" w:space="0" w:color="auto"/>
        <w:left w:val="none" w:sz="0" w:space="0" w:color="auto"/>
        <w:bottom w:val="none" w:sz="0" w:space="0" w:color="auto"/>
        <w:right w:val="none" w:sz="0" w:space="0" w:color="auto"/>
      </w:divBdr>
    </w:div>
    <w:div w:id="533738097">
      <w:bodyDiv w:val="1"/>
      <w:marLeft w:val="0"/>
      <w:marRight w:val="0"/>
      <w:marTop w:val="0"/>
      <w:marBottom w:val="0"/>
      <w:divBdr>
        <w:top w:val="none" w:sz="0" w:space="0" w:color="auto"/>
        <w:left w:val="none" w:sz="0" w:space="0" w:color="auto"/>
        <w:bottom w:val="none" w:sz="0" w:space="0" w:color="auto"/>
        <w:right w:val="none" w:sz="0" w:space="0" w:color="auto"/>
      </w:divBdr>
    </w:div>
    <w:div w:id="549607438">
      <w:bodyDiv w:val="1"/>
      <w:marLeft w:val="0"/>
      <w:marRight w:val="0"/>
      <w:marTop w:val="0"/>
      <w:marBottom w:val="0"/>
      <w:divBdr>
        <w:top w:val="none" w:sz="0" w:space="0" w:color="auto"/>
        <w:left w:val="none" w:sz="0" w:space="0" w:color="auto"/>
        <w:bottom w:val="none" w:sz="0" w:space="0" w:color="auto"/>
        <w:right w:val="none" w:sz="0" w:space="0" w:color="auto"/>
      </w:divBdr>
    </w:div>
    <w:div w:id="570887557">
      <w:bodyDiv w:val="1"/>
      <w:marLeft w:val="0"/>
      <w:marRight w:val="0"/>
      <w:marTop w:val="0"/>
      <w:marBottom w:val="0"/>
      <w:divBdr>
        <w:top w:val="none" w:sz="0" w:space="0" w:color="auto"/>
        <w:left w:val="none" w:sz="0" w:space="0" w:color="auto"/>
        <w:bottom w:val="none" w:sz="0" w:space="0" w:color="auto"/>
        <w:right w:val="none" w:sz="0" w:space="0" w:color="auto"/>
      </w:divBdr>
      <w:divsChild>
        <w:div w:id="1008754845">
          <w:marLeft w:val="720"/>
          <w:marRight w:val="0"/>
          <w:marTop w:val="150"/>
          <w:marBottom w:val="120"/>
          <w:divBdr>
            <w:top w:val="none" w:sz="0" w:space="0" w:color="auto"/>
            <w:left w:val="none" w:sz="0" w:space="0" w:color="auto"/>
            <w:bottom w:val="none" w:sz="0" w:space="0" w:color="auto"/>
            <w:right w:val="none" w:sz="0" w:space="0" w:color="auto"/>
          </w:divBdr>
        </w:div>
        <w:div w:id="1400591410">
          <w:marLeft w:val="720"/>
          <w:marRight w:val="0"/>
          <w:marTop w:val="150"/>
          <w:marBottom w:val="120"/>
          <w:divBdr>
            <w:top w:val="none" w:sz="0" w:space="0" w:color="auto"/>
            <w:left w:val="none" w:sz="0" w:space="0" w:color="auto"/>
            <w:bottom w:val="none" w:sz="0" w:space="0" w:color="auto"/>
            <w:right w:val="none" w:sz="0" w:space="0" w:color="auto"/>
          </w:divBdr>
        </w:div>
      </w:divsChild>
    </w:div>
    <w:div w:id="597523845">
      <w:bodyDiv w:val="1"/>
      <w:marLeft w:val="0"/>
      <w:marRight w:val="0"/>
      <w:marTop w:val="0"/>
      <w:marBottom w:val="0"/>
      <w:divBdr>
        <w:top w:val="none" w:sz="0" w:space="0" w:color="auto"/>
        <w:left w:val="none" w:sz="0" w:space="0" w:color="auto"/>
        <w:bottom w:val="none" w:sz="0" w:space="0" w:color="auto"/>
        <w:right w:val="none" w:sz="0" w:space="0" w:color="auto"/>
      </w:divBdr>
    </w:div>
    <w:div w:id="625895607">
      <w:bodyDiv w:val="1"/>
      <w:marLeft w:val="0"/>
      <w:marRight w:val="0"/>
      <w:marTop w:val="0"/>
      <w:marBottom w:val="0"/>
      <w:divBdr>
        <w:top w:val="none" w:sz="0" w:space="0" w:color="auto"/>
        <w:left w:val="none" w:sz="0" w:space="0" w:color="auto"/>
        <w:bottom w:val="none" w:sz="0" w:space="0" w:color="auto"/>
        <w:right w:val="none" w:sz="0" w:space="0" w:color="auto"/>
      </w:divBdr>
    </w:div>
    <w:div w:id="686760826">
      <w:bodyDiv w:val="1"/>
      <w:marLeft w:val="0"/>
      <w:marRight w:val="0"/>
      <w:marTop w:val="0"/>
      <w:marBottom w:val="0"/>
      <w:divBdr>
        <w:top w:val="none" w:sz="0" w:space="0" w:color="auto"/>
        <w:left w:val="none" w:sz="0" w:space="0" w:color="auto"/>
        <w:bottom w:val="none" w:sz="0" w:space="0" w:color="auto"/>
        <w:right w:val="none" w:sz="0" w:space="0" w:color="auto"/>
      </w:divBdr>
      <w:divsChild>
        <w:div w:id="1885677091">
          <w:marLeft w:val="274"/>
          <w:marRight w:val="0"/>
          <w:marTop w:val="150"/>
          <w:marBottom w:val="0"/>
          <w:divBdr>
            <w:top w:val="none" w:sz="0" w:space="0" w:color="auto"/>
            <w:left w:val="none" w:sz="0" w:space="0" w:color="auto"/>
            <w:bottom w:val="none" w:sz="0" w:space="0" w:color="auto"/>
            <w:right w:val="none" w:sz="0" w:space="0" w:color="auto"/>
          </w:divBdr>
        </w:div>
      </w:divsChild>
    </w:div>
    <w:div w:id="696270540">
      <w:bodyDiv w:val="1"/>
      <w:marLeft w:val="0"/>
      <w:marRight w:val="0"/>
      <w:marTop w:val="0"/>
      <w:marBottom w:val="0"/>
      <w:divBdr>
        <w:top w:val="none" w:sz="0" w:space="0" w:color="auto"/>
        <w:left w:val="none" w:sz="0" w:space="0" w:color="auto"/>
        <w:bottom w:val="none" w:sz="0" w:space="0" w:color="auto"/>
        <w:right w:val="none" w:sz="0" w:space="0" w:color="auto"/>
      </w:divBdr>
    </w:div>
    <w:div w:id="837228373">
      <w:bodyDiv w:val="1"/>
      <w:marLeft w:val="0"/>
      <w:marRight w:val="0"/>
      <w:marTop w:val="0"/>
      <w:marBottom w:val="0"/>
      <w:divBdr>
        <w:top w:val="none" w:sz="0" w:space="0" w:color="auto"/>
        <w:left w:val="none" w:sz="0" w:space="0" w:color="auto"/>
        <w:bottom w:val="none" w:sz="0" w:space="0" w:color="auto"/>
        <w:right w:val="none" w:sz="0" w:space="0" w:color="auto"/>
      </w:divBdr>
    </w:div>
    <w:div w:id="859929235">
      <w:bodyDiv w:val="1"/>
      <w:marLeft w:val="0"/>
      <w:marRight w:val="0"/>
      <w:marTop w:val="0"/>
      <w:marBottom w:val="0"/>
      <w:divBdr>
        <w:top w:val="none" w:sz="0" w:space="0" w:color="auto"/>
        <w:left w:val="none" w:sz="0" w:space="0" w:color="auto"/>
        <w:bottom w:val="none" w:sz="0" w:space="0" w:color="auto"/>
        <w:right w:val="none" w:sz="0" w:space="0" w:color="auto"/>
      </w:divBdr>
    </w:div>
    <w:div w:id="860044535">
      <w:bodyDiv w:val="1"/>
      <w:marLeft w:val="0"/>
      <w:marRight w:val="0"/>
      <w:marTop w:val="0"/>
      <w:marBottom w:val="0"/>
      <w:divBdr>
        <w:top w:val="none" w:sz="0" w:space="0" w:color="auto"/>
        <w:left w:val="none" w:sz="0" w:space="0" w:color="auto"/>
        <w:bottom w:val="none" w:sz="0" w:space="0" w:color="auto"/>
        <w:right w:val="none" w:sz="0" w:space="0" w:color="auto"/>
      </w:divBdr>
      <w:divsChild>
        <w:div w:id="1698844545">
          <w:marLeft w:val="0"/>
          <w:marRight w:val="0"/>
          <w:marTop w:val="0"/>
          <w:marBottom w:val="0"/>
          <w:divBdr>
            <w:top w:val="none" w:sz="0" w:space="0" w:color="auto"/>
            <w:left w:val="none" w:sz="0" w:space="0" w:color="auto"/>
            <w:bottom w:val="none" w:sz="0" w:space="0" w:color="auto"/>
            <w:right w:val="none" w:sz="0" w:space="0" w:color="auto"/>
          </w:divBdr>
        </w:div>
      </w:divsChild>
    </w:div>
    <w:div w:id="913394301">
      <w:bodyDiv w:val="1"/>
      <w:marLeft w:val="0"/>
      <w:marRight w:val="0"/>
      <w:marTop w:val="0"/>
      <w:marBottom w:val="0"/>
      <w:divBdr>
        <w:top w:val="none" w:sz="0" w:space="0" w:color="auto"/>
        <w:left w:val="none" w:sz="0" w:space="0" w:color="auto"/>
        <w:bottom w:val="none" w:sz="0" w:space="0" w:color="auto"/>
        <w:right w:val="none" w:sz="0" w:space="0" w:color="auto"/>
      </w:divBdr>
      <w:divsChild>
        <w:div w:id="244729449">
          <w:marLeft w:val="0"/>
          <w:marRight w:val="0"/>
          <w:marTop w:val="0"/>
          <w:marBottom w:val="0"/>
          <w:divBdr>
            <w:top w:val="none" w:sz="0" w:space="0" w:color="auto"/>
            <w:left w:val="none" w:sz="0" w:space="0" w:color="auto"/>
            <w:bottom w:val="none" w:sz="0" w:space="0" w:color="auto"/>
            <w:right w:val="none" w:sz="0" w:space="0" w:color="auto"/>
          </w:divBdr>
          <w:divsChild>
            <w:div w:id="13847632">
              <w:marLeft w:val="0"/>
              <w:marRight w:val="0"/>
              <w:marTop w:val="0"/>
              <w:marBottom w:val="0"/>
              <w:divBdr>
                <w:top w:val="none" w:sz="0" w:space="0" w:color="auto"/>
                <w:left w:val="none" w:sz="0" w:space="0" w:color="auto"/>
                <w:bottom w:val="none" w:sz="0" w:space="0" w:color="auto"/>
                <w:right w:val="none" w:sz="0" w:space="0" w:color="auto"/>
              </w:divBdr>
            </w:div>
            <w:div w:id="521893773">
              <w:marLeft w:val="0"/>
              <w:marRight w:val="0"/>
              <w:marTop w:val="0"/>
              <w:marBottom w:val="0"/>
              <w:divBdr>
                <w:top w:val="none" w:sz="0" w:space="0" w:color="auto"/>
                <w:left w:val="none" w:sz="0" w:space="0" w:color="auto"/>
                <w:bottom w:val="none" w:sz="0" w:space="0" w:color="auto"/>
                <w:right w:val="none" w:sz="0" w:space="0" w:color="auto"/>
              </w:divBdr>
            </w:div>
            <w:div w:id="990601552">
              <w:marLeft w:val="0"/>
              <w:marRight w:val="0"/>
              <w:marTop w:val="0"/>
              <w:marBottom w:val="0"/>
              <w:divBdr>
                <w:top w:val="none" w:sz="0" w:space="0" w:color="auto"/>
                <w:left w:val="none" w:sz="0" w:space="0" w:color="auto"/>
                <w:bottom w:val="none" w:sz="0" w:space="0" w:color="auto"/>
                <w:right w:val="none" w:sz="0" w:space="0" w:color="auto"/>
              </w:divBdr>
            </w:div>
          </w:divsChild>
        </w:div>
        <w:div w:id="262999319">
          <w:marLeft w:val="0"/>
          <w:marRight w:val="0"/>
          <w:marTop w:val="0"/>
          <w:marBottom w:val="0"/>
          <w:divBdr>
            <w:top w:val="none" w:sz="0" w:space="0" w:color="auto"/>
            <w:left w:val="none" w:sz="0" w:space="0" w:color="auto"/>
            <w:bottom w:val="none" w:sz="0" w:space="0" w:color="auto"/>
            <w:right w:val="none" w:sz="0" w:space="0" w:color="auto"/>
          </w:divBdr>
          <w:divsChild>
            <w:div w:id="1105808571">
              <w:marLeft w:val="0"/>
              <w:marRight w:val="0"/>
              <w:marTop w:val="0"/>
              <w:marBottom w:val="0"/>
              <w:divBdr>
                <w:top w:val="none" w:sz="0" w:space="0" w:color="auto"/>
                <w:left w:val="none" w:sz="0" w:space="0" w:color="auto"/>
                <w:bottom w:val="none" w:sz="0" w:space="0" w:color="auto"/>
                <w:right w:val="none" w:sz="0" w:space="0" w:color="auto"/>
              </w:divBdr>
            </w:div>
            <w:div w:id="1223055359">
              <w:marLeft w:val="0"/>
              <w:marRight w:val="0"/>
              <w:marTop w:val="0"/>
              <w:marBottom w:val="0"/>
              <w:divBdr>
                <w:top w:val="none" w:sz="0" w:space="0" w:color="auto"/>
                <w:left w:val="none" w:sz="0" w:space="0" w:color="auto"/>
                <w:bottom w:val="none" w:sz="0" w:space="0" w:color="auto"/>
                <w:right w:val="none" w:sz="0" w:space="0" w:color="auto"/>
              </w:divBdr>
            </w:div>
            <w:div w:id="1358851957">
              <w:marLeft w:val="0"/>
              <w:marRight w:val="0"/>
              <w:marTop w:val="0"/>
              <w:marBottom w:val="0"/>
              <w:divBdr>
                <w:top w:val="none" w:sz="0" w:space="0" w:color="auto"/>
                <w:left w:val="none" w:sz="0" w:space="0" w:color="auto"/>
                <w:bottom w:val="none" w:sz="0" w:space="0" w:color="auto"/>
                <w:right w:val="none" w:sz="0" w:space="0" w:color="auto"/>
              </w:divBdr>
            </w:div>
            <w:div w:id="1987395894">
              <w:marLeft w:val="0"/>
              <w:marRight w:val="0"/>
              <w:marTop w:val="0"/>
              <w:marBottom w:val="0"/>
              <w:divBdr>
                <w:top w:val="none" w:sz="0" w:space="0" w:color="auto"/>
                <w:left w:val="none" w:sz="0" w:space="0" w:color="auto"/>
                <w:bottom w:val="none" w:sz="0" w:space="0" w:color="auto"/>
                <w:right w:val="none" w:sz="0" w:space="0" w:color="auto"/>
              </w:divBdr>
            </w:div>
          </w:divsChild>
        </w:div>
        <w:div w:id="646323671">
          <w:marLeft w:val="0"/>
          <w:marRight w:val="0"/>
          <w:marTop w:val="0"/>
          <w:marBottom w:val="0"/>
          <w:divBdr>
            <w:top w:val="none" w:sz="0" w:space="0" w:color="auto"/>
            <w:left w:val="none" w:sz="0" w:space="0" w:color="auto"/>
            <w:bottom w:val="none" w:sz="0" w:space="0" w:color="auto"/>
            <w:right w:val="none" w:sz="0" w:space="0" w:color="auto"/>
          </w:divBdr>
        </w:div>
        <w:div w:id="1621376459">
          <w:marLeft w:val="0"/>
          <w:marRight w:val="0"/>
          <w:marTop w:val="0"/>
          <w:marBottom w:val="0"/>
          <w:divBdr>
            <w:top w:val="none" w:sz="0" w:space="0" w:color="auto"/>
            <w:left w:val="none" w:sz="0" w:space="0" w:color="auto"/>
            <w:bottom w:val="none" w:sz="0" w:space="0" w:color="auto"/>
            <w:right w:val="none" w:sz="0" w:space="0" w:color="auto"/>
          </w:divBdr>
        </w:div>
        <w:div w:id="2092848376">
          <w:marLeft w:val="0"/>
          <w:marRight w:val="0"/>
          <w:marTop w:val="0"/>
          <w:marBottom w:val="0"/>
          <w:divBdr>
            <w:top w:val="none" w:sz="0" w:space="0" w:color="auto"/>
            <w:left w:val="none" w:sz="0" w:space="0" w:color="auto"/>
            <w:bottom w:val="none" w:sz="0" w:space="0" w:color="auto"/>
            <w:right w:val="none" w:sz="0" w:space="0" w:color="auto"/>
          </w:divBdr>
          <w:divsChild>
            <w:div w:id="225379826">
              <w:marLeft w:val="0"/>
              <w:marRight w:val="0"/>
              <w:marTop w:val="0"/>
              <w:marBottom w:val="0"/>
              <w:divBdr>
                <w:top w:val="none" w:sz="0" w:space="0" w:color="auto"/>
                <w:left w:val="none" w:sz="0" w:space="0" w:color="auto"/>
                <w:bottom w:val="none" w:sz="0" w:space="0" w:color="auto"/>
                <w:right w:val="none" w:sz="0" w:space="0" w:color="auto"/>
              </w:divBdr>
            </w:div>
            <w:div w:id="679237408">
              <w:marLeft w:val="0"/>
              <w:marRight w:val="0"/>
              <w:marTop w:val="0"/>
              <w:marBottom w:val="0"/>
              <w:divBdr>
                <w:top w:val="none" w:sz="0" w:space="0" w:color="auto"/>
                <w:left w:val="none" w:sz="0" w:space="0" w:color="auto"/>
                <w:bottom w:val="none" w:sz="0" w:space="0" w:color="auto"/>
                <w:right w:val="none" w:sz="0" w:space="0" w:color="auto"/>
              </w:divBdr>
            </w:div>
            <w:div w:id="209146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29999">
      <w:bodyDiv w:val="1"/>
      <w:marLeft w:val="0"/>
      <w:marRight w:val="0"/>
      <w:marTop w:val="0"/>
      <w:marBottom w:val="0"/>
      <w:divBdr>
        <w:top w:val="none" w:sz="0" w:space="0" w:color="auto"/>
        <w:left w:val="none" w:sz="0" w:space="0" w:color="auto"/>
        <w:bottom w:val="none" w:sz="0" w:space="0" w:color="auto"/>
        <w:right w:val="none" w:sz="0" w:space="0" w:color="auto"/>
      </w:divBdr>
      <w:divsChild>
        <w:div w:id="707990288">
          <w:marLeft w:val="0"/>
          <w:marRight w:val="0"/>
          <w:marTop w:val="83"/>
          <w:marBottom w:val="0"/>
          <w:divBdr>
            <w:top w:val="none" w:sz="0" w:space="0" w:color="auto"/>
            <w:left w:val="none" w:sz="0" w:space="0" w:color="auto"/>
            <w:bottom w:val="none" w:sz="0" w:space="0" w:color="auto"/>
            <w:right w:val="none" w:sz="0" w:space="0" w:color="auto"/>
          </w:divBdr>
        </w:div>
        <w:div w:id="860049558">
          <w:marLeft w:val="0"/>
          <w:marRight w:val="0"/>
          <w:marTop w:val="83"/>
          <w:marBottom w:val="0"/>
          <w:divBdr>
            <w:top w:val="none" w:sz="0" w:space="0" w:color="auto"/>
            <w:left w:val="none" w:sz="0" w:space="0" w:color="auto"/>
            <w:bottom w:val="none" w:sz="0" w:space="0" w:color="auto"/>
            <w:right w:val="none" w:sz="0" w:space="0" w:color="auto"/>
          </w:divBdr>
        </w:div>
        <w:div w:id="1384793055">
          <w:marLeft w:val="0"/>
          <w:marRight w:val="0"/>
          <w:marTop w:val="83"/>
          <w:marBottom w:val="0"/>
          <w:divBdr>
            <w:top w:val="none" w:sz="0" w:space="0" w:color="auto"/>
            <w:left w:val="none" w:sz="0" w:space="0" w:color="auto"/>
            <w:bottom w:val="none" w:sz="0" w:space="0" w:color="auto"/>
            <w:right w:val="none" w:sz="0" w:space="0" w:color="auto"/>
          </w:divBdr>
        </w:div>
        <w:div w:id="1474180308">
          <w:marLeft w:val="0"/>
          <w:marRight w:val="0"/>
          <w:marTop w:val="83"/>
          <w:marBottom w:val="0"/>
          <w:divBdr>
            <w:top w:val="none" w:sz="0" w:space="0" w:color="auto"/>
            <w:left w:val="none" w:sz="0" w:space="0" w:color="auto"/>
            <w:bottom w:val="none" w:sz="0" w:space="0" w:color="auto"/>
            <w:right w:val="none" w:sz="0" w:space="0" w:color="auto"/>
          </w:divBdr>
        </w:div>
        <w:div w:id="1518083452">
          <w:marLeft w:val="0"/>
          <w:marRight w:val="0"/>
          <w:marTop w:val="83"/>
          <w:marBottom w:val="0"/>
          <w:divBdr>
            <w:top w:val="none" w:sz="0" w:space="0" w:color="auto"/>
            <w:left w:val="none" w:sz="0" w:space="0" w:color="auto"/>
            <w:bottom w:val="none" w:sz="0" w:space="0" w:color="auto"/>
            <w:right w:val="none" w:sz="0" w:space="0" w:color="auto"/>
          </w:divBdr>
        </w:div>
        <w:div w:id="1542864829">
          <w:marLeft w:val="0"/>
          <w:marRight w:val="0"/>
          <w:marTop w:val="83"/>
          <w:marBottom w:val="0"/>
          <w:divBdr>
            <w:top w:val="none" w:sz="0" w:space="0" w:color="auto"/>
            <w:left w:val="none" w:sz="0" w:space="0" w:color="auto"/>
            <w:bottom w:val="none" w:sz="0" w:space="0" w:color="auto"/>
            <w:right w:val="none" w:sz="0" w:space="0" w:color="auto"/>
          </w:divBdr>
        </w:div>
      </w:divsChild>
    </w:div>
    <w:div w:id="1004164982">
      <w:bodyDiv w:val="1"/>
      <w:marLeft w:val="0"/>
      <w:marRight w:val="0"/>
      <w:marTop w:val="0"/>
      <w:marBottom w:val="0"/>
      <w:divBdr>
        <w:top w:val="none" w:sz="0" w:space="0" w:color="auto"/>
        <w:left w:val="none" w:sz="0" w:space="0" w:color="auto"/>
        <w:bottom w:val="none" w:sz="0" w:space="0" w:color="auto"/>
        <w:right w:val="none" w:sz="0" w:space="0" w:color="auto"/>
      </w:divBdr>
      <w:divsChild>
        <w:div w:id="512185234">
          <w:marLeft w:val="0"/>
          <w:marRight w:val="0"/>
          <w:marTop w:val="0"/>
          <w:marBottom w:val="0"/>
          <w:divBdr>
            <w:top w:val="none" w:sz="0" w:space="0" w:color="auto"/>
            <w:left w:val="none" w:sz="0" w:space="0" w:color="auto"/>
            <w:bottom w:val="none" w:sz="0" w:space="0" w:color="auto"/>
            <w:right w:val="none" w:sz="0" w:space="0" w:color="auto"/>
          </w:divBdr>
        </w:div>
      </w:divsChild>
    </w:div>
    <w:div w:id="1006664331">
      <w:bodyDiv w:val="1"/>
      <w:marLeft w:val="0"/>
      <w:marRight w:val="0"/>
      <w:marTop w:val="0"/>
      <w:marBottom w:val="0"/>
      <w:divBdr>
        <w:top w:val="none" w:sz="0" w:space="0" w:color="auto"/>
        <w:left w:val="none" w:sz="0" w:space="0" w:color="auto"/>
        <w:bottom w:val="none" w:sz="0" w:space="0" w:color="auto"/>
        <w:right w:val="none" w:sz="0" w:space="0" w:color="auto"/>
      </w:divBdr>
    </w:div>
    <w:div w:id="1015499063">
      <w:bodyDiv w:val="1"/>
      <w:marLeft w:val="0"/>
      <w:marRight w:val="0"/>
      <w:marTop w:val="0"/>
      <w:marBottom w:val="0"/>
      <w:divBdr>
        <w:top w:val="none" w:sz="0" w:space="0" w:color="auto"/>
        <w:left w:val="none" w:sz="0" w:space="0" w:color="auto"/>
        <w:bottom w:val="none" w:sz="0" w:space="0" w:color="auto"/>
        <w:right w:val="none" w:sz="0" w:space="0" w:color="auto"/>
      </w:divBdr>
    </w:div>
    <w:div w:id="1039549336">
      <w:bodyDiv w:val="1"/>
      <w:marLeft w:val="0"/>
      <w:marRight w:val="0"/>
      <w:marTop w:val="0"/>
      <w:marBottom w:val="0"/>
      <w:divBdr>
        <w:top w:val="none" w:sz="0" w:space="0" w:color="auto"/>
        <w:left w:val="none" w:sz="0" w:space="0" w:color="auto"/>
        <w:bottom w:val="none" w:sz="0" w:space="0" w:color="auto"/>
        <w:right w:val="none" w:sz="0" w:space="0" w:color="auto"/>
      </w:divBdr>
      <w:divsChild>
        <w:div w:id="392849270">
          <w:marLeft w:val="0"/>
          <w:marRight w:val="0"/>
          <w:marTop w:val="0"/>
          <w:marBottom w:val="0"/>
          <w:divBdr>
            <w:top w:val="none" w:sz="0" w:space="0" w:color="auto"/>
            <w:left w:val="none" w:sz="0" w:space="0" w:color="auto"/>
            <w:bottom w:val="none" w:sz="0" w:space="0" w:color="auto"/>
            <w:right w:val="none" w:sz="0" w:space="0" w:color="auto"/>
          </w:divBdr>
        </w:div>
        <w:div w:id="917788733">
          <w:marLeft w:val="0"/>
          <w:marRight w:val="0"/>
          <w:marTop w:val="0"/>
          <w:marBottom w:val="0"/>
          <w:divBdr>
            <w:top w:val="none" w:sz="0" w:space="0" w:color="auto"/>
            <w:left w:val="none" w:sz="0" w:space="0" w:color="auto"/>
            <w:bottom w:val="none" w:sz="0" w:space="0" w:color="auto"/>
            <w:right w:val="none" w:sz="0" w:space="0" w:color="auto"/>
          </w:divBdr>
        </w:div>
        <w:div w:id="1172377057">
          <w:marLeft w:val="0"/>
          <w:marRight w:val="0"/>
          <w:marTop w:val="0"/>
          <w:marBottom w:val="0"/>
          <w:divBdr>
            <w:top w:val="none" w:sz="0" w:space="0" w:color="auto"/>
            <w:left w:val="none" w:sz="0" w:space="0" w:color="auto"/>
            <w:bottom w:val="none" w:sz="0" w:space="0" w:color="auto"/>
            <w:right w:val="none" w:sz="0" w:space="0" w:color="auto"/>
          </w:divBdr>
        </w:div>
        <w:div w:id="1209105543">
          <w:marLeft w:val="0"/>
          <w:marRight w:val="0"/>
          <w:marTop w:val="0"/>
          <w:marBottom w:val="0"/>
          <w:divBdr>
            <w:top w:val="none" w:sz="0" w:space="0" w:color="auto"/>
            <w:left w:val="none" w:sz="0" w:space="0" w:color="auto"/>
            <w:bottom w:val="none" w:sz="0" w:space="0" w:color="auto"/>
            <w:right w:val="none" w:sz="0" w:space="0" w:color="auto"/>
          </w:divBdr>
        </w:div>
        <w:div w:id="1999308751">
          <w:marLeft w:val="0"/>
          <w:marRight w:val="0"/>
          <w:marTop w:val="0"/>
          <w:marBottom w:val="0"/>
          <w:divBdr>
            <w:top w:val="none" w:sz="0" w:space="0" w:color="auto"/>
            <w:left w:val="none" w:sz="0" w:space="0" w:color="auto"/>
            <w:bottom w:val="none" w:sz="0" w:space="0" w:color="auto"/>
            <w:right w:val="none" w:sz="0" w:space="0" w:color="auto"/>
          </w:divBdr>
        </w:div>
        <w:div w:id="2092192502">
          <w:marLeft w:val="0"/>
          <w:marRight w:val="0"/>
          <w:marTop w:val="0"/>
          <w:marBottom w:val="0"/>
          <w:divBdr>
            <w:top w:val="none" w:sz="0" w:space="0" w:color="auto"/>
            <w:left w:val="none" w:sz="0" w:space="0" w:color="auto"/>
            <w:bottom w:val="none" w:sz="0" w:space="0" w:color="auto"/>
            <w:right w:val="none" w:sz="0" w:space="0" w:color="auto"/>
          </w:divBdr>
        </w:div>
      </w:divsChild>
    </w:div>
    <w:div w:id="1052391405">
      <w:bodyDiv w:val="1"/>
      <w:marLeft w:val="0"/>
      <w:marRight w:val="0"/>
      <w:marTop w:val="0"/>
      <w:marBottom w:val="0"/>
      <w:divBdr>
        <w:top w:val="none" w:sz="0" w:space="0" w:color="auto"/>
        <w:left w:val="none" w:sz="0" w:space="0" w:color="auto"/>
        <w:bottom w:val="none" w:sz="0" w:space="0" w:color="auto"/>
        <w:right w:val="none" w:sz="0" w:space="0" w:color="auto"/>
      </w:divBdr>
    </w:div>
    <w:div w:id="1065563227">
      <w:bodyDiv w:val="1"/>
      <w:marLeft w:val="0"/>
      <w:marRight w:val="0"/>
      <w:marTop w:val="0"/>
      <w:marBottom w:val="0"/>
      <w:divBdr>
        <w:top w:val="none" w:sz="0" w:space="0" w:color="auto"/>
        <w:left w:val="none" w:sz="0" w:space="0" w:color="auto"/>
        <w:bottom w:val="none" w:sz="0" w:space="0" w:color="auto"/>
        <w:right w:val="none" w:sz="0" w:space="0" w:color="auto"/>
      </w:divBdr>
      <w:divsChild>
        <w:div w:id="545720461">
          <w:marLeft w:val="0"/>
          <w:marRight w:val="0"/>
          <w:marTop w:val="0"/>
          <w:marBottom w:val="0"/>
          <w:divBdr>
            <w:top w:val="none" w:sz="0" w:space="0" w:color="auto"/>
            <w:left w:val="none" w:sz="0" w:space="0" w:color="auto"/>
            <w:bottom w:val="none" w:sz="0" w:space="0" w:color="auto"/>
            <w:right w:val="none" w:sz="0" w:space="0" w:color="auto"/>
          </w:divBdr>
        </w:div>
        <w:div w:id="589315525">
          <w:marLeft w:val="0"/>
          <w:marRight w:val="0"/>
          <w:marTop w:val="0"/>
          <w:marBottom w:val="0"/>
          <w:divBdr>
            <w:top w:val="none" w:sz="0" w:space="0" w:color="auto"/>
            <w:left w:val="none" w:sz="0" w:space="0" w:color="auto"/>
            <w:bottom w:val="none" w:sz="0" w:space="0" w:color="auto"/>
            <w:right w:val="none" w:sz="0" w:space="0" w:color="auto"/>
          </w:divBdr>
        </w:div>
      </w:divsChild>
    </w:div>
    <w:div w:id="1082217827">
      <w:bodyDiv w:val="1"/>
      <w:marLeft w:val="0"/>
      <w:marRight w:val="0"/>
      <w:marTop w:val="0"/>
      <w:marBottom w:val="0"/>
      <w:divBdr>
        <w:top w:val="none" w:sz="0" w:space="0" w:color="auto"/>
        <w:left w:val="none" w:sz="0" w:space="0" w:color="auto"/>
        <w:bottom w:val="none" w:sz="0" w:space="0" w:color="auto"/>
        <w:right w:val="none" w:sz="0" w:space="0" w:color="auto"/>
      </w:divBdr>
    </w:div>
    <w:div w:id="1138373306">
      <w:bodyDiv w:val="1"/>
      <w:marLeft w:val="0"/>
      <w:marRight w:val="0"/>
      <w:marTop w:val="0"/>
      <w:marBottom w:val="0"/>
      <w:divBdr>
        <w:top w:val="none" w:sz="0" w:space="0" w:color="auto"/>
        <w:left w:val="none" w:sz="0" w:space="0" w:color="auto"/>
        <w:bottom w:val="none" w:sz="0" w:space="0" w:color="auto"/>
        <w:right w:val="none" w:sz="0" w:space="0" w:color="auto"/>
      </w:divBdr>
    </w:div>
    <w:div w:id="1184857650">
      <w:bodyDiv w:val="1"/>
      <w:marLeft w:val="0"/>
      <w:marRight w:val="0"/>
      <w:marTop w:val="0"/>
      <w:marBottom w:val="0"/>
      <w:divBdr>
        <w:top w:val="none" w:sz="0" w:space="0" w:color="auto"/>
        <w:left w:val="none" w:sz="0" w:space="0" w:color="auto"/>
        <w:bottom w:val="none" w:sz="0" w:space="0" w:color="auto"/>
        <w:right w:val="none" w:sz="0" w:space="0" w:color="auto"/>
      </w:divBdr>
    </w:div>
    <w:div w:id="1186676899">
      <w:bodyDiv w:val="1"/>
      <w:marLeft w:val="0"/>
      <w:marRight w:val="0"/>
      <w:marTop w:val="0"/>
      <w:marBottom w:val="0"/>
      <w:divBdr>
        <w:top w:val="none" w:sz="0" w:space="0" w:color="auto"/>
        <w:left w:val="none" w:sz="0" w:space="0" w:color="auto"/>
        <w:bottom w:val="none" w:sz="0" w:space="0" w:color="auto"/>
        <w:right w:val="none" w:sz="0" w:space="0" w:color="auto"/>
      </w:divBdr>
    </w:div>
    <w:div w:id="1206985478">
      <w:bodyDiv w:val="1"/>
      <w:marLeft w:val="0"/>
      <w:marRight w:val="0"/>
      <w:marTop w:val="0"/>
      <w:marBottom w:val="0"/>
      <w:divBdr>
        <w:top w:val="none" w:sz="0" w:space="0" w:color="auto"/>
        <w:left w:val="none" w:sz="0" w:space="0" w:color="auto"/>
        <w:bottom w:val="none" w:sz="0" w:space="0" w:color="auto"/>
        <w:right w:val="none" w:sz="0" w:space="0" w:color="auto"/>
      </w:divBdr>
      <w:divsChild>
        <w:div w:id="220335329">
          <w:marLeft w:val="850"/>
          <w:marRight w:val="0"/>
          <w:marTop w:val="150"/>
          <w:marBottom w:val="0"/>
          <w:divBdr>
            <w:top w:val="none" w:sz="0" w:space="0" w:color="auto"/>
            <w:left w:val="none" w:sz="0" w:space="0" w:color="auto"/>
            <w:bottom w:val="none" w:sz="0" w:space="0" w:color="auto"/>
            <w:right w:val="none" w:sz="0" w:space="0" w:color="auto"/>
          </w:divBdr>
        </w:div>
        <w:div w:id="538668636">
          <w:marLeft w:val="850"/>
          <w:marRight w:val="0"/>
          <w:marTop w:val="150"/>
          <w:marBottom w:val="0"/>
          <w:divBdr>
            <w:top w:val="none" w:sz="0" w:space="0" w:color="auto"/>
            <w:left w:val="none" w:sz="0" w:space="0" w:color="auto"/>
            <w:bottom w:val="none" w:sz="0" w:space="0" w:color="auto"/>
            <w:right w:val="none" w:sz="0" w:space="0" w:color="auto"/>
          </w:divBdr>
        </w:div>
        <w:div w:id="2035378612">
          <w:marLeft w:val="850"/>
          <w:marRight w:val="0"/>
          <w:marTop w:val="150"/>
          <w:marBottom w:val="0"/>
          <w:divBdr>
            <w:top w:val="none" w:sz="0" w:space="0" w:color="auto"/>
            <w:left w:val="none" w:sz="0" w:space="0" w:color="auto"/>
            <w:bottom w:val="none" w:sz="0" w:space="0" w:color="auto"/>
            <w:right w:val="none" w:sz="0" w:space="0" w:color="auto"/>
          </w:divBdr>
        </w:div>
      </w:divsChild>
    </w:div>
    <w:div w:id="1221792635">
      <w:bodyDiv w:val="1"/>
      <w:marLeft w:val="0"/>
      <w:marRight w:val="0"/>
      <w:marTop w:val="0"/>
      <w:marBottom w:val="0"/>
      <w:divBdr>
        <w:top w:val="none" w:sz="0" w:space="0" w:color="auto"/>
        <w:left w:val="none" w:sz="0" w:space="0" w:color="auto"/>
        <w:bottom w:val="none" w:sz="0" w:space="0" w:color="auto"/>
        <w:right w:val="none" w:sz="0" w:space="0" w:color="auto"/>
      </w:divBdr>
      <w:divsChild>
        <w:div w:id="1731731310">
          <w:marLeft w:val="0"/>
          <w:marRight w:val="0"/>
          <w:marTop w:val="0"/>
          <w:marBottom w:val="0"/>
          <w:divBdr>
            <w:top w:val="none" w:sz="0" w:space="0" w:color="auto"/>
            <w:left w:val="none" w:sz="0" w:space="0" w:color="auto"/>
            <w:bottom w:val="none" w:sz="0" w:space="0" w:color="auto"/>
            <w:right w:val="none" w:sz="0" w:space="0" w:color="auto"/>
          </w:divBdr>
        </w:div>
      </w:divsChild>
    </w:div>
    <w:div w:id="1232077414">
      <w:bodyDiv w:val="1"/>
      <w:marLeft w:val="0"/>
      <w:marRight w:val="0"/>
      <w:marTop w:val="0"/>
      <w:marBottom w:val="0"/>
      <w:divBdr>
        <w:top w:val="none" w:sz="0" w:space="0" w:color="auto"/>
        <w:left w:val="none" w:sz="0" w:space="0" w:color="auto"/>
        <w:bottom w:val="none" w:sz="0" w:space="0" w:color="auto"/>
        <w:right w:val="none" w:sz="0" w:space="0" w:color="auto"/>
      </w:divBdr>
      <w:divsChild>
        <w:div w:id="938834334">
          <w:marLeft w:val="547"/>
          <w:marRight w:val="0"/>
          <w:marTop w:val="150"/>
          <w:marBottom w:val="0"/>
          <w:divBdr>
            <w:top w:val="none" w:sz="0" w:space="0" w:color="auto"/>
            <w:left w:val="none" w:sz="0" w:space="0" w:color="auto"/>
            <w:bottom w:val="none" w:sz="0" w:space="0" w:color="auto"/>
            <w:right w:val="none" w:sz="0" w:space="0" w:color="auto"/>
          </w:divBdr>
        </w:div>
        <w:div w:id="1848717099">
          <w:marLeft w:val="547"/>
          <w:marRight w:val="0"/>
          <w:marTop w:val="150"/>
          <w:marBottom w:val="0"/>
          <w:divBdr>
            <w:top w:val="none" w:sz="0" w:space="0" w:color="auto"/>
            <w:left w:val="none" w:sz="0" w:space="0" w:color="auto"/>
            <w:bottom w:val="none" w:sz="0" w:space="0" w:color="auto"/>
            <w:right w:val="none" w:sz="0" w:space="0" w:color="auto"/>
          </w:divBdr>
        </w:div>
        <w:div w:id="1931497545">
          <w:marLeft w:val="547"/>
          <w:marRight w:val="0"/>
          <w:marTop w:val="150"/>
          <w:marBottom w:val="0"/>
          <w:divBdr>
            <w:top w:val="none" w:sz="0" w:space="0" w:color="auto"/>
            <w:left w:val="none" w:sz="0" w:space="0" w:color="auto"/>
            <w:bottom w:val="none" w:sz="0" w:space="0" w:color="auto"/>
            <w:right w:val="none" w:sz="0" w:space="0" w:color="auto"/>
          </w:divBdr>
        </w:div>
      </w:divsChild>
    </w:div>
    <w:div w:id="1235163402">
      <w:bodyDiv w:val="1"/>
      <w:marLeft w:val="0"/>
      <w:marRight w:val="0"/>
      <w:marTop w:val="0"/>
      <w:marBottom w:val="0"/>
      <w:divBdr>
        <w:top w:val="none" w:sz="0" w:space="0" w:color="auto"/>
        <w:left w:val="none" w:sz="0" w:space="0" w:color="auto"/>
        <w:bottom w:val="none" w:sz="0" w:space="0" w:color="auto"/>
        <w:right w:val="none" w:sz="0" w:space="0" w:color="auto"/>
      </w:divBdr>
    </w:div>
    <w:div w:id="1329558448">
      <w:bodyDiv w:val="1"/>
      <w:marLeft w:val="0"/>
      <w:marRight w:val="0"/>
      <w:marTop w:val="0"/>
      <w:marBottom w:val="0"/>
      <w:divBdr>
        <w:top w:val="none" w:sz="0" w:space="0" w:color="auto"/>
        <w:left w:val="none" w:sz="0" w:space="0" w:color="auto"/>
        <w:bottom w:val="none" w:sz="0" w:space="0" w:color="auto"/>
        <w:right w:val="none" w:sz="0" w:space="0" w:color="auto"/>
      </w:divBdr>
      <w:divsChild>
        <w:div w:id="1972205325">
          <w:marLeft w:val="0"/>
          <w:marRight w:val="0"/>
          <w:marTop w:val="0"/>
          <w:marBottom w:val="0"/>
          <w:divBdr>
            <w:top w:val="none" w:sz="0" w:space="0" w:color="auto"/>
            <w:left w:val="none" w:sz="0" w:space="0" w:color="auto"/>
            <w:bottom w:val="none" w:sz="0" w:space="0" w:color="auto"/>
            <w:right w:val="none" w:sz="0" w:space="0" w:color="auto"/>
          </w:divBdr>
        </w:div>
      </w:divsChild>
    </w:div>
    <w:div w:id="1335378554">
      <w:bodyDiv w:val="1"/>
      <w:marLeft w:val="0"/>
      <w:marRight w:val="0"/>
      <w:marTop w:val="0"/>
      <w:marBottom w:val="0"/>
      <w:divBdr>
        <w:top w:val="none" w:sz="0" w:space="0" w:color="auto"/>
        <w:left w:val="none" w:sz="0" w:space="0" w:color="auto"/>
        <w:bottom w:val="none" w:sz="0" w:space="0" w:color="auto"/>
        <w:right w:val="none" w:sz="0" w:space="0" w:color="auto"/>
      </w:divBdr>
    </w:div>
    <w:div w:id="1343622958">
      <w:bodyDiv w:val="1"/>
      <w:marLeft w:val="0"/>
      <w:marRight w:val="0"/>
      <w:marTop w:val="0"/>
      <w:marBottom w:val="0"/>
      <w:divBdr>
        <w:top w:val="none" w:sz="0" w:space="0" w:color="auto"/>
        <w:left w:val="none" w:sz="0" w:space="0" w:color="auto"/>
        <w:bottom w:val="none" w:sz="0" w:space="0" w:color="auto"/>
        <w:right w:val="none" w:sz="0" w:space="0" w:color="auto"/>
      </w:divBdr>
    </w:div>
    <w:div w:id="1356150154">
      <w:bodyDiv w:val="1"/>
      <w:marLeft w:val="0"/>
      <w:marRight w:val="0"/>
      <w:marTop w:val="0"/>
      <w:marBottom w:val="0"/>
      <w:divBdr>
        <w:top w:val="none" w:sz="0" w:space="0" w:color="auto"/>
        <w:left w:val="none" w:sz="0" w:space="0" w:color="auto"/>
        <w:bottom w:val="none" w:sz="0" w:space="0" w:color="auto"/>
        <w:right w:val="none" w:sz="0" w:space="0" w:color="auto"/>
      </w:divBdr>
      <w:divsChild>
        <w:div w:id="502352663">
          <w:marLeft w:val="0"/>
          <w:marRight w:val="0"/>
          <w:marTop w:val="0"/>
          <w:marBottom w:val="0"/>
          <w:divBdr>
            <w:top w:val="none" w:sz="0" w:space="0" w:color="auto"/>
            <w:left w:val="none" w:sz="0" w:space="0" w:color="auto"/>
            <w:bottom w:val="none" w:sz="0" w:space="0" w:color="auto"/>
            <w:right w:val="none" w:sz="0" w:space="0" w:color="auto"/>
          </w:divBdr>
        </w:div>
      </w:divsChild>
    </w:div>
    <w:div w:id="1359505712">
      <w:bodyDiv w:val="1"/>
      <w:marLeft w:val="0"/>
      <w:marRight w:val="0"/>
      <w:marTop w:val="0"/>
      <w:marBottom w:val="0"/>
      <w:divBdr>
        <w:top w:val="none" w:sz="0" w:space="0" w:color="auto"/>
        <w:left w:val="none" w:sz="0" w:space="0" w:color="auto"/>
        <w:bottom w:val="none" w:sz="0" w:space="0" w:color="auto"/>
        <w:right w:val="none" w:sz="0" w:space="0" w:color="auto"/>
      </w:divBdr>
      <w:divsChild>
        <w:div w:id="1385786865">
          <w:marLeft w:val="0"/>
          <w:marRight w:val="0"/>
          <w:marTop w:val="0"/>
          <w:marBottom w:val="0"/>
          <w:divBdr>
            <w:top w:val="none" w:sz="0" w:space="0" w:color="auto"/>
            <w:left w:val="none" w:sz="0" w:space="0" w:color="auto"/>
            <w:bottom w:val="none" w:sz="0" w:space="0" w:color="auto"/>
            <w:right w:val="none" w:sz="0" w:space="0" w:color="auto"/>
          </w:divBdr>
        </w:div>
      </w:divsChild>
    </w:div>
    <w:div w:id="1387948833">
      <w:bodyDiv w:val="1"/>
      <w:marLeft w:val="0"/>
      <w:marRight w:val="0"/>
      <w:marTop w:val="0"/>
      <w:marBottom w:val="0"/>
      <w:divBdr>
        <w:top w:val="none" w:sz="0" w:space="0" w:color="auto"/>
        <w:left w:val="none" w:sz="0" w:space="0" w:color="auto"/>
        <w:bottom w:val="none" w:sz="0" w:space="0" w:color="auto"/>
        <w:right w:val="none" w:sz="0" w:space="0" w:color="auto"/>
      </w:divBdr>
    </w:div>
    <w:div w:id="1405906523">
      <w:bodyDiv w:val="1"/>
      <w:marLeft w:val="0"/>
      <w:marRight w:val="0"/>
      <w:marTop w:val="0"/>
      <w:marBottom w:val="0"/>
      <w:divBdr>
        <w:top w:val="none" w:sz="0" w:space="0" w:color="auto"/>
        <w:left w:val="none" w:sz="0" w:space="0" w:color="auto"/>
        <w:bottom w:val="none" w:sz="0" w:space="0" w:color="auto"/>
        <w:right w:val="none" w:sz="0" w:space="0" w:color="auto"/>
      </w:divBdr>
      <w:divsChild>
        <w:div w:id="100686102">
          <w:marLeft w:val="0"/>
          <w:marRight w:val="0"/>
          <w:marTop w:val="0"/>
          <w:marBottom w:val="0"/>
          <w:divBdr>
            <w:top w:val="none" w:sz="0" w:space="0" w:color="auto"/>
            <w:left w:val="none" w:sz="0" w:space="0" w:color="auto"/>
            <w:bottom w:val="none" w:sz="0" w:space="0" w:color="auto"/>
            <w:right w:val="none" w:sz="0" w:space="0" w:color="auto"/>
          </w:divBdr>
        </w:div>
        <w:div w:id="193622496">
          <w:marLeft w:val="0"/>
          <w:marRight w:val="0"/>
          <w:marTop w:val="0"/>
          <w:marBottom w:val="0"/>
          <w:divBdr>
            <w:top w:val="none" w:sz="0" w:space="0" w:color="auto"/>
            <w:left w:val="none" w:sz="0" w:space="0" w:color="auto"/>
            <w:bottom w:val="none" w:sz="0" w:space="0" w:color="auto"/>
            <w:right w:val="none" w:sz="0" w:space="0" w:color="auto"/>
          </w:divBdr>
        </w:div>
        <w:div w:id="240413461">
          <w:marLeft w:val="0"/>
          <w:marRight w:val="0"/>
          <w:marTop w:val="0"/>
          <w:marBottom w:val="0"/>
          <w:divBdr>
            <w:top w:val="none" w:sz="0" w:space="0" w:color="auto"/>
            <w:left w:val="none" w:sz="0" w:space="0" w:color="auto"/>
            <w:bottom w:val="none" w:sz="0" w:space="0" w:color="auto"/>
            <w:right w:val="none" w:sz="0" w:space="0" w:color="auto"/>
          </w:divBdr>
        </w:div>
        <w:div w:id="374812851">
          <w:marLeft w:val="0"/>
          <w:marRight w:val="0"/>
          <w:marTop w:val="0"/>
          <w:marBottom w:val="0"/>
          <w:divBdr>
            <w:top w:val="none" w:sz="0" w:space="0" w:color="auto"/>
            <w:left w:val="none" w:sz="0" w:space="0" w:color="auto"/>
            <w:bottom w:val="none" w:sz="0" w:space="0" w:color="auto"/>
            <w:right w:val="none" w:sz="0" w:space="0" w:color="auto"/>
          </w:divBdr>
        </w:div>
        <w:div w:id="413622573">
          <w:marLeft w:val="0"/>
          <w:marRight w:val="0"/>
          <w:marTop w:val="0"/>
          <w:marBottom w:val="0"/>
          <w:divBdr>
            <w:top w:val="none" w:sz="0" w:space="0" w:color="auto"/>
            <w:left w:val="none" w:sz="0" w:space="0" w:color="auto"/>
            <w:bottom w:val="none" w:sz="0" w:space="0" w:color="auto"/>
            <w:right w:val="none" w:sz="0" w:space="0" w:color="auto"/>
          </w:divBdr>
        </w:div>
        <w:div w:id="480850533">
          <w:marLeft w:val="0"/>
          <w:marRight w:val="0"/>
          <w:marTop w:val="0"/>
          <w:marBottom w:val="0"/>
          <w:divBdr>
            <w:top w:val="none" w:sz="0" w:space="0" w:color="auto"/>
            <w:left w:val="none" w:sz="0" w:space="0" w:color="auto"/>
            <w:bottom w:val="none" w:sz="0" w:space="0" w:color="auto"/>
            <w:right w:val="none" w:sz="0" w:space="0" w:color="auto"/>
          </w:divBdr>
        </w:div>
        <w:div w:id="640116792">
          <w:marLeft w:val="0"/>
          <w:marRight w:val="0"/>
          <w:marTop w:val="0"/>
          <w:marBottom w:val="0"/>
          <w:divBdr>
            <w:top w:val="none" w:sz="0" w:space="0" w:color="auto"/>
            <w:left w:val="none" w:sz="0" w:space="0" w:color="auto"/>
            <w:bottom w:val="none" w:sz="0" w:space="0" w:color="auto"/>
            <w:right w:val="none" w:sz="0" w:space="0" w:color="auto"/>
          </w:divBdr>
        </w:div>
        <w:div w:id="867908796">
          <w:marLeft w:val="0"/>
          <w:marRight w:val="0"/>
          <w:marTop w:val="0"/>
          <w:marBottom w:val="0"/>
          <w:divBdr>
            <w:top w:val="none" w:sz="0" w:space="0" w:color="auto"/>
            <w:left w:val="none" w:sz="0" w:space="0" w:color="auto"/>
            <w:bottom w:val="none" w:sz="0" w:space="0" w:color="auto"/>
            <w:right w:val="none" w:sz="0" w:space="0" w:color="auto"/>
          </w:divBdr>
        </w:div>
        <w:div w:id="989089632">
          <w:marLeft w:val="0"/>
          <w:marRight w:val="0"/>
          <w:marTop w:val="0"/>
          <w:marBottom w:val="0"/>
          <w:divBdr>
            <w:top w:val="none" w:sz="0" w:space="0" w:color="auto"/>
            <w:left w:val="none" w:sz="0" w:space="0" w:color="auto"/>
            <w:bottom w:val="none" w:sz="0" w:space="0" w:color="auto"/>
            <w:right w:val="none" w:sz="0" w:space="0" w:color="auto"/>
          </w:divBdr>
        </w:div>
        <w:div w:id="1035469254">
          <w:marLeft w:val="0"/>
          <w:marRight w:val="0"/>
          <w:marTop w:val="0"/>
          <w:marBottom w:val="0"/>
          <w:divBdr>
            <w:top w:val="none" w:sz="0" w:space="0" w:color="auto"/>
            <w:left w:val="none" w:sz="0" w:space="0" w:color="auto"/>
            <w:bottom w:val="none" w:sz="0" w:space="0" w:color="auto"/>
            <w:right w:val="none" w:sz="0" w:space="0" w:color="auto"/>
          </w:divBdr>
        </w:div>
        <w:div w:id="1068574068">
          <w:marLeft w:val="0"/>
          <w:marRight w:val="0"/>
          <w:marTop w:val="0"/>
          <w:marBottom w:val="0"/>
          <w:divBdr>
            <w:top w:val="none" w:sz="0" w:space="0" w:color="auto"/>
            <w:left w:val="none" w:sz="0" w:space="0" w:color="auto"/>
            <w:bottom w:val="none" w:sz="0" w:space="0" w:color="auto"/>
            <w:right w:val="none" w:sz="0" w:space="0" w:color="auto"/>
          </w:divBdr>
        </w:div>
        <w:div w:id="1354069136">
          <w:marLeft w:val="0"/>
          <w:marRight w:val="0"/>
          <w:marTop w:val="0"/>
          <w:marBottom w:val="0"/>
          <w:divBdr>
            <w:top w:val="none" w:sz="0" w:space="0" w:color="auto"/>
            <w:left w:val="none" w:sz="0" w:space="0" w:color="auto"/>
            <w:bottom w:val="none" w:sz="0" w:space="0" w:color="auto"/>
            <w:right w:val="none" w:sz="0" w:space="0" w:color="auto"/>
          </w:divBdr>
        </w:div>
        <w:div w:id="1355158162">
          <w:marLeft w:val="0"/>
          <w:marRight w:val="0"/>
          <w:marTop w:val="0"/>
          <w:marBottom w:val="0"/>
          <w:divBdr>
            <w:top w:val="none" w:sz="0" w:space="0" w:color="auto"/>
            <w:left w:val="none" w:sz="0" w:space="0" w:color="auto"/>
            <w:bottom w:val="none" w:sz="0" w:space="0" w:color="auto"/>
            <w:right w:val="none" w:sz="0" w:space="0" w:color="auto"/>
          </w:divBdr>
        </w:div>
        <w:div w:id="1376852309">
          <w:marLeft w:val="0"/>
          <w:marRight w:val="0"/>
          <w:marTop w:val="0"/>
          <w:marBottom w:val="0"/>
          <w:divBdr>
            <w:top w:val="none" w:sz="0" w:space="0" w:color="auto"/>
            <w:left w:val="none" w:sz="0" w:space="0" w:color="auto"/>
            <w:bottom w:val="none" w:sz="0" w:space="0" w:color="auto"/>
            <w:right w:val="none" w:sz="0" w:space="0" w:color="auto"/>
          </w:divBdr>
        </w:div>
        <w:div w:id="1497113391">
          <w:marLeft w:val="0"/>
          <w:marRight w:val="0"/>
          <w:marTop w:val="0"/>
          <w:marBottom w:val="0"/>
          <w:divBdr>
            <w:top w:val="none" w:sz="0" w:space="0" w:color="auto"/>
            <w:left w:val="none" w:sz="0" w:space="0" w:color="auto"/>
            <w:bottom w:val="none" w:sz="0" w:space="0" w:color="auto"/>
            <w:right w:val="none" w:sz="0" w:space="0" w:color="auto"/>
          </w:divBdr>
        </w:div>
        <w:div w:id="1504663851">
          <w:marLeft w:val="0"/>
          <w:marRight w:val="0"/>
          <w:marTop w:val="0"/>
          <w:marBottom w:val="0"/>
          <w:divBdr>
            <w:top w:val="none" w:sz="0" w:space="0" w:color="auto"/>
            <w:left w:val="none" w:sz="0" w:space="0" w:color="auto"/>
            <w:bottom w:val="none" w:sz="0" w:space="0" w:color="auto"/>
            <w:right w:val="none" w:sz="0" w:space="0" w:color="auto"/>
          </w:divBdr>
        </w:div>
        <w:div w:id="1624775218">
          <w:marLeft w:val="0"/>
          <w:marRight w:val="0"/>
          <w:marTop w:val="0"/>
          <w:marBottom w:val="0"/>
          <w:divBdr>
            <w:top w:val="none" w:sz="0" w:space="0" w:color="auto"/>
            <w:left w:val="none" w:sz="0" w:space="0" w:color="auto"/>
            <w:bottom w:val="none" w:sz="0" w:space="0" w:color="auto"/>
            <w:right w:val="none" w:sz="0" w:space="0" w:color="auto"/>
          </w:divBdr>
        </w:div>
        <w:div w:id="1716079071">
          <w:marLeft w:val="0"/>
          <w:marRight w:val="0"/>
          <w:marTop w:val="0"/>
          <w:marBottom w:val="0"/>
          <w:divBdr>
            <w:top w:val="none" w:sz="0" w:space="0" w:color="auto"/>
            <w:left w:val="none" w:sz="0" w:space="0" w:color="auto"/>
            <w:bottom w:val="none" w:sz="0" w:space="0" w:color="auto"/>
            <w:right w:val="none" w:sz="0" w:space="0" w:color="auto"/>
          </w:divBdr>
        </w:div>
        <w:div w:id="1815560471">
          <w:marLeft w:val="0"/>
          <w:marRight w:val="0"/>
          <w:marTop w:val="0"/>
          <w:marBottom w:val="0"/>
          <w:divBdr>
            <w:top w:val="none" w:sz="0" w:space="0" w:color="auto"/>
            <w:left w:val="none" w:sz="0" w:space="0" w:color="auto"/>
            <w:bottom w:val="none" w:sz="0" w:space="0" w:color="auto"/>
            <w:right w:val="none" w:sz="0" w:space="0" w:color="auto"/>
          </w:divBdr>
        </w:div>
        <w:div w:id="1833136269">
          <w:marLeft w:val="0"/>
          <w:marRight w:val="0"/>
          <w:marTop w:val="0"/>
          <w:marBottom w:val="0"/>
          <w:divBdr>
            <w:top w:val="none" w:sz="0" w:space="0" w:color="auto"/>
            <w:left w:val="none" w:sz="0" w:space="0" w:color="auto"/>
            <w:bottom w:val="none" w:sz="0" w:space="0" w:color="auto"/>
            <w:right w:val="none" w:sz="0" w:space="0" w:color="auto"/>
          </w:divBdr>
        </w:div>
        <w:div w:id="1991518980">
          <w:marLeft w:val="0"/>
          <w:marRight w:val="0"/>
          <w:marTop w:val="0"/>
          <w:marBottom w:val="0"/>
          <w:divBdr>
            <w:top w:val="none" w:sz="0" w:space="0" w:color="auto"/>
            <w:left w:val="none" w:sz="0" w:space="0" w:color="auto"/>
            <w:bottom w:val="none" w:sz="0" w:space="0" w:color="auto"/>
            <w:right w:val="none" w:sz="0" w:space="0" w:color="auto"/>
          </w:divBdr>
        </w:div>
        <w:div w:id="2062367711">
          <w:marLeft w:val="0"/>
          <w:marRight w:val="0"/>
          <w:marTop w:val="0"/>
          <w:marBottom w:val="0"/>
          <w:divBdr>
            <w:top w:val="none" w:sz="0" w:space="0" w:color="auto"/>
            <w:left w:val="none" w:sz="0" w:space="0" w:color="auto"/>
            <w:bottom w:val="none" w:sz="0" w:space="0" w:color="auto"/>
            <w:right w:val="none" w:sz="0" w:space="0" w:color="auto"/>
          </w:divBdr>
        </w:div>
        <w:div w:id="2107386415">
          <w:marLeft w:val="0"/>
          <w:marRight w:val="0"/>
          <w:marTop w:val="0"/>
          <w:marBottom w:val="0"/>
          <w:divBdr>
            <w:top w:val="none" w:sz="0" w:space="0" w:color="auto"/>
            <w:left w:val="none" w:sz="0" w:space="0" w:color="auto"/>
            <w:bottom w:val="none" w:sz="0" w:space="0" w:color="auto"/>
            <w:right w:val="none" w:sz="0" w:space="0" w:color="auto"/>
          </w:divBdr>
        </w:div>
      </w:divsChild>
    </w:div>
    <w:div w:id="1412655508">
      <w:bodyDiv w:val="1"/>
      <w:marLeft w:val="0"/>
      <w:marRight w:val="0"/>
      <w:marTop w:val="0"/>
      <w:marBottom w:val="0"/>
      <w:divBdr>
        <w:top w:val="none" w:sz="0" w:space="0" w:color="auto"/>
        <w:left w:val="none" w:sz="0" w:space="0" w:color="auto"/>
        <w:bottom w:val="none" w:sz="0" w:space="0" w:color="auto"/>
        <w:right w:val="none" w:sz="0" w:space="0" w:color="auto"/>
      </w:divBdr>
      <w:divsChild>
        <w:div w:id="89283549">
          <w:marLeft w:val="274"/>
          <w:marRight w:val="0"/>
          <w:marTop w:val="150"/>
          <w:marBottom w:val="0"/>
          <w:divBdr>
            <w:top w:val="none" w:sz="0" w:space="0" w:color="auto"/>
            <w:left w:val="none" w:sz="0" w:space="0" w:color="auto"/>
            <w:bottom w:val="none" w:sz="0" w:space="0" w:color="auto"/>
            <w:right w:val="none" w:sz="0" w:space="0" w:color="auto"/>
          </w:divBdr>
        </w:div>
        <w:div w:id="179591203">
          <w:marLeft w:val="274"/>
          <w:marRight w:val="0"/>
          <w:marTop w:val="150"/>
          <w:marBottom w:val="0"/>
          <w:divBdr>
            <w:top w:val="none" w:sz="0" w:space="0" w:color="auto"/>
            <w:left w:val="none" w:sz="0" w:space="0" w:color="auto"/>
            <w:bottom w:val="none" w:sz="0" w:space="0" w:color="auto"/>
            <w:right w:val="none" w:sz="0" w:space="0" w:color="auto"/>
          </w:divBdr>
        </w:div>
        <w:div w:id="1078361576">
          <w:marLeft w:val="274"/>
          <w:marRight w:val="0"/>
          <w:marTop w:val="150"/>
          <w:marBottom w:val="0"/>
          <w:divBdr>
            <w:top w:val="none" w:sz="0" w:space="0" w:color="auto"/>
            <w:left w:val="none" w:sz="0" w:space="0" w:color="auto"/>
            <w:bottom w:val="none" w:sz="0" w:space="0" w:color="auto"/>
            <w:right w:val="none" w:sz="0" w:space="0" w:color="auto"/>
          </w:divBdr>
        </w:div>
        <w:div w:id="1914273327">
          <w:marLeft w:val="274"/>
          <w:marRight w:val="0"/>
          <w:marTop w:val="150"/>
          <w:marBottom w:val="0"/>
          <w:divBdr>
            <w:top w:val="none" w:sz="0" w:space="0" w:color="auto"/>
            <w:left w:val="none" w:sz="0" w:space="0" w:color="auto"/>
            <w:bottom w:val="none" w:sz="0" w:space="0" w:color="auto"/>
            <w:right w:val="none" w:sz="0" w:space="0" w:color="auto"/>
          </w:divBdr>
        </w:div>
      </w:divsChild>
    </w:div>
    <w:div w:id="1434403846">
      <w:bodyDiv w:val="1"/>
      <w:marLeft w:val="0"/>
      <w:marRight w:val="0"/>
      <w:marTop w:val="0"/>
      <w:marBottom w:val="0"/>
      <w:divBdr>
        <w:top w:val="none" w:sz="0" w:space="0" w:color="auto"/>
        <w:left w:val="none" w:sz="0" w:space="0" w:color="auto"/>
        <w:bottom w:val="none" w:sz="0" w:space="0" w:color="auto"/>
        <w:right w:val="none" w:sz="0" w:space="0" w:color="auto"/>
      </w:divBdr>
    </w:div>
    <w:div w:id="1527447596">
      <w:bodyDiv w:val="1"/>
      <w:marLeft w:val="0"/>
      <w:marRight w:val="0"/>
      <w:marTop w:val="0"/>
      <w:marBottom w:val="0"/>
      <w:divBdr>
        <w:top w:val="none" w:sz="0" w:space="0" w:color="auto"/>
        <w:left w:val="none" w:sz="0" w:space="0" w:color="auto"/>
        <w:bottom w:val="none" w:sz="0" w:space="0" w:color="auto"/>
        <w:right w:val="none" w:sz="0" w:space="0" w:color="auto"/>
      </w:divBdr>
      <w:divsChild>
        <w:div w:id="848640126">
          <w:marLeft w:val="547"/>
          <w:marRight w:val="0"/>
          <w:marTop w:val="150"/>
          <w:marBottom w:val="0"/>
          <w:divBdr>
            <w:top w:val="none" w:sz="0" w:space="0" w:color="auto"/>
            <w:left w:val="none" w:sz="0" w:space="0" w:color="auto"/>
            <w:bottom w:val="none" w:sz="0" w:space="0" w:color="auto"/>
            <w:right w:val="none" w:sz="0" w:space="0" w:color="auto"/>
          </w:divBdr>
        </w:div>
        <w:div w:id="1889801376">
          <w:marLeft w:val="547"/>
          <w:marRight w:val="0"/>
          <w:marTop w:val="150"/>
          <w:marBottom w:val="0"/>
          <w:divBdr>
            <w:top w:val="none" w:sz="0" w:space="0" w:color="auto"/>
            <w:left w:val="none" w:sz="0" w:space="0" w:color="auto"/>
            <w:bottom w:val="none" w:sz="0" w:space="0" w:color="auto"/>
            <w:right w:val="none" w:sz="0" w:space="0" w:color="auto"/>
          </w:divBdr>
        </w:div>
      </w:divsChild>
    </w:div>
    <w:div w:id="1538349415">
      <w:bodyDiv w:val="1"/>
      <w:marLeft w:val="0"/>
      <w:marRight w:val="0"/>
      <w:marTop w:val="0"/>
      <w:marBottom w:val="0"/>
      <w:divBdr>
        <w:top w:val="none" w:sz="0" w:space="0" w:color="auto"/>
        <w:left w:val="none" w:sz="0" w:space="0" w:color="auto"/>
        <w:bottom w:val="none" w:sz="0" w:space="0" w:color="auto"/>
        <w:right w:val="none" w:sz="0" w:space="0" w:color="auto"/>
      </w:divBdr>
      <w:divsChild>
        <w:div w:id="223374364">
          <w:marLeft w:val="720"/>
          <w:marRight w:val="0"/>
          <w:marTop w:val="150"/>
          <w:marBottom w:val="0"/>
          <w:divBdr>
            <w:top w:val="none" w:sz="0" w:space="0" w:color="auto"/>
            <w:left w:val="none" w:sz="0" w:space="0" w:color="auto"/>
            <w:bottom w:val="none" w:sz="0" w:space="0" w:color="auto"/>
            <w:right w:val="none" w:sz="0" w:space="0" w:color="auto"/>
          </w:divBdr>
        </w:div>
        <w:div w:id="790125246">
          <w:marLeft w:val="720"/>
          <w:marRight w:val="0"/>
          <w:marTop w:val="150"/>
          <w:marBottom w:val="0"/>
          <w:divBdr>
            <w:top w:val="none" w:sz="0" w:space="0" w:color="auto"/>
            <w:left w:val="none" w:sz="0" w:space="0" w:color="auto"/>
            <w:bottom w:val="none" w:sz="0" w:space="0" w:color="auto"/>
            <w:right w:val="none" w:sz="0" w:space="0" w:color="auto"/>
          </w:divBdr>
        </w:div>
        <w:div w:id="864170065">
          <w:marLeft w:val="720"/>
          <w:marRight w:val="0"/>
          <w:marTop w:val="150"/>
          <w:marBottom w:val="0"/>
          <w:divBdr>
            <w:top w:val="none" w:sz="0" w:space="0" w:color="auto"/>
            <w:left w:val="none" w:sz="0" w:space="0" w:color="auto"/>
            <w:bottom w:val="none" w:sz="0" w:space="0" w:color="auto"/>
            <w:right w:val="none" w:sz="0" w:space="0" w:color="auto"/>
          </w:divBdr>
        </w:div>
        <w:div w:id="2099981904">
          <w:marLeft w:val="720"/>
          <w:marRight w:val="0"/>
          <w:marTop w:val="150"/>
          <w:marBottom w:val="0"/>
          <w:divBdr>
            <w:top w:val="none" w:sz="0" w:space="0" w:color="auto"/>
            <w:left w:val="none" w:sz="0" w:space="0" w:color="auto"/>
            <w:bottom w:val="none" w:sz="0" w:space="0" w:color="auto"/>
            <w:right w:val="none" w:sz="0" w:space="0" w:color="auto"/>
          </w:divBdr>
        </w:div>
      </w:divsChild>
    </w:div>
    <w:div w:id="1550067886">
      <w:bodyDiv w:val="1"/>
      <w:marLeft w:val="0"/>
      <w:marRight w:val="0"/>
      <w:marTop w:val="0"/>
      <w:marBottom w:val="0"/>
      <w:divBdr>
        <w:top w:val="none" w:sz="0" w:space="0" w:color="auto"/>
        <w:left w:val="none" w:sz="0" w:space="0" w:color="auto"/>
        <w:bottom w:val="none" w:sz="0" w:space="0" w:color="auto"/>
        <w:right w:val="none" w:sz="0" w:space="0" w:color="auto"/>
      </w:divBdr>
    </w:div>
    <w:div w:id="1552351274">
      <w:bodyDiv w:val="1"/>
      <w:marLeft w:val="0"/>
      <w:marRight w:val="0"/>
      <w:marTop w:val="0"/>
      <w:marBottom w:val="0"/>
      <w:divBdr>
        <w:top w:val="none" w:sz="0" w:space="0" w:color="auto"/>
        <w:left w:val="none" w:sz="0" w:space="0" w:color="auto"/>
        <w:bottom w:val="none" w:sz="0" w:space="0" w:color="auto"/>
        <w:right w:val="none" w:sz="0" w:space="0" w:color="auto"/>
      </w:divBdr>
    </w:div>
    <w:div w:id="1622105955">
      <w:bodyDiv w:val="1"/>
      <w:marLeft w:val="0"/>
      <w:marRight w:val="0"/>
      <w:marTop w:val="0"/>
      <w:marBottom w:val="0"/>
      <w:divBdr>
        <w:top w:val="none" w:sz="0" w:space="0" w:color="auto"/>
        <w:left w:val="none" w:sz="0" w:space="0" w:color="auto"/>
        <w:bottom w:val="none" w:sz="0" w:space="0" w:color="auto"/>
        <w:right w:val="none" w:sz="0" w:space="0" w:color="auto"/>
      </w:divBdr>
      <w:divsChild>
        <w:div w:id="553721">
          <w:marLeft w:val="0"/>
          <w:marRight w:val="0"/>
          <w:marTop w:val="0"/>
          <w:marBottom w:val="0"/>
          <w:divBdr>
            <w:top w:val="none" w:sz="0" w:space="0" w:color="auto"/>
            <w:left w:val="none" w:sz="0" w:space="0" w:color="auto"/>
            <w:bottom w:val="none" w:sz="0" w:space="0" w:color="auto"/>
            <w:right w:val="none" w:sz="0" w:space="0" w:color="auto"/>
          </w:divBdr>
        </w:div>
        <w:div w:id="36055631">
          <w:marLeft w:val="0"/>
          <w:marRight w:val="0"/>
          <w:marTop w:val="0"/>
          <w:marBottom w:val="0"/>
          <w:divBdr>
            <w:top w:val="none" w:sz="0" w:space="0" w:color="auto"/>
            <w:left w:val="none" w:sz="0" w:space="0" w:color="auto"/>
            <w:bottom w:val="none" w:sz="0" w:space="0" w:color="auto"/>
            <w:right w:val="none" w:sz="0" w:space="0" w:color="auto"/>
          </w:divBdr>
        </w:div>
        <w:div w:id="266696923">
          <w:marLeft w:val="0"/>
          <w:marRight w:val="0"/>
          <w:marTop w:val="0"/>
          <w:marBottom w:val="0"/>
          <w:divBdr>
            <w:top w:val="none" w:sz="0" w:space="0" w:color="auto"/>
            <w:left w:val="none" w:sz="0" w:space="0" w:color="auto"/>
            <w:bottom w:val="none" w:sz="0" w:space="0" w:color="auto"/>
            <w:right w:val="none" w:sz="0" w:space="0" w:color="auto"/>
          </w:divBdr>
        </w:div>
        <w:div w:id="283460673">
          <w:marLeft w:val="0"/>
          <w:marRight w:val="0"/>
          <w:marTop w:val="0"/>
          <w:marBottom w:val="0"/>
          <w:divBdr>
            <w:top w:val="none" w:sz="0" w:space="0" w:color="auto"/>
            <w:left w:val="none" w:sz="0" w:space="0" w:color="auto"/>
            <w:bottom w:val="none" w:sz="0" w:space="0" w:color="auto"/>
            <w:right w:val="none" w:sz="0" w:space="0" w:color="auto"/>
          </w:divBdr>
        </w:div>
        <w:div w:id="291443538">
          <w:marLeft w:val="0"/>
          <w:marRight w:val="0"/>
          <w:marTop w:val="0"/>
          <w:marBottom w:val="0"/>
          <w:divBdr>
            <w:top w:val="none" w:sz="0" w:space="0" w:color="auto"/>
            <w:left w:val="none" w:sz="0" w:space="0" w:color="auto"/>
            <w:bottom w:val="none" w:sz="0" w:space="0" w:color="auto"/>
            <w:right w:val="none" w:sz="0" w:space="0" w:color="auto"/>
          </w:divBdr>
        </w:div>
        <w:div w:id="484053591">
          <w:marLeft w:val="0"/>
          <w:marRight w:val="0"/>
          <w:marTop w:val="0"/>
          <w:marBottom w:val="0"/>
          <w:divBdr>
            <w:top w:val="none" w:sz="0" w:space="0" w:color="auto"/>
            <w:left w:val="none" w:sz="0" w:space="0" w:color="auto"/>
            <w:bottom w:val="none" w:sz="0" w:space="0" w:color="auto"/>
            <w:right w:val="none" w:sz="0" w:space="0" w:color="auto"/>
          </w:divBdr>
        </w:div>
        <w:div w:id="803084862">
          <w:marLeft w:val="0"/>
          <w:marRight w:val="0"/>
          <w:marTop w:val="0"/>
          <w:marBottom w:val="0"/>
          <w:divBdr>
            <w:top w:val="none" w:sz="0" w:space="0" w:color="auto"/>
            <w:left w:val="none" w:sz="0" w:space="0" w:color="auto"/>
            <w:bottom w:val="none" w:sz="0" w:space="0" w:color="auto"/>
            <w:right w:val="none" w:sz="0" w:space="0" w:color="auto"/>
          </w:divBdr>
        </w:div>
        <w:div w:id="828449172">
          <w:marLeft w:val="0"/>
          <w:marRight w:val="0"/>
          <w:marTop w:val="0"/>
          <w:marBottom w:val="0"/>
          <w:divBdr>
            <w:top w:val="none" w:sz="0" w:space="0" w:color="auto"/>
            <w:left w:val="none" w:sz="0" w:space="0" w:color="auto"/>
            <w:bottom w:val="none" w:sz="0" w:space="0" w:color="auto"/>
            <w:right w:val="none" w:sz="0" w:space="0" w:color="auto"/>
          </w:divBdr>
        </w:div>
        <w:div w:id="909072156">
          <w:marLeft w:val="0"/>
          <w:marRight w:val="0"/>
          <w:marTop w:val="0"/>
          <w:marBottom w:val="0"/>
          <w:divBdr>
            <w:top w:val="none" w:sz="0" w:space="0" w:color="auto"/>
            <w:left w:val="none" w:sz="0" w:space="0" w:color="auto"/>
            <w:bottom w:val="none" w:sz="0" w:space="0" w:color="auto"/>
            <w:right w:val="none" w:sz="0" w:space="0" w:color="auto"/>
          </w:divBdr>
        </w:div>
        <w:div w:id="923496202">
          <w:marLeft w:val="0"/>
          <w:marRight w:val="0"/>
          <w:marTop w:val="0"/>
          <w:marBottom w:val="0"/>
          <w:divBdr>
            <w:top w:val="none" w:sz="0" w:space="0" w:color="auto"/>
            <w:left w:val="none" w:sz="0" w:space="0" w:color="auto"/>
            <w:bottom w:val="none" w:sz="0" w:space="0" w:color="auto"/>
            <w:right w:val="none" w:sz="0" w:space="0" w:color="auto"/>
          </w:divBdr>
        </w:div>
        <w:div w:id="931621441">
          <w:marLeft w:val="0"/>
          <w:marRight w:val="0"/>
          <w:marTop w:val="0"/>
          <w:marBottom w:val="0"/>
          <w:divBdr>
            <w:top w:val="none" w:sz="0" w:space="0" w:color="auto"/>
            <w:left w:val="none" w:sz="0" w:space="0" w:color="auto"/>
            <w:bottom w:val="none" w:sz="0" w:space="0" w:color="auto"/>
            <w:right w:val="none" w:sz="0" w:space="0" w:color="auto"/>
          </w:divBdr>
        </w:div>
        <w:div w:id="947389902">
          <w:marLeft w:val="0"/>
          <w:marRight w:val="0"/>
          <w:marTop w:val="0"/>
          <w:marBottom w:val="0"/>
          <w:divBdr>
            <w:top w:val="none" w:sz="0" w:space="0" w:color="auto"/>
            <w:left w:val="none" w:sz="0" w:space="0" w:color="auto"/>
            <w:bottom w:val="none" w:sz="0" w:space="0" w:color="auto"/>
            <w:right w:val="none" w:sz="0" w:space="0" w:color="auto"/>
          </w:divBdr>
        </w:div>
        <w:div w:id="961107347">
          <w:marLeft w:val="0"/>
          <w:marRight w:val="0"/>
          <w:marTop w:val="0"/>
          <w:marBottom w:val="0"/>
          <w:divBdr>
            <w:top w:val="none" w:sz="0" w:space="0" w:color="auto"/>
            <w:left w:val="none" w:sz="0" w:space="0" w:color="auto"/>
            <w:bottom w:val="none" w:sz="0" w:space="0" w:color="auto"/>
            <w:right w:val="none" w:sz="0" w:space="0" w:color="auto"/>
          </w:divBdr>
        </w:div>
        <w:div w:id="1111167556">
          <w:marLeft w:val="0"/>
          <w:marRight w:val="0"/>
          <w:marTop w:val="0"/>
          <w:marBottom w:val="0"/>
          <w:divBdr>
            <w:top w:val="none" w:sz="0" w:space="0" w:color="auto"/>
            <w:left w:val="none" w:sz="0" w:space="0" w:color="auto"/>
            <w:bottom w:val="none" w:sz="0" w:space="0" w:color="auto"/>
            <w:right w:val="none" w:sz="0" w:space="0" w:color="auto"/>
          </w:divBdr>
        </w:div>
        <w:div w:id="1244143779">
          <w:marLeft w:val="0"/>
          <w:marRight w:val="0"/>
          <w:marTop w:val="0"/>
          <w:marBottom w:val="0"/>
          <w:divBdr>
            <w:top w:val="none" w:sz="0" w:space="0" w:color="auto"/>
            <w:left w:val="none" w:sz="0" w:space="0" w:color="auto"/>
            <w:bottom w:val="none" w:sz="0" w:space="0" w:color="auto"/>
            <w:right w:val="none" w:sz="0" w:space="0" w:color="auto"/>
          </w:divBdr>
        </w:div>
        <w:div w:id="1382705149">
          <w:marLeft w:val="0"/>
          <w:marRight w:val="0"/>
          <w:marTop w:val="0"/>
          <w:marBottom w:val="0"/>
          <w:divBdr>
            <w:top w:val="none" w:sz="0" w:space="0" w:color="auto"/>
            <w:left w:val="none" w:sz="0" w:space="0" w:color="auto"/>
            <w:bottom w:val="none" w:sz="0" w:space="0" w:color="auto"/>
            <w:right w:val="none" w:sz="0" w:space="0" w:color="auto"/>
          </w:divBdr>
        </w:div>
        <w:div w:id="1490638967">
          <w:marLeft w:val="0"/>
          <w:marRight w:val="0"/>
          <w:marTop w:val="0"/>
          <w:marBottom w:val="0"/>
          <w:divBdr>
            <w:top w:val="none" w:sz="0" w:space="0" w:color="auto"/>
            <w:left w:val="none" w:sz="0" w:space="0" w:color="auto"/>
            <w:bottom w:val="none" w:sz="0" w:space="0" w:color="auto"/>
            <w:right w:val="none" w:sz="0" w:space="0" w:color="auto"/>
          </w:divBdr>
        </w:div>
        <w:div w:id="1831678194">
          <w:marLeft w:val="0"/>
          <w:marRight w:val="0"/>
          <w:marTop w:val="0"/>
          <w:marBottom w:val="0"/>
          <w:divBdr>
            <w:top w:val="none" w:sz="0" w:space="0" w:color="auto"/>
            <w:left w:val="none" w:sz="0" w:space="0" w:color="auto"/>
            <w:bottom w:val="none" w:sz="0" w:space="0" w:color="auto"/>
            <w:right w:val="none" w:sz="0" w:space="0" w:color="auto"/>
          </w:divBdr>
        </w:div>
        <w:div w:id="1843424137">
          <w:marLeft w:val="0"/>
          <w:marRight w:val="0"/>
          <w:marTop w:val="0"/>
          <w:marBottom w:val="0"/>
          <w:divBdr>
            <w:top w:val="none" w:sz="0" w:space="0" w:color="auto"/>
            <w:left w:val="none" w:sz="0" w:space="0" w:color="auto"/>
            <w:bottom w:val="none" w:sz="0" w:space="0" w:color="auto"/>
            <w:right w:val="none" w:sz="0" w:space="0" w:color="auto"/>
          </w:divBdr>
        </w:div>
        <w:div w:id="1995256732">
          <w:marLeft w:val="0"/>
          <w:marRight w:val="0"/>
          <w:marTop w:val="0"/>
          <w:marBottom w:val="0"/>
          <w:divBdr>
            <w:top w:val="none" w:sz="0" w:space="0" w:color="auto"/>
            <w:left w:val="none" w:sz="0" w:space="0" w:color="auto"/>
            <w:bottom w:val="none" w:sz="0" w:space="0" w:color="auto"/>
            <w:right w:val="none" w:sz="0" w:space="0" w:color="auto"/>
          </w:divBdr>
        </w:div>
        <w:div w:id="2000957083">
          <w:marLeft w:val="0"/>
          <w:marRight w:val="0"/>
          <w:marTop w:val="0"/>
          <w:marBottom w:val="0"/>
          <w:divBdr>
            <w:top w:val="none" w:sz="0" w:space="0" w:color="auto"/>
            <w:left w:val="none" w:sz="0" w:space="0" w:color="auto"/>
            <w:bottom w:val="none" w:sz="0" w:space="0" w:color="auto"/>
            <w:right w:val="none" w:sz="0" w:space="0" w:color="auto"/>
          </w:divBdr>
        </w:div>
        <w:div w:id="2067098291">
          <w:marLeft w:val="0"/>
          <w:marRight w:val="0"/>
          <w:marTop w:val="0"/>
          <w:marBottom w:val="0"/>
          <w:divBdr>
            <w:top w:val="none" w:sz="0" w:space="0" w:color="auto"/>
            <w:left w:val="none" w:sz="0" w:space="0" w:color="auto"/>
            <w:bottom w:val="none" w:sz="0" w:space="0" w:color="auto"/>
            <w:right w:val="none" w:sz="0" w:space="0" w:color="auto"/>
          </w:divBdr>
        </w:div>
        <w:div w:id="2100252432">
          <w:marLeft w:val="0"/>
          <w:marRight w:val="0"/>
          <w:marTop w:val="0"/>
          <w:marBottom w:val="0"/>
          <w:divBdr>
            <w:top w:val="none" w:sz="0" w:space="0" w:color="auto"/>
            <w:left w:val="none" w:sz="0" w:space="0" w:color="auto"/>
            <w:bottom w:val="none" w:sz="0" w:space="0" w:color="auto"/>
            <w:right w:val="none" w:sz="0" w:space="0" w:color="auto"/>
          </w:divBdr>
        </w:div>
      </w:divsChild>
    </w:div>
    <w:div w:id="1636060289">
      <w:bodyDiv w:val="1"/>
      <w:marLeft w:val="0"/>
      <w:marRight w:val="0"/>
      <w:marTop w:val="0"/>
      <w:marBottom w:val="0"/>
      <w:divBdr>
        <w:top w:val="none" w:sz="0" w:space="0" w:color="auto"/>
        <w:left w:val="none" w:sz="0" w:space="0" w:color="auto"/>
        <w:bottom w:val="none" w:sz="0" w:space="0" w:color="auto"/>
        <w:right w:val="none" w:sz="0" w:space="0" w:color="auto"/>
      </w:divBdr>
      <w:divsChild>
        <w:div w:id="265429405">
          <w:marLeft w:val="274"/>
          <w:marRight w:val="0"/>
          <w:marTop w:val="150"/>
          <w:marBottom w:val="0"/>
          <w:divBdr>
            <w:top w:val="none" w:sz="0" w:space="0" w:color="auto"/>
            <w:left w:val="none" w:sz="0" w:space="0" w:color="auto"/>
            <w:bottom w:val="none" w:sz="0" w:space="0" w:color="auto"/>
            <w:right w:val="none" w:sz="0" w:space="0" w:color="auto"/>
          </w:divBdr>
        </w:div>
        <w:div w:id="304354825">
          <w:marLeft w:val="274"/>
          <w:marRight w:val="0"/>
          <w:marTop w:val="150"/>
          <w:marBottom w:val="0"/>
          <w:divBdr>
            <w:top w:val="none" w:sz="0" w:space="0" w:color="auto"/>
            <w:left w:val="none" w:sz="0" w:space="0" w:color="auto"/>
            <w:bottom w:val="none" w:sz="0" w:space="0" w:color="auto"/>
            <w:right w:val="none" w:sz="0" w:space="0" w:color="auto"/>
          </w:divBdr>
        </w:div>
        <w:div w:id="986083407">
          <w:marLeft w:val="274"/>
          <w:marRight w:val="0"/>
          <w:marTop w:val="150"/>
          <w:marBottom w:val="0"/>
          <w:divBdr>
            <w:top w:val="none" w:sz="0" w:space="0" w:color="auto"/>
            <w:left w:val="none" w:sz="0" w:space="0" w:color="auto"/>
            <w:bottom w:val="none" w:sz="0" w:space="0" w:color="auto"/>
            <w:right w:val="none" w:sz="0" w:space="0" w:color="auto"/>
          </w:divBdr>
        </w:div>
        <w:div w:id="1759712253">
          <w:marLeft w:val="274"/>
          <w:marRight w:val="0"/>
          <w:marTop w:val="150"/>
          <w:marBottom w:val="0"/>
          <w:divBdr>
            <w:top w:val="none" w:sz="0" w:space="0" w:color="auto"/>
            <w:left w:val="none" w:sz="0" w:space="0" w:color="auto"/>
            <w:bottom w:val="none" w:sz="0" w:space="0" w:color="auto"/>
            <w:right w:val="none" w:sz="0" w:space="0" w:color="auto"/>
          </w:divBdr>
        </w:div>
      </w:divsChild>
    </w:div>
    <w:div w:id="1650549010">
      <w:bodyDiv w:val="1"/>
      <w:marLeft w:val="0"/>
      <w:marRight w:val="0"/>
      <w:marTop w:val="0"/>
      <w:marBottom w:val="0"/>
      <w:divBdr>
        <w:top w:val="none" w:sz="0" w:space="0" w:color="auto"/>
        <w:left w:val="none" w:sz="0" w:space="0" w:color="auto"/>
        <w:bottom w:val="none" w:sz="0" w:space="0" w:color="auto"/>
        <w:right w:val="none" w:sz="0" w:space="0" w:color="auto"/>
      </w:divBdr>
      <w:divsChild>
        <w:div w:id="342712531">
          <w:marLeft w:val="0"/>
          <w:marRight w:val="0"/>
          <w:marTop w:val="83"/>
          <w:marBottom w:val="0"/>
          <w:divBdr>
            <w:top w:val="none" w:sz="0" w:space="0" w:color="auto"/>
            <w:left w:val="none" w:sz="0" w:space="0" w:color="auto"/>
            <w:bottom w:val="none" w:sz="0" w:space="0" w:color="auto"/>
            <w:right w:val="none" w:sz="0" w:space="0" w:color="auto"/>
          </w:divBdr>
        </w:div>
        <w:div w:id="1965845641">
          <w:marLeft w:val="0"/>
          <w:marRight w:val="0"/>
          <w:marTop w:val="83"/>
          <w:marBottom w:val="0"/>
          <w:divBdr>
            <w:top w:val="none" w:sz="0" w:space="0" w:color="auto"/>
            <w:left w:val="none" w:sz="0" w:space="0" w:color="auto"/>
            <w:bottom w:val="none" w:sz="0" w:space="0" w:color="auto"/>
            <w:right w:val="none" w:sz="0" w:space="0" w:color="auto"/>
          </w:divBdr>
          <w:divsChild>
            <w:div w:id="463501101">
              <w:marLeft w:val="0"/>
              <w:marRight w:val="0"/>
              <w:marTop w:val="83"/>
              <w:marBottom w:val="0"/>
              <w:divBdr>
                <w:top w:val="none" w:sz="0" w:space="0" w:color="auto"/>
                <w:left w:val="none" w:sz="0" w:space="0" w:color="auto"/>
                <w:bottom w:val="none" w:sz="0" w:space="0" w:color="auto"/>
                <w:right w:val="none" w:sz="0" w:space="0" w:color="auto"/>
              </w:divBdr>
            </w:div>
            <w:div w:id="62751199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732458974">
      <w:bodyDiv w:val="1"/>
      <w:marLeft w:val="0"/>
      <w:marRight w:val="0"/>
      <w:marTop w:val="0"/>
      <w:marBottom w:val="0"/>
      <w:divBdr>
        <w:top w:val="none" w:sz="0" w:space="0" w:color="auto"/>
        <w:left w:val="none" w:sz="0" w:space="0" w:color="auto"/>
        <w:bottom w:val="none" w:sz="0" w:space="0" w:color="auto"/>
        <w:right w:val="none" w:sz="0" w:space="0" w:color="auto"/>
      </w:divBdr>
      <w:divsChild>
        <w:div w:id="1876192793">
          <w:marLeft w:val="0"/>
          <w:marRight w:val="0"/>
          <w:marTop w:val="0"/>
          <w:marBottom w:val="0"/>
          <w:divBdr>
            <w:top w:val="none" w:sz="0" w:space="0" w:color="auto"/>
            <w:left w:val="none" w:sz="0" w:space="0" w:color="auto"/>
            <w:bottom w:val="none" w:sz="0" w:space="0" w:color="auto"/>
            <w:right w:val="none" w:sz="0" w:space="0" w:color="auto"/>
          </w:divBdr>
        </w:div>
      </w:divsChild>
    </w:div>
    <w:div w:id="1735852299">
      <w:bodyDiv w:val="1"/>
      <w:marLeft w:val="0"/>
      <w:marRight w:val="0"/>
      <w:marTop w:val="0"/>
      <w:marBottom w:val="0"/>
      <w:divBdr>
        <w:top w:val="none" w:sz="0" w:space="0" w:color="auto"/>
        <w:left w:val="none" w:sz="0" w:space="0" w:color="auto"/>
        <w:bottom w:val="none" w:sz="0" w:space="0" w:color="auto"/>
        <w:right w:val="none" w:sz="0" w:space="0" w:color="auto"/>
      </w:divBdr>
      <w:divsChild>
        <w:div w:id="913248466">
          <w:marLeft w:val="0"/>
          <w:marRight w:val="0"/>
          <w:marTop w:val="0"/>
          <w:marBottom w:val="0"/>
          <w:divBdr>
            <w:top w:val="none" w:sz="0" w:space="0" w:color="auto"/>
            <w:left w:val="none" w:sz="0" w:space="0" w:color="auto"/>
            <w:bottom w:val="none" w:sz="0" w:space="0" w:color="auto"/>
            <w:right w:val="none" w:sz="0" w:space="0" w:color="auto"/>
          </w:divBdr>
        </w:div>
        <w:div w:id="2056343862">
          <w:marLeft w:val="0"/>
          <w:marRight w:val="0"/>
          <w:marTop w:val="0"/>
          <w:marBottom w:val="0"/>
          <w:divBdr>
            <w:top w:val="none" w:sz="0" w:space="0" w:color="auto"/>
            <w:left w:val="none" w:sz="0" w:space="0" w:color="auto"/>
            <w:bottom w:val="none" w:sz="0" w:space="0" w:color="auto"/>
            <w:right w:val="none" w:sz="0" w:space="0" w:color="auto"/>
          </w:divBdr>
        </w:div>
      </w:divsChild>
    </w:div>
    <w:div w:id="1738478351">
      <w:bodyDiv w:val="1"/>
      <w:marLeft w:val="0"/>
      <w:marRight w:val="0"/>
      <w:marTop w:val="0"/>
      <w:marBottom w:val="0"/>
      <w:divBdr>
        <w:top w:val="none" w:sz="0" w:space="0" w:color="auto"/>
        <w:left w:val="none" w:sz="0" w:space="0" w:color="auto"/>
        <w:bottom w:val="none" w:sz="0" w:space="0" w:color="auto"/>
        <w:right w:val="none" w:sz="0" w:space="0" w:color="auto"/>
      </w:divBdr>
    </w:div>
    <w:div w:id="1769888973">
      <w:bodyDiv w:val="1"/>
      <w:marLeft w:val="0"/>
      <w:marRight w:val="0"/>
      <w:marTop w:val="0"/>
      <w:marBottom w:val="0"/>
      <w:divBdr>
        <w:top w:val="none" w:sz="0" w:space="0" w:color="auto"/>
        <w:left w:val="none" w:sz="0" w:space="0" w:color="auto"/>
        <w:bottom w:val="none" w:sz="0" w:space="0" w:color="auto"/>
        <w:right w:val="none" w:sz="0" w:space="0" w:color="auto"/>
      </w:divBdr>
    </w:div>
    <w:div w:id="1802384044">
      <w:bodyDiv w:val="1"/>
      <w:marLeft w:val="0"/>
      <w:marRight w:val="0"/>
      <w:marTop w:val="0"/>
      <w:marBottom w:val="0"/>
      <w:divBdr>
        <w:top w:val="none" w:sz="0" w:space="0" w:color="auto"/>
        <w:left w:val="none" w:sz="0" w:space="0" w:color="auto"/>
        <w:bottom w:val="none" w:sz="0" w:space="0" w:color="auto"/>
        <w:right w:val="none" w:sz="0" w:space="0" w:color="auto"/>
      </w:divBdr>
      <w:divsChild>
        <w:div w:id="2519013">
          <w:marLeft w:val="0"/>
          <w:marRight w:val="0"/>
          <w:marTop w:val="0"/>
          <w:marBottom w:val="0"/>
          <w:divBdr>
            <w:top w:val="none" w:sz="0" w:space="0" w:color="auto"/>
            <w:left w:val="none" w:sz="0" w:space="0" w:color="auto"/>
            <w:bottom w:val="none" w:sz="0" w:space="0" w:color="auto"/>
            <w:right w:val="none" w:sz="0" w:space="0" w:color="auto"/>
          </w:divBdr>
        </w:div>
        <w:div w:id="293366238">
          <w:marLeft w:val="0"/>
          <w:marRight w:val="0"/>
          <w:marTop w:val="0"/>
          <w:marBottom w:val="0"/>
          <w:divBdr>
            <w:top w:val="none" w:sz="0" w:space="0" w:color="auto"/>
            <w:left w:val="none" w:sz="0" w:space="0" w:color="auto"/>
            <w:bottom w:val="none" w:sz="0" w:space="0" w:color="auto"/>
            <w:right w:val="none" w:sz="0" w:space="0" w:color="auto"/>
          </w:divBdr>
          <w:divsChild>
            <w:div w:id="1828590046">
              <w:marLeft w:val="-75"/>
              <w:marRight w:val="0"/>
              <w:marTop w:val="30"/>
              <w:marBottom w:val="30"/>
              <w:divBdr>
                <w:top w:val="none" w:sz="0" w:space="0" w:color="auto"/>
                <w:left w:val="none" w:sz="0" w:space="0" w:color="auto"/>
                <w:bottom w:val="none" w:sz="0" w:space="0" w:color="auto"/>
                <w:right w:val="none" w:sz="0" w:space="0" w:color="auto"/>
              </w:divBdr>
              <w:divsChild>
                <w:div w:id="1773815617">
                  <w:marLeft w:val="0"/>
                  <w:marRight w:val="0"/>
                  <w:marTop w:val="0"/>
                  <w:marBottom w:val="0"/>
                  <w:divBdr>
                    <w:top w:val="none" w:sz="0" w:space="0" w:color="auto"/>
                    <w:left w:val="none" w:sz="0" w:space="0" w:color="auto"/>
                    <w:bottom w:val="none" w:sz="0" w:space="0" w:color="auto"/>
                    <w:right w:val="none" w:sz="0" w:space="0" w:color="auto"/>
                  </w:divBdr>
                  <w:divsChild>
                    <w:div w:id="26610638">
                      <w:marLeft w:val="0"/>
                      <w:marRight w:val="0"/>
                      <w:marTop w:val="0"/>
                      <w:marBottom w:val="0"/>
                      <w:divBdr>
                        <w:top w:val="none" w:sz="0" w:space="0" w:color="auto"/>
                        <w:left w:val="none" w:sz="0" w:space="0" w:color="auto"/>
                        <w:bottom w:val="none" w:sz="0" w:space="0" w:color="auto"/>
                        <w:right w:val="none" w:sz="0" w:space="0" w:color="auto"/>
                      </w:divBdr>
                    </w:div>
                  </w:divsChild>
                </w:div>
                <w:div w:id="226458337">
                  <w:marLeft w:val="0"/>
                  <w:marRight w:val="0"/>
                  <w:marTop w:val="0"/>
                  <w:marBottom w:val="0"/>
                  <w:divBdr>
                    <w:top w:val="none" w:sz="0" w:space="0" w:color="auto"/>
                    <w:left w:val="none" w:sz="0" w:space="0" w:color="auto"/>
                    <w:bottom w:val="none" w:sz="0" w:space="0" w:color="auto"/>
                    <w:right w:val="none" w:sz="0" w:space="0" w:color="auto"/>
                  </w:divBdr>
                  <w:divsChild>
                    <w:div w:id="67651859">
                      <w:marLeft w:val="0"/>
                      <w:marRight w:val="0"/>
                      <w:marTop w:val="0"/>
                      <w:marBottom w:val="0"/>
                      <w:divBdr>
                        <w:top w:val="none" w:sz="0" w:space="0" w:color="auto"/>
                        <w:left w:val="none" w:sz="0" w:space="0" w:color="auto"/>
                        <w:bottom w:val="none" w:sz="0" w:space="0" w:color="auto"/>
                        <w:right w:val="none" w:sz="0" w:space="0" w:color="auto"/>
                      </w:divBdr>
                    </w:div>
                  </w:divsChild>
                </w:div>
                <w:div w:id="185412782">
                  <w:marLeft w:val="0"/>
                  <w:marRight w:val="0"/>
                  <w:marTop w:val="0"/>
                  <w:marBottom w:val="0"/>
                  <w:divBdr>
                    <w:top w:val="none" w:sz="0" w:space="0" w:color="auto"/>
                    <w:left w:val="none" w:sz="0" w:space="0" w:color="auto"/>
                    <w:bottom w:val="none" w:sz="0" w:space="0" w:color="auto"/>
                    <w:right w:val="none" w:sz="0" w:space="0" w:color="auto"/>
                  </w:divBdr>
                  <w:divsChild>
                    <w:div w:id="71702220">
                      <w:marLeft w:val="0"/>
                      <w:marRight w:val="0"/>
                      <w:marTop w:val="0"/>
                      <w:marBottom w:val="0"/>
                      <w:divBdr>
                        <w:top w:val="none" w:sz="0" w:space="0" w:color="auto"/>
                        <w:left w:val="none" w:sz="0" w:space="0" w:color="auto"/>
                        <w:bottom w:val="none" w:sz="0" w:space="0" w:color="auto"/>
                        <w:right w:val="none" w:sz="0" w:space="0" w:color="auto"/>
                      </w:divBdr>
                    </w:div>
                    <w:div w:id="440223022">
                      <w:marLeft w:val="0"/>
                      <w:marRight w:val="0"/>
                      <w:marTop w:val="0"/>
                      <w:marBottom w:val="0"/>
                      <w:divBdr>
                        <w:top w:val="none" w:sz="0" w:space="0" w:color="auto"/>
                        <w:left w:val="none" w:sz="0" w:space="0" w:color="auto"/>
                        <w:bottom w:val="none" w:sz="0" w:space="0" w:color="auto"/>
                        <w:right w:val="none" w:sz="0" w:space="0" w:color="auto"/>
                      </w:divBdr>
                    </w:div>
                  </w:divsChild>
                </w:div>
                <w:div w:id="75514766">
                  <w:marLeft w:val="0"/>
                  <w:marRight w:val="0"/>
                  <w:marTop w:val="0"/>
                  <w:marBottom w:val="0"/>
                  <w:divBdr>
                    <w:top w:val="none" w:sz="0" w:space="0" w:color="auto"/>
                    <w:left w:val="none" w:sz="0" w:space="0" w:color="auto"/>
                    <w:bottom w:val="none" w:sz="0" w:space="0" w:color="auto"/>
                    <w:right w:val="none" w:sz="0" w:space="0" w:color="auto"/>
                  </w:divBdr>
                  <w:divsChild>
                    <w:div w:id="1611088003">
                      <w:marLeft w:val="0"/>
                      <w:marRight w:val="0"/>
                      <w:marTop w:val="0"/>
                      <w:marBottom w:val="0"/>
                      <w:divBdr>
                        <w:top w:val="none" w:sz="0" w:space="0" w:color="auto"/>
                        <w:left w:val="none" w:sz="0" w:space="0" w:color="auto"/>
                        <w:bottom w:val="none" w:sz="0" w:space="0" w:color="auto"/>
                        <w:right w:val="none" w:sz="0" w:space="0" w:color="auto"/>
                      </w:divBdr>
                    </w:div>
                  </w:divsChild>
                </w:div>
                <w:div w:id="158934305">
                  <w:marLeft w:val="0"/>
                  <w:marRight w:val="0"/>
                  <w:marTop w:val="0"/>
                  <w:marBottom w:val="0"/>
                  <w:divBdr>
                    <w:top w:val="none" w:sz="0" w:space="0" w:color="auto"/>
                    <w:left w:val="none" w:sz="0" w:space="0" w:color="auto"/>
                    <w:bottom w:val="none" w:sz="0" w:space="0" w:color="auto"/>
                    <w:right w:val="none" w:sz="0" w:space="0" w:color="auto"/>
                  </w:divBdr>
                  <w:divsChild>
                    <w:div w:id="760489406">
                      <w:marLeft w:val="0"/>
                      <w:marRight w:val="0"/>
                      <w:marTop w:val="0"/>
                      <w:marBottom w:val="0"/>
                      <w:divBdr>
                        <w:top w:val="none" w:sz="0" w:space="0" w:color="auto"/>
                        <w:left w:val="none" w:sz="0" w:space="0" w:color="auto"/>
                        <w:bottom w:val="none" w:sz="0" w:space="0" w:color="auto"/>
                        <w:right w:val="none" w:sz="0" w:space="0" w:color="auto"/>
                      </w:divBdr>
                    </w:div>
                  </w:divsChild>
                </w:div>
                <w:div w:id="887761080">
                  <w:marLeft w:val="0"/>
                  <w:marRight w:val="0"/>
                  <w:marTop w:val="0"/>
                  <w:marBottom w:val="0"/>
                  <w:divBdr>
                    <w:top w:val="none" w:sz="0" w:space="0" w:color="auto"/>
                    <w:left w:val="none" w:sz="0" w:space="0" w:color="auto"/>
                    <w:bottom w:val="none" w:sz="0" w:space="0" w:color="auto"/>
                    <w:right w:val="none" w:sz="0" w:space="0" w:color="auto"/>
                  </w:divBdr>
                  <w:divsChild>
                    <w:div w:id="359937523">
                      <w:marLeft w:val="0"/>
                      <w:marRight w:val="0"/>
                      <w:marTop w:val="0"/>
                      <w:marBottom w:val="0"/>
                      <w:divBdr>
                        <w:top w:val="none" w:sz="0" w:space="0" w:color="auto"/>
                        <w:left w:val="none" w:sz="0" w:space="0" w:color="auto"/>
                        <w:bottom w:val="none" w:sz="0" w:space="0" w:color="auto"/>
                        <w:right w:val="none" w:sz="0" w:space="0" w:color="auto"/>
                      </w:divBdr>
                    </w:div>
                  </w:divsChild>
                </w:div>
                <w:div w:id="470683224">
                  <w:marLeft w:val="0"/>
                  <w:marRight w:val="0"/>
                  <w:marTop w:val="0"/>
                  <w:marBottom w:val="0"/>
                  <w:divBdr>
                    <w:top w:val="none" w:sz="0" w:space="0" w:color="auto"/>
                    <w:left w:val="none" w:sz="0" w:space="0" w:color="auto"/>
                    <w:bottom w:val="none" w:sz="0" w:space="0" w:color="auto"/>
                    <w:right w:val="none" w:sz="0" w:space="0" w:color="auto"/>
                  </w:divBdr>
                  <w:divsChild>
                    <w:div w:id="383262980">
                      <w:marLeft w:val="0"/>
                      <w:marRight w:val="0"/>
                      <w:marTop w:val="0"/>
                      <w:marBottom w:val="0"/>
                      <w:divBdr>
                        <w:top w:val="none" w:sz="0" w:space="0" w:color="auto"/>
                        <w:left w:val="none" w:sz="0" w:space="0" w:color="auto"/>
                        <w:bottom w:val="none" w:sz="0" w:space="0" w:color="auto"/>
                        <w:right w:val="none" w:sz="0" w:space="0" w:color="auto"/>
                      </w:divBdr>
                    </w:div>
                  </w:divsChild>
                </w:div>
                <w:div w:id="488903484">
                  <w:marLeft w:val="0"/>
                  <w:marRight w:val="0"/>
                  <w:marTop w:val="0"/>
                  <w:marBottom w:val="0"/>
                  <w:divBdr>
                    <w:top w:val="none" w:sz="0" w:space="0" w:color="auto"/>
                    <w:left w:val="none" w:sz="0" w:space="0" w:color="auto"/>
                    <w:bottom w:val="none" w:sz="0" w:space="0" w:color="auto"/>
                    <w:right w:val="none" w:sz="0" w:space="0" w:color="auto"/>
                  </w:divBdr>
                  <w:divsChild>
                    <w:div w:id="1438135350">
                      <w:marLeft w:val="0"/>
                      <w:marRight w:val="0"/>
                      <w:marTop w:val="0"/>
                      <w:marBottom w:val="0"/>
                      <w:divBdr>
                        <w:top w:val="none" w:sz="0" w:space="0" w:color="auto"/>
                        <w:left w:val="none" w:sz="0" w:space="0" w:color="auto"/>
                        <w:bottom w:val="none" w:sz="0" w:space="0" w:color="auto"/>
                        <w:right w:val="none" w:sz="0" w:space="0" w:color="auto"/>
                      </w:divBdr>
                    </w:div>
                  </w:divsChild>
                </w:div>
                <w:div w:id="1744374262">
                  <w:marLeft w:val="0"/>
                  <w:marRight w:val="0"/>
                  <w:marTop w:val="0"/>
                  <w:marBottom w:val="0"/>
                  <w:divBdr>
                    <w:top w:val="none" w:sz="0" w:space="0" w:color="auto"/>
                    <w:left w:val="none" w:sz="0" w:space="0" w:color="auto"/>
                    <w:bottom w:val="none" w:sz="0" w:space="0" w:color="auto"/>
                    <w:right w:val="none" w:sz="0" w:space="0" w:color="auto"/>
                  </w:divBdr>
                  <w:divsChild>
                    <w:div w:id="493763858">
                      <w:marLeft w:val="0"/>
                      <w:marRight w:val="0"/>
                      <w:marTop w:val="0"/>
                      <w:marBottom w:val="0"/>
                      <w:divBdr>
                        <w:top w:val="none" w:sz="0" w:space="0" w:color="auto"/>
                        <w:left w:val="none" w:sz="0" w:space="0" w:color="auto"/>
                        <w:bottom w:val="none" w:sz="0" w:space="0" w:color="auto"/>
                        <w:right w:val="none" w:sz="0" w:space="0" w:color="auto"/>
                      </w:divBdr>
                    </w:div>
                  </w:divsChild>
                </w:div>
                <w:div w:id="855116821">
                  <w:marLeft w:val="0"/>
                  <w:marRight w:val="0"/>
                  <w:marTop w:val="0"/>
                  <w:marBottom w:val="0"/>
                  <w:divBdr>
                    <w:top w:val="none" w:sz="0" w:space="0" w:color="auto"/>
                    <w:left w:val="none" w:sz="0" w:space="0" w:color="auto"/>
                    <w:bottom w:val="none" w:sz="0" w:space="0" w:color="auto"/>
                    <w:right w:val="none" w:sz="0" w:space="0" w:color="auto"/>
                  </w:divBdr>
                  <w:divsChild>
                    <w:div w:id="495849978">
                      <w:marLeft w:val="0"/>
                      <w:marRight w:val="0"/>
                      <w:marTop w:val="0"/>
                      <w:marBottom w:val="0"/>
                      <w:divBdr>
                        <w:top w:val="none" w:sz="0" w:space="0" w:color="auto"/>
                        <w:left w:val="none" w:sz="0" w:space="0" w:color="auto"/>
                        <w:bottom w:val="none" w:sz="0" w:space="0" w:color="auto"/>
                        <w:right w:val="none" w:sz="0" w:space="0" w:color="auto"/>
                      </w:divBdr>
                    </w:div>
                  </w:divsChild>
                </w:div>
                <w:div w:id="1906986172">
                  <w:marLeft w:val="0"/>
                  <w:marRight w:val="0"/>
                  <w:marTop w:val="0"/>
                  <w:marBottom w:val="0"/>
                  <w:divBdr>
                    <w:top w:val="none" w:sz="0" w:space="0" w:color="auto"/>
                    <w:left w:val="none" w:sz="0" w:space="0" w:color="auto"/>
                    <w:bottom w:val="none" w:sz="0" w:space="0" w:color="auto"/>
                    <w:right w:val="none" w:sz="0" w:space="0" w:color="auto"/>
                  </w:divBdr>
                  <w:divsChild>
                    <w:div w:id="610473335">
                      <w:marLeft w:val="0"/>
                      <w:marRight w:val="0"/>
                      <w:marTop w:val="0"/>
                      <w:marBottom w:val="0"/>
                      <w:divBdr>
                        <w:top w:val="none" w:sz="0" w:space="0" w:color="auto"/>
                        <w:left w:val="none" w:sz="0" w:space="0" w:color="auto"/>
                        <w:bottom w:val="none" w:sz="0" w:space="0" w:color="auto"/>
                        <w:right w:val="none" w:sz="0" w:space="0" w:color="auto"/>
                      </w:divBdr>
                    </w:div>
                  </w:divsChild>
                </w:div>
                <w:div w:id="672027502">
                  <w:marLeft w:val="0"/>
                  <w:marRight w:val="0"/>
                  <w:marTop w:val="0"/>
                  <w:marBottom w:val="0"/>
                  <w:divBdr>
                    <w:top w:val="none" w:sz="0" w:space="0" w:color="auto"/>
                    <w:left w:val="none" w:sz="0" w:space="0" w:color="auto"/>
                    <w:bottom w:val="none" w:sz="0" w:space="0" w:color="auto"/>
                    <w:right w:val="none" w:sz="0" w:space="0" w:color="auto"/>
                  </w:divBdr>
                  <w:divsChild>
                    <w:div w:id="1148788078">
                      <w:marLeft w:val="0"/>
                      <w:marRight w:val="0"/>
                      <w:marTop w:val="0"/>
                      <w:marBottom w:val="0"/>
                      <w:divBdr>
                        <w:top w:val="none" w:sz="0" w:space="0" w:color="auto"/>
                        <w:left w:val="none" w:sz="0" w:space="0" w:color="auto"/>
                        <w:bottom w:val="none" w:sz="0" w:space="0" w:color="auto"/>
                        <w:right w:val="none" w:sz="0" w:space="0" w:color="auto"/>
                      </w:divBdr>
                    </w:div>
                  </w:divsChild>
                </w:div>
                <w:div w:id="713433652">
                  <w:marLeft w:val="0"/>
                  <w:marRight w:val="0"/>
                  <w:marTop w:val="0"/>
                  <w:marBottom w:val="0"/>
                  <w:divBdr>
                    <w:top w:val="none" w:sz="0" w:space="0" w:color="auto"/>
                    <w:left w:val="none" w:sz="0" w:space="0" w:color="auto"/>
                    <w:bottom w:val="none" w:sz="0" w:space="0" w:color="auto"/>
                    <w:right w:val="none" w:sz="0" w:space="0" w:color="auto"/>
                  </w:divBdr>
                  <w:divsChild>
                    <w:div w:id="1057163709">
                      <w:marLeft w:val="0"/>
                      <w:marRight w:val="0"/>
                      <w:marTop w:val="0"/>
                      <w:marBottom w:val="0"/>
                      <w:divBdr>
                        <w:top w:val="none" w:sz="0" w:space="0" w:color="auto"/>
                        <w:left w:val="none" w:sz="0" w:space="0" w:color="auto"/>
                        <w:bottom w:val="none" w:sz="0" w:space="0" w:color="auto"/>
                        <w:right w:val="none" w:sz="0" w:space="0" w:color="auto"/>
                      </w:divBdr>
                    </w:div>
                  </w:divsChild>
                </w:div>
                <w:div w:id="713964004">
                  <w:marLeft w:val="0"/>
                  <w:marRight w:val="0"/>
                  <w:marTop w:val="0"/>
                  <w:marBottom w:val="0"/>
                  <w:divBdr>
                    <w:top w:val="none" w:sz="0" w:space="0" w:color="auto"/>
                    <w:left w:val="none" w:sz="0" w:space="0" w:color="auto"/>
                    <w:bottom w:val="none" w:sz="0" w:space="0" w:color="auto"/>
                    <w:right w:val="none" w:sz="0" w:space="0" w:color="auto"/>
                  </w:divBdr>
                  <w:divsChild>
                    <w:div w:id="1127813906">
                      <w:marLeft w:val="0"/>
                      <w:marRight w:val="0"/>
                      <w:marTop w:val="0"/>
                      <w:marBottom w:val="0"/>
                      <w:divBdr>
                        <w:top w:val="none" w:sz="0" w:space="0" w:color="auto"/>
                        <w:left w:val="none" w:sz="0" w:space="0" w:color="auto"/>
                        <w:bottom w:val="none" w:sz="0" w:space="0" w:color="auto"/>
                        <w:right w:val="none" w:sz="0" w:space="0" w:color="auto"/>
                      </w:divBdr>
                    </w:div>
                  </w:divsChild>
                </w:div>
                <w:div w:id="1002440093">
                  <w:marLeft w:val="0"/>
                  <w:marRight w:val="0"/>
                  <w:marTop w:val="0"/>
                  <w:marBottom w:val="0"/>
                  <w:divBdr>
                    <w:top w:val="none" w:sz="0" w:space="0" w:color="auto"/>
                    <w:left w:val="none" w:sz="0" w:space="0" w:color="auto"/>
                    <w:bottom w:val="none" w:sz="0" w:space="0" w:color="auto"/>
                    <w:right w:val="none" w:sz="0" w:space="0" w:color="auto"/>
                  </w:divBdr>
                  <w:divsChild>
                    <w:div w:id="1514029119">
                      <w:marLeft w:val="0"/>
                      <w:marRight w:val="0"/>
                      <w:marTop w:val="0"/>
                      <w:marBottom w:val="0"/>
                      <w:divBdr>
                        <w:top w:val="none" w:sz="0" w:space="0" w:color="auto"/>
                        <w:left w:val="none" w:sz="0" w:space="0" w:color="auto"/>
                        <w:bottom w:val="none" w:sz="0" w:space="0" w:color="auto"/>
                        <w:right w:val="none" w:sz="0" w:space="0" w:color="auto"/>
                      </w:divBdr>
                    </w:div>
                  </w:divsChild>
                </w:div>
                <w:div w:id="1055274242">
                  <w:marLeft w:val="0"/>
                  <w:marRight w:val="0"/>
                  <w:marTop w:val="0"/>
                  <w:marBottom w:val="0"/>
                  <w:divBdr>
                    <w:top w:val="none" w:sz="0" w:space="0" w:color="auto"/>
                    <w:left w:val="none" w:sz="0" w:space="0" w:color="auto"/>
                    <w:bottom w:val="none" w:sz="0" w:space="0" w:color="auto"/>
                    <w:right w:val="none" w:sz="0" w:space="0" w:color="auto"/>
                  </w:divBdr>
                  <w:divsChild>
                    <w:div w:id="1752268447">
                      <w:marLeft w:val="0"/>
                      <w:marRight w:val="0"/>
                      <w:marTop w:val="0"/>
                      <w:marBottom w:val="0"/>
                      <w:divBdr>
                        <w:top w:val="none" w:sz="0" w:space="0" w:color="auto"/>
                        <w:left w:val="none" w:sz="0" w:space="0" w:color="auto"/>
                        <w:bottom w:val="none" w:sz="0" w:space="0" w:color="auto"/>
                        <w:right w:val="none" w:sz="0" w:space="0" w:color="auto"/>
                      </w:divBdr>
                    </w:div>
                  </w:divsChild>
                </w:div>
                <w:div w:id="1107894962">
                  <w:marLeft w:val="0"/>
                  <w:marRight w:val="0"/>
                  <w:marTop w:val="0"/>
                  <w:marBottom w:val="0"/>
                  <w:divBdr>
                    <w:top w:val="none" w:sz="0" w:space="0" w:color="auto"/>
                    <w:left w:val="none" w:sz="0" w:space="0" w:color="auto"/>
                    <w:bottom w:val="none" w:sz="0" w:space="0" w:color="auto"/>
                    <w:right w:val="none" w:sz="0" w:space="0" w:color="auto"/>
                  </w:divBdr>
                  <w:divsChild>
                    <w:div w:id="1909146407">
                      <w:marLeft w:val="0"/>
                      <w:marRight w:val="0"/>
                      <w:marTop w:val="0"/>
                      <w:marBottom w:val="0"/>
                      <w:divBdr>
                        <w:top w:val="none" w:sz="0" w:space="0" w:color="auto"/>
                        <w:left w:val="none" w:sz="0" w:space="0" w:color="auto"/>
                        <w:bottom w:val="none" w:sz="0" w:space="0" w:color="auto"/>
                        <w:right w:val="none" w:sz="0" w:space="0" w:color="auto"/>
                      </w:divBdr>
                    </w:div>
                  </w:divsChild>
                </w:div>
                <w:div w:id="1149983789">
                  <w:marLeft w:val="0"/>
                  <w:marRight w:val="0"/>
                  <w:marTop w:val="0"/>
                  <w:marBottom w:val="0"/>
                  <w:divBdr>
                    <w:top w:val="none" w:sz="0" w:space="0" w:color="auto"/>
                    <w:left w:val="none" w:sz="0" w:space="0" w:color="auto"/>
                    <w:bottom w:val="none" w:sz="0" w:space="0" w:color="auto"/>
                    <w:right w:val="none" w:sz="0" w:space="0" w:color="auto"/>
                  </w:divBdr>
                  <w:divsChild>
                    <w:div w:id="1941522108">
                      <w:marLeft w:val="0"/>
                      <w:marRight w:val="0"/>
                      <w:marTop w:val="0"/>
                      <w:marBottom w:val="0"/>
                      <w:divBdr>
                        <w:top w:val="none" w:sz="0" w:space="0" w:color="auto"/>
                        <w:left w:val="none" w:sz="0" w:space="0" w:color="auto"/>
                        <w:bottom w:val="none" w:sz="0" w:space="0" w:color="auto"/>
                        <w:right w:val="none" w:sz="0" w:space="0" w:color="auto"/>
                      </w:divBdr>
                    </w:div>
                  </w:divsChild>
                </w:div>
                <w:div w:id="1440374105">
                  <w:marLeft w:val="0"/>
                  <w:marRight w:val="0"/>
                  <w:marTop w:val="0"/>
                  <w:marBottom w:val="0"/>
                  <w:divBdr>
                    <w:top w:val="none" w:sz="0" w:space="0" w:color="auto"/>
                    <w:left w:val="none" w:sz="0" w:space="0" w:color="auto"/>
                    <w:bottom w:val="none" w:sz="0" w:space="0" w:color="auto"/>
                    <w:right w:val="none" w:sz="0" w:space="0" w:color="auto"/>
                  </w:divBdr>
                  <w:divsChild>
                    <w:div w:id="1195119199">
                      <w:marLeft w:val="0"/>
                      <w:marRight w:val="0"/>
                      <w:marTop w:val="0"/>
                      <w:marBottom w:val="0"/>
                      <w:divBdr>
                        <w:top w:val="none" w:sz="0" w:space="0" w:color="auto"/>
                        <w:left w:val="none" w:sz="0" w:space="0" w:color="auto"/>
                        <w:bottom w:val="none" w:sz="0" w:space="0" w:color="auto"/>
                        <w:right w:val="none" w:sz="0" w:space="0" w:color="auto"/>
                      </w:divBdr>
                    </w:div>
                  </w:divsChild>
                </w:div>
                <w:div w:id="1346664173">
                  <w:marLeft w:val="0"/>
                  <w:marRight w:val="0"/>
                  <w:marTop w:val="0"/>
                  <w:marBottom w:val="0"/>
                  <w:divBdr>
                    <w:top w:val="none" w:sz="0" w:space="0" w:color="auto"/>
                    <w:left w:val="none" w:sz="0" w:space="0" w:color="auto"/>
                    <w:bottom w:val="none" w:sz="0" w:space="0" w:color="auto"/>
                    <w:right w:val="none" w:sz="0" w:space="0" w:color="auto"/>
                  </w:divBdr>
                  <w:divsChild>
                    <w:div w:id="14470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361875">
          <w:marLeft w:val="0"/>
          <w:marRight w:val="0"/>
          <w:marTop w:val="0"/>
          <w:marBottom w:val="0"/>
          <w:divBdr>
            <w:top w:val="none" w:sz="0" w:space="0" w:color="auto"/>
            <w:left w:val="none" w:sz="0" w:space="0" w:color="auto"/>
            <w:bottom w:val="none" w:sz="0" w:space="0" w:color="auto"/>
            <w:right w:val="none" w:sz="0" w:space="0" w:color="auto"/>
          </w:divBdr>
          <w:divsChild>
            <w:div w:id="26879204">
              <w:marLeft w:val="0"/>
              <w:marRight w:val="0"/>
              <w:marTop w:val="0"/>
              <w:marBottom w:val="0"/>
              <w:divBdr>
                <w:top w:val="none" w:sz="0" w:space="0" w:color="auto"/>
                <w:left w:val="none" w:sz="0" w:space="0" w:color="auto"/>
                <w:bottom w:val="none" w:sz="0" w:space="0" w:color="auto"/>
                <w:right w:val="none" w:sz="0" w:space="0" w:color="auto"/>
              </w:divBdr>
            </w:div>
            <w:div w:id="1898512722">
              <w:marLeft w:val="0"/>
              <w:marRight w:val="0"/>
              <w:marTop w:val="0"/>
              <w:marBottom w:val="0"/>
              <w:divBdr>
                <w:top w:val="none" w:sz="0" w:space="0" w:color="auto"/>
                <w:left w:val="none" w:sz="0" w:space="0" w:color="auto"/>
                <w:bottom w:val="none" w:sz="0" w:space="0" w:color="auto"/>
                <w:right w:val="none" w:sz="0" w:space="0" w:color="auto"/>
              </w:divBdr>
            </w:div>
          </w:divsChild>
        </w:div>
        <w:div w:id="34014007">
          <w:marLeft w:val="0"/>
          <w:marRight w:val="0"/>
          <w:marTop w:val="0"/>
          <w:marBottom w:val="0"/>
          <w:divBdr>
            <w:top w:val="none" w:sz="0" w:space="0" w:color="auto"/>
            <w:left w:val="none" w:sz="0" w:space="0" w:color="auto"/>
            <w:bottom w:val="none" w:sz="0" w:space="0" w:color="auto"/>
            <w:right w:val="none" w:sz="0" w:space="0" w:color="auto"/>
          </w:divBdr>
        </w:div>
        <w:div w:id="92019052">
          <w:marLeft w:val="0"/>
          <w:marRight w:val="0"/>
          <w:marTop w:val="0"/>
          <w:marBottom w:val="0"/>
          <w:divBdr>
            <w:top w:val="none" w:sz="0" w:space="0" w:color="auto"/>
            <w:left w:val="none" w:sz="0" w:space="0" w:color="auto"/>
            <w:bottom w:val="none" w:sz="0" w:space="0" w:color="auto"/>
            <w:right w:val="none" w:sz="0" w:space="0" w:color="auto"/>
          </w:divBdr>
          <w:divsChild>
            <w:div w:id="36703017">
              <w:marLeft w:val="0"/>
              <w:marRight w:val="0"/>
              <w:marTop w:val="0"/>
              <w:marBottom w:val="0"/>
              <w:divBdr>
                <w:top w:val="none" w:sz="0" w:space="0" w:color="auto"/>
                <w:left w:val="none" w:sz="0" w:space="0" w:color="auto"/>
                <w:bottom w:val="none" w:sz="0" w:space="0" w:color="auto"/>
                <w:right w:val="none" w:sz="0" w:space="0" w:color="auto"/>
              </w:divBdr>
            </w:div>
            <w:div w:id="272640984">
              <w:marLeft w:val="0"/>
              <w:marRight w:val="0"/>
              <w:marTop w:val="0"/>
              <w:marBottom w:val="0"/>
              <w:divBdr>
                <w:top w:val="none" w:sz="0" w:space="0" w:color="auto"/>
                <w:left w:val="none" w:sz="0" w:space="0" w:color="auto"/>
                <w:bottom w:val="none" w:sz="0" w:space="0" w:color="auto"/>
                <w:right w:val="none" w:sz="0" w:space="0" w:color="auto"/>
              </w:divBdr>
            </w:div>
            <w:div w:id="1629049271">
              <w:marLeft w:val="0"/>
              <w:marRight w:val="0"/>
              <w:marTop w:val="0"/>
              <w:marBottom w:val="0"/>
              <w:divBdr>
                <w:top w:val="none" w:sz="0" w:space="0" w:color="auto"/>
                <w:left w:val="none" w:sz="0" w:space="0" w:color="auto"/>
                <w:bottom w:val="none" w:sz="0" w:space="0" w:color="auto"/>
                <w:right w:val="none" w:sz="0" w:space="0" w:color="auto"/>
              </w:divBdr>
            </w:div>
          </w:divsChild>
        </w:div>
        <w:div w:id="40059153">
          <w:marLeft w:val="0"/>
          <w:marRight w:val="0"/>
          <w:marTop w:val="0"/>
          <w:marBottom w:val="0"/>
          <w:divBdr>
            <w:top w:val="none" w:sz="0" w:space="0" w:color="auto"/>
            <w:left w:val="none" w:sz="0" w:space="0" w:color="auto"/>
            <w:bottom w:val="none" w:sz="0" w:space="0" w:color="auto"/>
            <w:right w:val="none" w:sz="0" w:space="0" w:color="auto"/>
          </w:divBdr>
        </w:div>
        <w:div w:id="42870877">
          <w:marLeft w:val="0"/>
          <w:marRight w:val="0"/>
          <w:marTop w:val="0"/>
          <w:marBottom w:val="0"/>
          <w:divBdr>
            <w:top w:val="none" w:sz="0" w:space="0" w:color="auto"/>
            <w:left w:val="none" w:sz="0" w:space="0" w:color="auto"/>
            <w:bottom w:val="none" w:sz="0" w:space="0" w:color="auto"/>
            <w:right w:val="none" w:sz="0" w:space="0" w:color="auto"/>
          </w:divBdr>
        </w:div>
        <w:div w:id="59519505">
          <w:marLeft w:val="0"/>
          <w:marRight w:val="0"/>
          <w:marTop w:val="0"/>
          <w:marBottom w:val="0"/>
          <w:divBdr>
            <w:top w:val="none" w:sz="0" w:space="0" w:color="auto"/>
            <w:left w:val="none" w:sz="0" w:space="0" w:color="auto"/>
            <w:bottom w:val="none" w:sz="0" w:space="0" w:color="auto"/>
            <w:right w:val="none" w:sz="0" w:space="0" w:color="auto"/>
          </w:divBdr>
        </w:div>
        <w:div w:id="83262094">
          <w:marLeft w:val="0"/>
          <w:marRight w:val="0"/>
          <w:marTop w:val="0"/>
          <w:marBottom w:val="0"/>
          <w:divBdr>
            <w:top w:val="none" w:sz="0" w:space="0" w:color="auto"/>
            <w:left w:val="none" w:sz="0" w:space="0" w:color="auto"/>
            <w:bottom w:val="none" w:sz="0" w:space="0" w:color="auto"/>
            <w:right w:val="none" w:sz="0" w:space="0" w:color="auto"/>
          </w:divBdr>
        </w:div>
        <w:div w:id="92946278">
          <w:marLeft w:val="0"/>
          <w:marRight w:val="0"/>
          <w:marTop w:val="0"/>
          <w:marBottom w:val="0"/>
          <w:divBdr>
            <w:top w:val="none" w:sz="0" w:space="0" w:color="auto"/>
            <w:left w:val="none" w:sz="0" w:space="0" w:color="auto"/>
            <w:bottom w:val="none" w:sz="0" w:space="0" w:color="auto"/>
            <w:right w:val="none" w:sz="0" w:space="0" w:color="auto"/>
          </w:divBdr>
        </w:div>
        <w:div w:id="95099705">
          <w:marLeft w:val="0"/>
          <w:marRight w:val="0"/>
          <w:marTop w:val="0"/>
          <w:marBottom w:val="0"/>
          <w:divBdr>
            <w:top w:val="none" w:sz="0" w:space="0" w:color="auto"/>
            <w:left w:val="none" w:sz="0" w:space="0" w:color="auto"/>
            <w:bottom w:val="none" w:sz="0" w:space="0" w:color="auto"/>
            <w:right w:val="none" w:sz="0" w:space="0" w:color="auto"/>
          </w:divBdr>
        </w:div>
        <w:div w:id="118961281">
          <w:marLeft w:val="0"/>
          <w:marRight w:val="0"/>
          <w:marTop w:val="0"/>
          <w:marBottom w:val="0"/>
          <w:divBdr>
            <w:top w:val="none" w:sz="0" w:space="0" w:color="auto"/>
            <w:left w:val="none" w:sz="0" w:space="0" w:color="auto"/>
            <w:bottom w:val="none" w:sz="0" w:space="0" w:color="auto"/>
            <w:right w:val="none" w:sz="0" w:space="0" w:color="auto"/>
          </w:divBdr>
        </w:div>
        <w:div w:id="131560935">
          <w:marLeft w:val="0"/>
          <w:marRight w:val="0"/>
          <w:marTop w:val="0"/>
          <w:marBottom w:val="0"/>
          <w:divBdr>
            <w:top w:val="none" w:sz="0" w:space="0" w:color="auto"/>
            <w:left w:val="none" w:sz="0" w:space="0" w:color="auto"/>
            <w:bottom w:val="none" w:sz="0" w:space="0" w:color="auto"/>
            <w:right w:val="none" w:sz="0" w:space="0" w:color="auto"/>
          </w:divBdr>
        </w:div>
        <w:div w:id="159274862">
          <w:marLeft w:val="0"/>
          <w:marRight w:val="0"/>
          <w:marTop w:val="0"/>
          <w:marBottom w:val="0"/>
          <w:divBdr>
            <w:top w:val="none" w:sz="0" w:space="0" w:color="auto"/>
            <w:left w:val="none" w:sz="0" w:space="0" w:color="auto"/>
            <w:bottom w:val="none" w:sz="0" w:space="0" w:color="auto"/>
            <w:right w:val="none" w:sz="0" w:space="0" w:color="auto"/>
          </w:divBdr>
        </w:div>
        <w:div w:id="1120101576">
          <w:marLeft w:val="0"/>
          <w:marRight w:val="0"/>
          <w:marTop w:val="0"/>
          <w:marBottom w:val="0"/>
          <w:divBdr>
            <w:top w:val="none" w:sz="0" w:space="0" w:color="auto"/>
            <w:left w:val="none" w:sz="0" w:space="0" w:color="auto"/>
            <w:bottom w:val="none" w:sz="0" w:space="0" w:color="auto"/>
            <w:right w:val="none" w:sz="0" w:space="0" w:color="auto"/>
          </w:divBdr>
          <w:divsChild>
            <w:div w:id="202596838">
              <w:marLeft w:val="0"/>
              <w:marRight w:val="0"/>
              <w:marTop w:val="0"/>
              <w:marBottom w:val="0"/>
              <w:divBdr>
                <w:top w:val="none" w:sz="0" w:space="0" w:color="auto"/>
                <w:left w:val="none" w:sz="0" w:space="0" w:color="auto"/>
                <w:bottom w:val="none" w:sz="0" w:space="0" w:color="auto"/>
                <w:right w:val="none" w:sz="0" w:space="0" w:color="auto"/>
              </w:divBdr>
            </w:div>
            <w:div w:id="1178428917">
              <w:marLeft w:val="0"/>
              <w:marRight w:val="0"/>
              <w:marTop w:val="0"/>
              <w:marBottom w:val="0"/>
              <w:divBdr>
                <w:top w:val="none" w:sz="0" w:space="0" w:color="auto"/>
                <w:left w:val="none" w:sz="0" w:space="0" w:color="auto"/>
                <w:bottom w:val="none" w:sz="0" w:space="0" w:color="auto"/>
                <w:right w:val="none" w:sz="0" w:space="0" w:color="auto"/>
              </w:divBdr>
            </w:div>
            <w:div w:id="1218592300">
              <w:marLeft w:val="0"/>
              <w:marRight w:val="0"/>
              <w:marTop w:val="0"/>
              <w:marBottom w:val="0"/>
              <w:divBdr>
                <w:top w:val="none" w:sz="0" w:space="0" w:color="auto"/>
                <w:left w:val="none" w:sz="0" w:space="0" w:color="auto"/>
                <w:bottom w:val="none" w:sz="0" w:space="0" w:color="auto"/>
                <w:right w:val="none" w:sz="0" w:space="0" w:color="auto"/>
              </w:divBdr>
            </w:div>
            <w:div w:id="1987931818">
              <w:marLeft w:val="0"/>
              <w:marRight w:val="0"/>
              <w:marTop w:val="0"/>
              <w:marBottom w:val="0"/>
              <w:divBdr>
                <w:top w:val="none" w:sz="0" w:space="0" w:color="auto"/>
                <w:left w:val="none" w:sz="0" w:space="0" w:color="auto"/>
                <w:bottom w:val="none" w:sz="0" w:space="0" w:color="auto"/>
                <w:right w:val="none" w:sz="0" w:space="0" w:color="auto"/>
              </w:divBdr>
            </w:div>
          </w:divsChild>
        </w:div>
        <w:div w:id="203955599">
          <w:marLeft w:val="0"/>
          <w:marRight w:val="0"/>
          <w:marTop w:val="0"/>
          <w:marBottom w:val="0"/>
          <w:divBdr>
            <w:top w:val="none" w:sz="0" w:space="0" w:color="auto"/>
            <w:left w:val="none" w:sz="0" w:space="0" w:color="auto"/>
            <w:bottom w:val="none" w:sz="0" w:space="0" w:color="auto"/>
            <w:right w:val="none" w:sz="0" w:space="0" w:color="auto"/>
          </w:divBdr>
        </w:div>
        <w:div w:id="279074800">
          <w:marLeft w:val="0"/>
          <w:marRight w:val="0"/>
          <w:marTop w:val="0"/>
          <w:marBottom w:val="0"/>
          <w:divBdr>
            <w:top w:val="none" w:sz="0" w:space="0" w:color="auto"/>
            <w:left w:val="none" w:sz="0" w:space="0" w:color="auto"/>
            <w:bottom w:val="none" w:sz="0" w:space="0" w:color="auto"/>
            <w:right w:val="none" w:sz="0" w:space="0" w:color="auto"/>
          </w:divBdr>
        </w:div>
        <w:div w:id="295336490">
          <w:marLeft w:val="0"/>
          <w:marRight w:val="0"/>
          <w:marTop w:val="0"/>
          <w:marBottom w:val="0"/>
          <w:divBdr>
            <w:top w:val="none" w:sz="0" w:space="0" w:color="auto"/>
            <w:left w:val="none" w:sz="0" w:space="0" w:color="auto"/>
            <w:bottom w:val="none" w:sz="0" w:space="0" w:color="auto"/>
            <w:right w:val="none" w:sz="0" w:space="0" w:color="auto"/>
          </w:divBdr>
        </w:div>
        <w:div w:id="295917587">
          <w:marLeft w:val="0"/>
          <w:marRight w:val="0"/>
          <w:marTop w:val="0"/>
          <w:marBottom w:val="0"/>
          <w:divBdr>
            <w:top w:val="none" w:sz="0" w:space="0" w:color="auto"/>
            <w:left w:val="none" w:sz="0" w:space="0" w:color="auto"/>
            <w:bottom w:val="none" w:sz="0" w:space="0" w:color="auto"/>
            <w:right w:val="none" w:sz="0" w:space="0" w:color="auto"/>
          </w:divBdr>
        </w:div>
        <w:div w:id="297222952">
          <w:marLeft w:val="0"/>
          <w:marRight w:val="0"/>
          <w:marTop w:val="0"/>
          <w:marBottom w:val="0"/>
          <w:divBdr>
            <w:top w:val="none" w:sz="0" w:space="0" w:color="auto"/>
            <w:left w:val="none" w:sz="0" w:space="0" w:color="auto"/>
            <w:bottom w:val="none" w:sz="0" w:space="0" w:color="auto"/>
            <w:right w:val="none" w:sz="0" w:space="0" w:color="auto"/>
          </w:divBdr>
        </w:div>
        <w:div w:id="304965867">
          <w:marLeft w:val="0"/>
          <w:marRight w:val="0"/>
          <w:marTop w:val="0"/>
          <w:marBottom w:val="0"/>
          <w:divBdr>
            <w:top w:val="none" w:sz="0" w:space="0" w:color="auto"/>
            <w:left w:val="none" w:sz="0" w:space="0" w:color="auto"/>
            <w:bottom w:val="none" w:sz="0" w:space="0" w:color="auto"/>
            <w:right w:val="none" w:sz="0" w:space="0" w:color="auto"/>
          </w:divBdr>
        </w:div>
        <w:div w:id="355473388">
          <w:marLeft w:val="0"/>
          <w:marRight w:val="0"/>
          <w:marTop w:val="0"/>
          <w:marBottom w:val="0"/>
          <w:divBdr>
            <w:top w:val="none" w:sz="0" w:space="0" w:color="auto"/>
            <w:left w:val="none" w:sz="0" w:space="0" w:color="auto"/>
            <w:bottom w:val="none" w:sz="0" w:space="0" w:color="auto"/>
            <w:right w:val="none" w:sz="0" w:space="0" w:color="auto"/>
          </w:divBdr>
        </w:div>
        <w:div w:id="374934581">
          <w:marLeft w:val="0"/>
          <w:marRight w:val="0"/>
          <w:marTop w:val="0"/>
          <w:marBottom w:val="0"/>
          <w:divBdr>
            <w:top w:val="none" w:sz="0" w:space="0" w:color="auto"/>
            <w:left w:val="none" w:sz="0" w:space="0" w:color="auto"/>
            <w:bottom w:val="none" w:sz="0" w:space="0" w:color="auto"/>
            <w:right w:val="none" w:sz="0" w:space="0" w:color="auto"/>
          </w:divBdr>
        </w:div>
        <w:div w:id="382411802">
          <w:marLeft w:val="0"/>
          <w:marRight w:val="0"/>
          <w:marTop w:val="0"/>
          <w:marBottom w:val="0"/>
          <w:divBdr>
            <w:top w:val="none" w:sz="0" w:space="0" w:color="auto"/>
            <w:left w:val="none" w:sz="0" w:space="0" w:color="auto"/>
            <w:bottom w:val="none" w:sz="0" w:space="0" w:color="auto"/>
            <w:right w:val="none" w:sz="0" w:space="0" w:color="auto"/>
          </w:divBdr>
        </w:div>
        <w:div w:id="397098716">
          <w:marLeft w:val="0"/>
          <w:marRight w:val="0"/>
          <w:marTop w:val="0"/>
          <w:marBottom w:val="0"/>
          <w:divBdr>
            <w:top w:val="none" w:sz="0" w:space="0" w:color="auto"/>
            <w:left w:val="none" w:sz="0" w:space="0" w:color="auto"/>
            <w:bottom w:val="none" w:sz="0" w:space="0" w:color="auto"/>
            <w:right w:val="none" w:sz="0" w:space="0" w:color="auto"/>
          </w:divBdr>
        </w:div>
        <w:div w:id="404499509">
          <w:marLeft w:val="0"/>
          <w:marRight w:val="0"/>
          <w:marTop w:val="0"/>
          <w:marBottom w:val="0"/>
          <w:divBdr>
            <w:top w:val="none" w:sz="0" w:space="0" w:color="auto"/>
            <w:left w:val="none" w:sz="0" w:space="0" w:color="auto"/>
            <w:bottom w:val="none" w:sz="0" w:space="0" w:color="auto"/>
            <w:right w:val="none" w:sz="0" w:space="0" w:color="auto"/>
          </w:divBdr>
        </w:div>
        <w:div w:id="418404531">
          <w:marLeft w:val="0"/>
          <w:marRight w:val="0"/>
          <w:marTop w:val="0"/>
          <w:marBottom w:val="0"/>
          <w:divBdr>
            <w:top w:val="none" w:sz="0" w:space="0" w:color="auto"/>
            <w:left w:val="none" w:sz="0" w:space="0" w:color="auto"/>
            <w:bottom w:val="none" w:sz="0" w:space="0" w:color="auto"/>
            <w:right w:val="none" w:sz="0" w:space="0" w:color="auto"/>
          </w:divBdr>
        </w:div>
        <w:div w:id="427425988">
          <w:marLeft w:val="0"/>
          <w:marRight w:val="0"/>
          <w:marTop w:val="0"/>
          <w:marBottom w:val="0"/>
          <w:divBdr>
            <w:top w:val="none" w:sz="0" w:space="0" w:color="auto"/>
            <w:left w:val="none" w:sz="0" w:space="0" w:color="auto"/>
            <w:bottom w:val="none" w:sz="0" w:space="0" w:color="auto"/>
            <w:right w:val="none" w:sz="0" w:space="0" w:color="auto"/>
          </w:divBdr>
        </w:div>
        <w:div w:id="438255710">
          <w:marLeft w:val="0"/>
          <w:marRight w:val="0"/>
          <w:marTop w:val="0"/>
          <w:marBottom w:val="0"/>
          <w:divBdr>
            <w:top w:val="none" w:sz="0" w:space="0" w:color="auto"/>
            <w:left w:val="none" w:sz="0" w:space="0" w:color="auto"/>
            <w:bottom w:val="none" w:sz="0" w:space="0" w:color="auto"/>
            <w:right w:val="none" w:sz="0" w:space="0" w:color="auto"/>
          </w:divBdr>
        </w:div>
        <w:div w:id="459149663">
          <w:marLeft w:val="0"/>
          <w:marRight w:val="0"/>
          <w:marTop w:val="0"/>
          <w:marBottom w:val="0"/>
          <w:divBdr>
            <w:top w:val="none" w:sz="0" w:space="0" w:color="auto"/>
            <w:left w:val="none" w:sz="0" w:space="0" w:color="auto"/>
            <w:bottom w:val="none" w:sz="0" w:space="0" w:color="auto"/>
            <w:right w:val="none" w:sz="0" w:space="0" w:color="auto"/>
          </w:divBdr>
        </w:div>
        <w:div w:id="571433679">
          <w:marLeft w:val="0"/>
          <w:marRight w:val="0"/>
          <w:marTop w:val="0"/>
          <w:marBottom w:val="0"/>
          <w:divBdr>
            <w:top w:val="none" w:sz="0" w:space="0" w:color="auto"/>
            <w:left w:val="none" w:sz="0" w:space="0" w:color="auto"/>
            <w:bottom w:val="none" w:sz="0" w:space="0" w:color="auto"/>
            <w:right w:val="none" w:sz="0" w:space="0" w:color="auto"/>
          </w:divBdr>
          <w:divsChild>
            <w:div w:id="520899920">
              <w:marLeft w:val="0"/>
              <w:marRight w:val="0"/>
              <w:marTop w:val="0"/>
              <w:marBottom w:val="0"/>
              <w:divBdr>
                <w:top w:val="none" w:sz="0" w:space="0" w:color="auto"/>
                <w:left w:val="none" w:sz="0" w:space="0" w:color="auto"/>
                <w:bottom w:val="none" w:sz="0" w:space="0" w:color="auto"/>
                <w:right w:val="none" w:sz="0" w:space="0" w:color="auto"/>
              </w:divBdr>
            </w:div>
          </w:divsChild>
        </w:div>
        <w:div w:id="525607918">
          <w:marLeft w:val="0"/>
          <w:marRight w:val="0"/>
          <w:marTop w:val="0"/>
          <w:marBottom w:val="0"/>
          <w:divBdr>
            <w:top w:val="none" w:sz="0" w:space="0" w:color="auto"/>
            <w:left w:val="none" w:sz="0" w:space="0" w:color="auto"/>
            <w:bottom w:val="none" w:sz="0" w:space="0" w:color="auto"/>
            <w:right w:val="none" w:sz="0" w:space="0" w:color="auto"/>
          </w:divBdr>
        </w:div>
        <w:div w:id="542638155">
          <w:marLeft w:val="0"/>
          <w:marRight w:val="0"/>
          <w:marTop w:val="0"/>
          <w:marBottom w:val="0"/>
          <w:divBdr>
            <w:top w:val="none" w:sz="0" w:space="0" w:color="auto"/>
            <w:left w:val="none" w:sz="0" w:space="0" w:color="auto"/>
            <w:bottom w:val="none" w:sz="0" w:space="0" w:color="auto"/>
            <w:right w:val="none" w:sz="0" w:space="0" w:color="auto"/>
          </w:divBdr>
        </w:div>
        <w:div w:id="568613059">
          <w:marLeft w:val="0"/>
          <w:marRight w:val="0"/>
          <w:marTop w:val="0"/>
          <w:marBottom w:val="0"/>
          <w:divBdr>
            <w:top w:val="none" w:sz="0" w:space="0" w:color="auto"/>
            <w:left w:val="none" w:sz="0" w:space="0" w:color="auto"/>
            <w:bottom w:val="none" w:sz="0" w:space="0" w:color="auto"/>
            <w:right w:val="none" w:sz="0" w:space="0" w:color="auto"/>
          </w:divBdr>
        </w:div>
        <w:div w:id="615016944">
          <w:marLeft w:val="0"/>
          <w:marRight w:val="0"/>
          <w:marTop w:val="0"/>
          <w:marBottom w:val="0"/>
          <w:divBdr>
            <w:top w:val="none" w:sz="0" w:space="0" w:color="auto"/>
            <w:left w:val="none" w:sz="0" w:space="0" w:color="auto"/>
            <w:bottom w:val="none" w:sz="0" w:space="0" w:color="auto"/>
            <w:right w:val="none" w:sz="0" w:space="0" w:color="auto"/>
          </w:divBdr>
        </w:div>
        <w:div w:id="615523495">
          <w:marLeft w:val="0"/>
          <w:marRight w:val="0"/>
          <w:marTop w:val="0"/>
          <w:marBottom w:val="0"/>
          <w:divBdr>
            <w:top w:val="none" w:sz="0" w:space="0" w:color="auto"/>
            <w:left w:val="none" w:sz="0" w:space="0" w:color="auto"/>
            <w:bottom w:val="none" w:sz="0" w:space="0" w:color="auto"/>
            <w:right w:val="none" w:sz="0" w:space="0" w:color="auto"/>
          </w:divBdr>
        </w:div>
        <w:div w:id="636686387">
          <w:marLeft w:val="0"/>
          <w:marRight w:val="0"/>
          <w:marTop w:val="0"/>
          <w:marBottom w:val="0"/>
          <w:divBdr>
            <w:top w:val="none" w:sz="0" w:space="0" w:color="auto"/>
            <w:left w:val="none" w:sz="0" w:space="0" w:color="auto"/>
            <w:bottom w:val="none" w:sz="0" w:space="0" w:color="auto"/>
            <w:right w:val="none" w:sz="0" w:space="0" w:color="auto"/>
          </w:divBdr>
        </w:div>
        <w:div w:id="645161586">
          <w:marLeft w:val="0"/>
          <w:marRight w:val="0"/>
          <w:marTop w:val="0"/>
          <w:marBottom w:val="0"/>
          <w:divBdr>
            <w:top w:val="none" w:sz="0" w:space="0" w:color="auto"/>
            <w:left w:val="none" w:sz="0" w:space="0" w:color="auto"/>
            <w:bottom w:val="none" w:sz="0" w:space="0" w:color="auto"/>
            <w:right w:val="none" w:sz="0" w:space="0" w:color="auto"/>
          </w:divBdr>
        </w:div>
        <w:div w:id="673648085">
          <w:marLeft w:val="0"/>
          <w:marRight w:val="0"/>
          <w:marTop w:val="0"/>
          <w:marBottom w:val="0"/>
          <w:divBdr>
            <w:top w:val="none" w:sz="0" w:space="0" w:color="auto"/>
            <w:left w:val="none" w:sz="0" w:space="0" w:color="auto"/>
            <w:bottom w:val="none" w:sz="0" w:space="0" w:color="auto"/>
            <w:right w:val="none" w:sz="0" w:space="0" w:color="auto"/>
          </w:divBdr>
        </w:div>
        <w:div w:id="682779723">
          <w:marLeft w:val="0"/>
          <w:marRight w:val="0"/>
          <w:marTop w:val="0"/>
          <w:marBottom w:val="0"/>
          <w:divBdr>
            <w:top w:val="none" w:sz="0" w:space="0" w:color="auto"/>
            <w:left w:val="none" w:sz="0" w:space="0" w:color="auto"/>
            <w:bottom w:val="none" w:sz="0" w:space="0" w:color="auto"/>
            <w:right w:val="none" w:sz="0" w:space="0" w:color="auto"/>
          </w:divBdr>
        </w:div>
        <w:div w:id="722796822">
          <w:marLeft w:val="0"/>
          <w:marRight w:val="0"/>
          <w:marTop w:val="0"/>
          <w:marBottom w:val="0"/>
          <w:divBdr>
            <w:top w:val="none" w:sz="0" w:space="0" w:color="auto"/>
            <w:left w:val="none" w:sz="0" w:space="0" w:color="auto"/>
            <w:bottom w:val="none" w:sz="0" w:space="0" w:color="auto"/>
            <w:right w:val="none" w:sz="0" w:space="0" w:color="auto"/>
          </w:divBdr>
        </w:div>
        <w:div w:id="746609663">
          <w:marLeft w:val="0"/>
          <w:marRight w:val="0"/>
          <w:marTop w:val="0"/>
          <w:marBottom w:val="0"/>
          <w:divBdr>
            <w:top w:val="none" w:sz="0" w:space="0" w:color="auto"/>
            <w:left w:val="none" w:sz="0" w:space="0" w:color="auto"/>
            <w:bottom w:val="none" w:sz="0" w:space="0" w:color="auto"/>
            <w:right w:val="none" w:sz="0" w:space="0" w:color="auto"/>
          </w:divBdr>
        </w:div>
        <w:div w:id="752165463">
          <w:marLeft w:val="0"/>
          <w:marRight w:val="0"/>
          <w:marTop w:val="0"/>
          <w:marBottom w:val="0"/>
          <w:divBdr>
            <w:top w:val="none" w:sz="0" w:space="0" w:color="auto"/>
            <w:left w:val="none" w:sz="0" w:space="0" w:color="auto"/>
            <w:bottom w:val="none" w:sz="0" w:space="0" w:color="auto"/>
            <w:right w:val="none" w:sz="0" w:space="0" w:color="auto"/>
          </w:divBdr>
        </w:div>
        <w:div w:id="762216219">
          <w:marLeft w:val="0"/>
          <w:marRight w:val="0"/>
          <w:marTop w:val="0"/>
          <w:marBottom w:val="0"/>
          <w:divBdr>
            <w:top w:val="none" w:sz="0" w:space="0" w:color="auto"/>
            <w:left w:val="none" w:sz="0" w:space="0" w:color="auto"/>
            <w:bottom w:val="none" w:sz="0" w:space="0" w:color="auto"/>
            <w:right w:val="none" w:sz="0" w:space="0" w:color="auto"/>
          </w:divBdr>
        </w:div>
        <w:div w:id="765535236">
          <w:marLeft w:val="0"/>
          <w:marRight w:val="0"/>
          <w:marTop w:val="0"/>
          <w:marBottom w:val="0"/>
          <w:divBdr>
            <w:top w:val="none" w:sz="0" w:space="0" w:color="auto"/>
            <w:left w:val="none" w:sz="0" w:space="0" w:color="auto"/>
            <w:bottom w:val="none" w:sz="0" w:space="0" w:color="auto"/>
            <w:right w:val="none" w:sz="0" w:space="0" w:color="auto"/>
          </w:divBdr>
        </w:div>
        <w:div w:id="766390914">
          <w:marLeft w:val="0"/>
          <w:marRight w:val="0"/>
          <w:marTop w:val="0"/>
          <w:marBottom w:val="0"/>
          <w:divBdr>
            <w:top w:val="none" w:sz="0" w:space="0" w:color="auto"/>
            <w:left w:val="none" w:sz="0" w:space="0" w:color="auto"/>
            <w:bottom w:val="none" w:sz="0" w:space="0" w:color="auto"/>
            <w:right w:val="none" w:sz="0" w:space="0" w:color="auto"/>
          </w:divBdr>
          <w:divsChild>
            <w:div w:id="915213389">
              <w:marLeft w:val="0"/>
              <w:marRight w:val="0"/>
              <w:marTop w:val="0"/>
              <w:marBottom w:val="0"/>
              <w:divBdr>
                <w:top w:val="none" w:sz="0" w:space="0" w:color="auto"/>
                <w:left w:val="none" w:sz="0" w:space="0" w:color="auto"/>
                <w:bottom w:val="none" w:sz="0" w:space="0" w:color="auto"/>
                <w:right w:val="none" w:sz="0" w:space="0" w:color="auto"/>
              </w:divBdr>
            </w:div>
            <w:div w:id="1844010484">
              <w:marLeft w:val="0"/>
              <w:marRight w:val="0"/>
              <w:marTop w:val="0"/>
              <w:marBottom w:val="0"/>
              <w:divBdr>
                <w:top w:val="none" w:sz="0" w:space="0" w:color="auto"/>
                <w:left w:val="none" w:sz="0" w:space="0" w:color="auto"/>
                <w:bottom w:val="none" w:sz="0" w:space="0" w:color="auto"/>
                <w:right w:val="none" w:sz="0" w:space="0" w:color="auto"/>
              </w:divBdr>
            </w:div>
            <w:div w:id="1916933793">
              <w:marLeft w:val="0"/>
              <w:marRight w:val="0"/>
              <w:marTop w:val="0"/>
              <w:marBottom w:val="0"/>
              <w:divBdr>
                <w:top w:val="none" w:sz="0" w:space="0" w:color="auto"/>
                <w:left w:val="none" w:sz="0" w:space="0" w:color="auto"/>
                <w:bottom w:val="none" w:sz="0" w:space="0" w:color="auto"/>
                <w:right w:val="none" w:sz="0" w:space="0" w:color="auto"/>
              </w:divBdr>
            </w:div>
            <w:div w:id="1973749862">
              <w:marLeft w:val="0"/>
              <w:marRight w:val="0"/>
              <w:marTop w:val="0"/>
              <w:marBottom w:val="0"/>
              <w:divBdr>
                <w:top w:val="none" w:sz="0" w:space="0" w:color="auto"/>
                <w:left w:val="none" w:sz="0" w:space="0" w:color="auto"/>
                <w:bottom w:val="none" w:sz="0" w:space="0" w:color="auto"/>
                <w:right w:val="none" w:sz="0" w:space="0" w:color="auto"/>
              </w:divBdr>
            </w:div>
          </w:divsChild>
        </w:div>
        <w:div w:id="773482414">
          <w:marLeft w:val="0"/>
          <w:marRight w:val="0"/>
          <w:marTop w:val="0"/>
          <w:marBottom w:val="0"/>
          <w:divBdr>
            <w:top w:val="none" w:sz="0" w:space="0" w:color="auto"/>
            <w:left w:val="none" w:sz="0" w:space="0" w:color="auto"/>
            <w:bottom w:val="none" w:sz="0" w:space="0" w:color="auto"/>
            <w:right w:val="none" w:sz="0" w:space="0" w:color="auto"/>
          </w:divBdr>
        </w:div>
        <w:div w:id="781656926">
          <w:marLeft w:val="0"/>
          <w:marRight w:val="0"/>
          <w:marTop w:val="0"/>
          <w:marBottom w:val="0"/>
          <w:divBdr>
            <w:top w:val="none" w:sz="0" w:space="0" w:color="auto"/>
            <w:left w:val="none" w:sz="0" w:space="0" w:color="auto"/>
            <w:bottom w:val="none" w:sz="0" w:space="0" w:color="auto"/>
            <w:right w:val="none" w:sz="0" w:space="0" w:color="auto"/>
          </w:divBdr>
        </w:div>
        <w:div w:id="807430301">
          <w:marLeft w:val="0"/>
          <w:marRight w:val="0"/>
          <w:marTop w:val="0"/>
          <w:marBottom w:val="0"/>
          <w:divBdr>
            <w:top w:val="none" w:sz="0" w:space="0" w:color="auto"/>
            <w:left w:val="none" w:sz="0" w:space="0" w:color="auto"/>
            <w:bottom w:val="none" w:sz="0" w:space="0" w:color="auto"/>
            <w:right w:val="none" w:sz="0" w:space="0" w:color="auto"/>
          </w:divBdr>
        </w:div>
        <w:div w:id="1315910013">
          <w:marLeft w:val="0"/>
          <w:marRight w:val="0"/>
          <w:marTop w:val="0"/>
          <w:marBottom w:val="0"/>
          <w:divBdr>
            <w:top w:val="none" w:sz="0" w:space="0" w:color="auto"/>
            <w:left w:val="none" w:sz="0" w:space="0" w:color="auto"/>
            <w:bottom w:val="none" w:sz="0" w:space="0" w:color="auto"/>
            <w:right w:val="none" w:sz="0" w:space="0" w:color="auto"/>
          </w:divBdr>
          <w:divsChild>
            <w:div w:id="815686531">
              <w:marLeft w:val="0"/>
              <w:marRight w:val="0"/>
              <w:marTop w:val="0"/>
              <w:marBottom w:val="0"/>
              <w:divBdr>
                <w:top w:val="none" w:sz="0" w:space="0" w:color="auto"/>
                <w:left w:val="none" w:sz="0" w:space="0" w:color="auto"/>
                <w:bottom w:val="none" w:sz="0" w:space="0" w:color="auto"/>
                <w:right w:val="none" w:sz="0" w:space="0" w:color="auto"/>
              </w:divBdr>
            </w:div>
          </w:divsChild>
        </w:div>
        <w:div w:id="900943562">
          <w:marLeft w:val="0"/>
          <w:marRight w:val="0"/>
          <w:marTop w:val="0"/>
          <w:marBottom w:val="0"/>
          <w:divBdr>
            <w:top w:val="none" w:sz="0" w:space="0" w:color="auto"/>
            <w:left w:val="none" w:sz="0" w:space="0" w:color="auto"/>
            <w:bottom w:val="none" w:sz="0" w:space="0" w:color="auto"/>
            <w:right w:val="none" w:sz="0" w:space="0" w:color="auto"/>
          </w:divBdr>
        </w:div>
        <w:div w:id="926501817">
          <w:marLeft w:val="0"/>
          <w:marRight w:val="0"/>
          <w:marTop w:val="0"/>
          <w:marBottom w:val="0"/>
          <w:divBdr>
            <w:top w:val="none" w:sz="0" w:space="0" w:color="auto"/>
            <w:left w:val="none" w:sz="0" w:space="0" w:color="auto"/>
            <w:bottom w:val="none" w:sz="0" w:space="0" w:color="auto"/>
            <w:right w:val="none" w:sz="0" w:space="0" w:color="auto"/>
          </w:divBdr>
        </w:div>
        <w:div w:id="937102483">
          <w:marLeft w:val="0"/>
          <w:marRight w:val="0"/>
          <w:marTop w:val="0"/>
          <w:marBottom w:val="0"/>
          <w:divBdr>
            <w:top w:val="none" w:sz="0" w:space="0" w:color="auto"/>
            <w:left w:val="none" w:sz="0" w:space="0" w:color="auto"/>
            <w:bottom w:val="none" w:sz="0" w:space="0" w:color="auto"/>
            <w:right w:val="none" w:sz="0" w:space="0" w:color="auto"/>
          </w:divBdr>
        </w:div>
        <w:div w:id="939871517">
          <w:marLeft w:val="0"/>
          <w:marRight w:val="0"/>
          <w:marTop w:val="0"/>
          <w:marBottom w:val="0"/>
          <w:divBdr>
            <w:top w:val="none" w:sz="0" w:space="0" w:color="auto"/>
            <w:left w:val="none" w:sz="0" w:space="0" w:color="auto"/>
            <w:bottom w:val="none" w:sz="0" w:space="0" w:color="auto"/>
            <w:right w:val="none" w:sz="0" w:space="0" w:color="auto"/>
          </w:divBdr>
        </w:div>
        <w:div w:id="968046641">
          <w:marLeft w:val="0"/>
          <w:marRight w:val="0"/>
          <w:marTop w:val="0"/>
          <w:marBottom w:val="0"/>
          <w:divBdr>
            <w:top w:val="none" w:sz="0" w:space="0" w:color="auto"/>
            <w:left w:val="none" w:sz="0" w:space="0" w:color="auto"/>
            <w:bottom w:val="none" w:sz="0" w:space="0" w:color="auto"/>
            <w:right w:val="none" w:sz="0" w:space="0" w:color="auto"/>
          </w:divBdr>
        </w:div>
        <w:div w:id="979725979">
          <w:marLeft w:val="0"/>
          <w:marRight w:val="0"/>
          <w:marTop w:val="0"/>
          <w:marBottom w:val="0"/>
          <w:divBdr>
            <w:top w:val="none" w:sz="0" w:space="0" w:color="auto"/>
            <w:left w:val="none" w:sz="0" w:space="0" w:color="auto"/>
            <w:bottom w:val="none" w:sz="0" w:space="0" w:color="auto"/>
            <w:right w:val="none" w:sz="0" w:space="0" w:color="auto"/>
          </w:divBdr>
        </w:div>
        <w:div w:id="1032731638">
          <w:marLeft w:val="0"/>
          <w:marRight w:val="0"/>
          <w:marTop w:val="0"/>
          <w:marBottom w:val="0"/>
          <w:divBdr>
            <w:top w:val="none" w:sz="0" w:space="0" w:color="auto"/>
            <w:left w:val="none" w:sz="0" w:space="0" w:color="auto"/>
            <w:bottom w:val="none" w:sz="0" w:space="0" w:color="auto"/>
            <w:right w:val="none" w:sz="0" w:space="0" w:color="auto"/>
          </w:divBdr>
        </w:div>
        <w:div w:id="1711804233">
          <w:marLeft w:val="0"/>
          <w:marRight w:val="0"/>
          <w:marTop w:val="0"/>
          <w:marBottom w:val="0"/>
          <w:divBdr>
            <w:top w:val="none" w:sz="0" w:space="0" w:color="auto"/>
            <w:left w:val="none" w:sz="0" w:space="0" w:color="auto"/>
            <w:bottom w:val="none" w:sz="0" w:space="0" w:color="auto"/>
            <w:right w:val="none" w:sz="0" w:space="0" w:color="auto"/>
          </w:divBdr>
          <w:divsChild>
            <w:div w:id="1060976076">
              <w:marLeft w:val="0"/>
              <w:marRight w:val="0"/>
              <w:marTop w:val="0"/>
              <w:marBottom w:val="0"/>
              <w:divBdr>
                <w:top w:val="none" w:sz="0" w:space="0" w:color="auto"/>
                <w:left w:val="none" w:sz="0" w:space="0" w:color="auto"/>
                <w:bottom w:val="none" w:sz="0" w:space="0" w:color="auto"/>
                <w:right w:val="none" w:sz="0" w:space="0" w:color="auto"/>
              </w:divBdr>
            </w:div>
            <w:div w:id="1185442772">
              <w:marLeft w:val="0"/>
              <w:marRight w:val="0"/>
              <w:marTop w:val="0"/>
              <w:marBottom w:val="0"/>
              <w:divBdr>
                <w:top w:val="none" w:sz="0" w:space="0" w:color="auto"/>
                <w:left w:val="none" w:sz="0" w:space="0" w:color="auto"/>
                <w:bottom w:val="none" w:sz="0" w:space="0" w:color="auto"/>
                <w:right w:val="none" w:sz="0" w:space="0" w:color="auto"/>
              </w:divBdr>
            </w:div>
            <w:div w:id="1738670762">
              <w:marLeft w:val="0"/>
              <w:marRight w:val="0"/>
              <w:marTop w:val="0"/>
              <w:marBottom w:val="0"/>
              <w:divBdr>
                <w:top w:val="none" w:sz="0" w:space="0" w:color="auto"/>
                <w:left w:val="none" w:sz="0" w:space="0" w:color="auto"/>
                <w:bottom w:val="none" w:sz="0" w:space="0" w:color="auto"/>
                <w:right w:val="none" w:sz="0" w:space="0" w:color="auto"/>
              </w:divBdr>
            </w:div>
          </w:divsChild>
        </w:div>
        <w:div w:id="1092819439">
          <w:marLeft w:val="0"/>
          <w:marRight w:val="0"/>
          <w:marTop w:val="0"/>
          <w:marBottom w:val="0"/>
          <w:divBdr>
            <w:top w:val="none" w:sz="0" w:space="0" w:color="auto"/>
            <w:left w:val="none" w:sz="0" w:space="0" w:color="auto"/>
            <w:bottom w:val="none" w:sz="0" w:space="0" w:color="auto"/>
            <w:right w:val="none" w:sz="0" w:space="0" w:color="auto"/>
          </w:divBdr>
        </w:div>
        <w:div w:id="1095370841">
          <w:marLeft w:val="0"/>
          <w:marRight w:val="0"/>
          <w:marTop w:val="0"/>
          <w:marBottom w:val="0"/>
          <w:divBdr>
            <w:top w:val="none" w:sz="0" w:space="0" w:color="auto"/>
            <w:left w:val="none" w:sz="0" w:space="0" w:color="auto"/>
            <w:bottom w:val="none" w:sz="0" w:space="0" w:color="auto"/>
            <w:right w:val="none" w:sz="0" w:space="0" w:color="auto"/>
          </w:divBdr>
        </w:div>
        <w:div w:id="1100031174">
          <w:marLeft w:val="0"/>
          <w:marRight w:val="0"/>
          <w:marTop w:val="0"/>
          <w:marBottom w:val="0"/>
          <w:divBdr>
            <w:top w:val="none" w:sz="0" w:space="0" w:color="auto"/>
            <w:left w:val="none" w:sz="0" w:space="0" w:color="auto"/>
            <w:bottom w:val="none" w:sz="0" w:space="0" w:color="auto"/>
            <w:right w:val="none" w:sz="0" w:space="0" w:color="auto"/>
          </w:divBdr>
        </w:div>
        <w:div w:id="1128622520">
          <w:marLeft w:val="0"/>
          <w:marRight w:val="0"/>
          <w:marTop w:val="0"/>
          <w:marBottom w:val="0"/>
          <w:divBdr>
            <w:top w:val="none" w:sz="0" w:space="0" w:color="auto"/>
            <w:left w:val="none" w:sz="0" w:space="0" w:color="auto"/>
            <w:bottom w:val="none" w:sz="0" w:space="0" w:color="auto"/>
            <w:right w:val="none" w:sz="0" w:space="0" w:color="auto"/>
          </w:divBdr>
        </w:div>
        <w:div w:id="1133133832">
          <w:marLeft w:val="0"/>
          <w:marRight w:val="0"/>
          <w:marTop w:val="0"/>
          <w:marBottom w:val="0"/>
          <w:divBdr>
            <w:top w:val="none" w:sz="0" w:space="0" w:color="auto"/>
            <w:left w:val="none" w:sz="0" w:space="0" w:color="auto"/>
            <w:bottom w:val="none" w:sz="0" w:space="0" w:color="auto"/>
            <w:right w:val="none" w:sz="0" w:space="0" w:color="auto"/>
          </w:divBdr>
        </w:div>
        <w:div w:id="1142306888">
          <w:marLeft w:val="0"/>
          <w:marRight w:val="0"/>
          <w:marTop w:val="0"/>
          <w:marBottom w:val="0"/>
          <w:divBdr>
            <w:top w:val="none" w:sz="0" w:space="0" w:color="auto"/>
            <w:left w:val="none" w:sz="0" w:space="0" w:color="auto"/>
            <w:bottom w:val="none" w:sz="0" w:space="0" w:color="auto"/>
            <w:right w:val="none" w:sz="0" w:space="0" w:color="auto"/>
          </w:divBdr>
        </w:div>
        <w:div w:id="1148520307">
          <w:marLeft w:val="0"/>
          <w:marRight w:val="0"/>
          <w:marTop w:val="0"/>
          <w:marBottom w:val="0"/>
          <w:divBdr>
            <w:top w:val="none" w:sz="0" w:space="0" w:color="auto"/>
            <w:left w:val="none" w:sz="0" w:space="0" w:color="auto"/>
            <w:bottom w:val="none" w:sz="0" w:space="0" w:color="auto"/>
            <w:right w:val="none" w:sz="0" w:space="0" w:color="auto"/>
          </w:divBdr>
        </w:div>
        <w:div w:id="1150093391">
          <w:marLeft w:val="0"/>
          <w:marRight w:val="0"/>
          <w:marTop w:val="0"/>
          <w:marBottom w:val="0"/>
          <w:divBdr>
            <w:top w:val="none" w:sz="0" w:space="0" w:color="auto"/>
            <w:left w:val="none" w:sz="0" w:space="0" w:color="auto"/>
            <w:bottom w:val="none" w:sz="0" w:space="0" w:color="auto"/>
            <w:right w:val="none" w:sz="0" w:space="0" w:color="auto"/>
          </w:divBdr>
        </w:div>
        <w:div w:id="1161776989">
          <w:marLeft w:val="0"/>
          <w:marRight w:val="0"/>
          <w:marTop w:val="0"/>
          <w:marBottom w:val="0"/>
          <w:divBdr>
            <w:top w:val="none" w:sz="0" w:space="0" w:color="auto"/>
            <w:left w:val="none" w:sz="0" w:space="0" w:color="auto"/>
            <w:bottom w:val="none" w:sz="0" w:space="0" w:color="auto"/>
            <w:right w:val="none" w:sz="0" w:space="0" w:color="auto"/>
          </w:divBdr>
        </w:div>
        <w:div w:id="1164517400">
          <w:marLeft w:val="0"/>
          <w:marRight w:val="0"/>
          <w:marTop w:val="0"/>
          <w:marBottom w:val="0"/>
          <w:divBdr>
            <w:top w:val="none" w:sz="0" w:space="0" w:color="auto"/>
            <w:left w:val="none" w:sz="0" w:space="0" w:color="auto"/>
            <w:bottom w:val="none" w:sz="0" w:space="0" w:color="auto"/>
            <w:right w:val="none" w:sz="0" w:space="0" w:color="auto"/>
          </w:divBdr>
        </w:div>
        <w:div w:id="1168983486">
          <w:marLeft w:val="0"/>
          <w:marRight w:val="0"/>
          <w:marTop w:val="0"/>
          <w:marBottom w:val="0"/>
          <w:divBdr>
            <w:top w:val="none" w:sz="0" w:space="0" w:color="auto"/>
            <w:left w:val="none" w:sz="0" w:space="0" w:color="auto"/>
            <w:bottom w:val="none" w:sz="0" w:space="0" w:color="auto"/>
            <w:right w:val="none" w:sz="0" w:space="0" w:color="auto"/>
          </w:divBdr>
        </w:div>
        <w:div w:id="1170870934">
          <w:marLeft w:val="0"/>
          <w:marRight w:val="0"/>
          <w:marTop w:val="0"/>
          <w:marBottom w:val="0"/>
          <w:divBdr>
            <w:top w:val="none" w:sz="0" w:space="0" w:color="auto"/>
            <w:left w:val="none" w:sz="0" w:space="0" w:color="auto"/>
            <w:bottom w:val="none" w:sz="0" w:space="0" w:color="auto"/>
            <w:right w:val="none" w:sz="0" w:space="0" w:color="auto"/>
          </w:divBdr>
        </w:div>
        <w:div w:id="1172530933">
          <w:marLeft w:val="0"/>
          <w:marRight w:val="0"/>
          <w:marTop w:val="0"/>
          <w:marBottom w:val="0"/>
          <w:divBdr>
            <w:top w:val="none" w:sz="0" w:space="0" w:color="auto"/>
            <w:left w:val="none" w:sz="0" w:space="0" w:color="auto"/>
            <w:bottom w:val="none" w:sz="0" w:space="0" w:color="auto"/>
            <w:right w:val="none" w:sz="0" w:space="0" w:color="auto"/>
          </w:divBdr>
        </w:div>
        <w:div w:id="1175267012">
          <w:marLeft w:val="0"/>
          <w:marRight w:val="0"/>
          <w:marTop w:val="0"/>
          <w:marBottom w:val="0"/>
          <w:divBdr>
            <w:top w:val="none" w:sz="0" w:space="0" w:color="auto"/>
            <w:left w:val="none" w:sz="0" w:space="0" w:color="auto"/>
            <w:bottom w:val="none" w:sz="0" w:space="0" w:color="auto"/>
            <w:right w:val="none" w:sz="0" w:space="0" w:color="auto"/>
          </w:divBdr>
        </w:div>
        <w:div w:id="1184318049">
          <w:marLeft w:val="0"/>
          <w:marRight w:val="0"/>
          <w:marTop w:val="0"/>
          <w:marBottom w:val="0"/>
          <w:divBdr>
            <w:top w:val="none" w:sz="0" w:space="0" w:color="auto"/>
            <w:left w:val="none" w:sz="0" w:space="0" w:color="auto"/>
            <w:bottom w:val="none" w:sz="0" w:space="0" w:color="auto"/>
            <w:right w:val="none" w:sz="0" w:space="0" w:color="auto"/>
          </w:divBdr>
        </w:div>
        <w:div w:id="1221404685">
          <w:marLeft w:val="0"/>
          <w:marRight w:val="0"/>
          <w:marTop w:val="0"/>
          <w:marBottom w:val="0"/>
          <w:divBdr>
            <w:top w:val="none" w:sz="0" w:space="0" w:color="auto"/>
            <w:left w:val="none" w:sz="0" w:space="0" w:color="auto"/>
            <w:bottom w:val="none" w:sz="0" w:space="0" w:color="auto"/>
            <w:right w:val="none" w:sz="0" w:space="0" w:color="auto"/>
          </w:divBdr>
        </w:div>
        <w:div w:id="1242179326">
          <w:marLeft w:val="0"/>
          <w:marRight w:val="0"/>
          <w:marTop w:val="0"/>
          <w:marBottom w:val="0"/>
          <w:divBdr>
            <w:top w:val="none" w:sz="0" w:space="0" w:color="auto"/>
            <w:left w:val="none" w:sz="0" w:space="0" w:color="auto"/>
            <w:bottom w:val="none" w:sz="0" w:space="0" w:color="auto"/>
            <w:right w:val="none" w:sz="0" w:space="0" w:color="auto"/>
          </w:divBdr>
        </w:div>
        <w:div w:id="1316569679">
          <w:marLeft w:val="0"/>
          <w:marRight w:val="0"/>
          <w:marTop w:val="0"/>
          <w:marBottom w:val="0"/>
          <w:divBdr>
            <w:top w:val="none" w:sz="0" w:space="0" w:color="auto"/>
            <w:left w:val="none" w:sz="0" w:space="0" w:color="auto"/>
            <w:bottom w:val="none" w:sz="0" w:space="0" w:color="auto"/>
            <w:right w:val="none" w:sz="0" w:space="0" w:color="auto"/>
          </w:divBdr>
        </w:div>
        <w:div w:id="1325551253">
          <w:marLeft w:val="0"/>
          <w:marRight w:val="0"/>
          <w:marTop w:val="0"/>
          <w:marBottom w:val="0"/>
          <w:divBdr>
            <w:top w:val="none" w:sz="0" w:space="0" w:color="auto"/>
            <w:left w:val="none" w:sz="0" w:space="0" w:color="auto"/>
            <w:bottom w:val="none" w:sz="0" w:space="0" w:color="auto"/>
            <w:right w:val="none" w:sz="0" w:space="0" w:color="auto"/>
          </w:divBdr>
        </w:div>
        <w:div w:id="1352337805">
          <w:marLeft w:val="0"/>
          <w:marRight w:val="0"/>
          <w:marTop w:val="0"/>
          <w:marBottom w:val="0"/>
          <w:divBdr>
            <w:top w:val="none" w:sz="0" w:space="0" w:color="auto"/>
            <w:left w:val="none" w:sz="0" w:space="0" w:color="auto"/>
            <w:bottom w:val="none" w:sz="0" w:space="0" w:color="auto"/>
            <w:right w:val="none" w:sz="0" w:space="0" w:color="auto"/>
          </w:divBdr>
        </w:div>
        <w:div w:id="1393819769">
          <w:marLeft w:val="0"/>
          <w:marRight w:val="0"/>
          <w:marTop w:val="0"/>
          <w:marBottom w:val="0"/>
          <w:divBdr>
            <w:top w:val="none" w:sz="0" w:space="0" w:color="auto"/>
            <w:left w:val="none" w:sz="0" w:space="0" w:color="auto"/>
            <w:bottom w:val="none" w:sz="0" w:space="0" w:color="auto"/>
            <w:right w:val="none" w:sz="0" w:space="0" w:color="auto"/>
          </w:divBdr>
        </w:div>
        <w:div w:id="1405761781">
          <w:marLeft w:val="0"/>
          <w:marRight w:val="0"/>
          <w:marTop w:val="0"/>
          <w:marBottom w:val="0"/>
          <w:divBdr>
            <w:top w:val="none" w:sz="0" w:space="0" w:color="auto"/>
            <w:left w:val="none" w:sz="0" w:space="0" w:color="auto"/>
            <w:bottom w:val="none" w:sz="0" w:space="0" w:color="auto"/>
            <w:right w:val="none" w:sz="0" w:space="0" w:color="auto"/>
          </w:divBdr>
        </w:div>
        <w:div w:id="1411468569">
          <w:marLeft w:val="0"/>
          <w:marRight w:val="0"/>
          <w:marTop w:val="0"/>
          <w:marBottom w:val="0"/>
          <w:divBdr>
            <w:top w:val="none" w:sz="0" w:space="0" w:color="auto"/>
            <w:left w:val="none" w:sz="0" w:space="0" w:color="auto"/>
            <w:bottom w:val="none" w:sz="0" w:space="0" w:color="auto"/>
            <w:right w:val="none" w:sz="0" w:space="0" w:color="auto"/>
          </w:divBdr>
        </w:div>
        <w:div w:id="1429892147">
          <w:marLeft w:val="0"/>
          <w:marRight w:val="0"/>
          <w:marTop w:val="0"/>
          <w:marBottom w:val="0"/>
          <w:divBdr>
            <w:top w:val="none" w:sz="0" w:space="0" w:color="auto"/>
            <w:left w:val="none" w:sz="0" w:space="0" w:color="auto"/>
            <w:bottom w:val="none" w:sz="0" w:space="0" w:color="auto"/>
            <w:right w:val="none" w:sz="0" w:space="0" w:color="auto"/>
          </w:divBdr>
        </w:div>
        <w:div w:id="1430933700">
          <w:marLeft w:val="0"/>
          <w:marRight w:val="0"/>
          <w:marTop w:val="0"/>
          <w:marBottom w:val="0"/>
          <w:divBdr>
            <w:top w:val="none" w:sz="0" w:space="0" w:color="auto"/>
            <w:left w:val="none" w:sz="0" w:space="0" w:color="auto"/>
            <w:bottom w:val="none" w:sz="0" w:space="0" w:color="auto"/>
            <w:right w:val="none" w:sz="0" w:space="0" w:color="auto"/>
          </w:divBdr>
        </w:div>
        <w:div w:id="1450276148">
          <w:marLeft w:val="0"/>
          <w:marRight w:val="0"/>
          <w:marTop w:val="0"/>
          <w:marBottom w:val="0"/>
          <w:divBdr>
            <w:top w:val="none" w:sz="0" w:space="0" w:color="auto"/>
            <w:left w:val="none" w:sz="0" w:space="0" w:color="auto"/>
            <w:bottom w:val="none" w:sz="0" w:space="0" w:color="auto"/>
            <w:right w:val="none" w:sz="0" w:space="0" w:color="auto"/>
          </w:divBdr>
        </w:div>
        <w:div w:id="1480927201">
          <w:marLeft w:val="0"/>
          <w:marRight w:val="0"/>
          <w:marTop w:val="0"/>
          <w:marBottom w:val="0"/>
          <w:divBdr>
            <w:top w:val="none" w:sz="0" w:space="0" w:color="auto"/>
            <w:left w:val="none" w:sz="0" w:space="0" w:color="auto"/>
            <w:bottom w:val="none" w:sz="0" w:space="0" w:color="auto"/>
            <w:right w:val="none" w:sz="0" w:space="0" w:color="auto"/>
          </w:divBdr>
        </w:div>
        <w:div w:id="1483935420">
          <w:marLeft w:val="0"/>
          <w:marRight w:val="0"/>
          <w:marTop w:val="0"/>
          <w:marBottom w:val="0"/>
          <w:divBdr>
            <w:top w:val="none" w:sz="0" w:space="0" w:color="auto"/>
            <w:left w:val="none" w:sz="0" w:space="0" w:color="auto"/>
            <w:bottom w:val="none" w:sz="0" w:space="0" w:color="auto"/>
            <w:right w:val="none" w:sz="0" w:space="0" w:color="auto"/>
          </w:divBdr>
        </w:div>
        <w:div w:id="1486628087">
          <w:marLeft w:val="0"/>
          <w:marRight w:val="0"/>
          <w:marTop w:val="0"/>
          <w:marBottom w:val="0"/>
          <w:divBdr>
            <w:top w:val="none" w:sz="0" w:space="0" w:color="auto"/>
            <w:left w:val="none" w:sz="0" w:space="0" w:color="auto"/>
            <w:bottom w:val="none" w:sz="0" w:space="0" w:color="auto"/>
            <w:right w:val="none" w:sz="0" w:space="0" w:color="auto"/>
          </w:divBdr>
        </w:div>
        <w:div w:id="1505319352">
          <w:marLeft w:val="0"/>
          <w:marRight w:val="0"/>
          <w:marTop w:val="0"/>
          <w:marBottom w:val="0"/>
          <w:divBdr>
            <w:top w:val="none" w:sz="0" w:space="0" w:color="auto"/>
            <w:left w:val="none" w:sz="0" w:space="0" w:color="auto"/>
            <w:bottom w:val="none" w:sz="0" w:space="0" w:color="auto"/>
            <w:right w:val="none" w:sz="0" w:space="0" w:color="auto"/>
          </w:divBdr>
        </w:div>
        <w:div w:id="1574974061">
          <w:marLeft w:val="0"/>
          <w:marRight w:val="0"/>
          <w:marTop w:val="0"/>
          <w:marBottom w:val="0"/>
          <w:divBdr>
            <w:top w:val="none" w:sz="0" w:space="0" w:color="auto"/>
            <w:left w:val="none" w:sz="0" w:space="0" w:color="auto"/>
            <w:bottom w:val="none" w:sz="0" w:space="0" w:color="auto"/>
            <w:right w:val="none" w:sz="0" w:space="0" w:color="auto"/>
          </w:divBdr>
        </w:div>
        <w:div w:id="1593079413">
          <w:marLeft w:val="0"/>
          <w:marRight w:val="0"/>
          <w:marTop w:val="0"/>
          <w:marBottom w:val="0"/>
          <w:divBdr>
            <w:top w:val="none" w:sz="0" w:space="0" w:color="auto"/>
            <w:left w:val="none" w:sz="0" w:space="0" w:color="auto"/>
            <w:bottom w:val="none" w:sz="0" w:space="0" w:color="auto"/>
            <w:right w:val="none" w:sz="0" w:space="0" w:color="auto"/>
          </w:divBdr>
        </w:div>
        <w:div w:id="1605071558">
          <w:marLeft w:val="0"/>
          <w:marRight w:val="0"/>
          <w:marTop w:val="0"/>
          <w:marBottom w:val="0"/>
          <w:divBdr>
            <w:top w:val="none" w:sz="0" w:space="0" w:color="auto"/>
            <w:left w:val="none" w:sz="0" w:space="0" w:color="auto"/>
            <w:bottom w:val="none" w:sz="0" w:space="0" w:color="auto"/>
            <w:right w:val="none" w:sz="0" w:space="0" w:color="auto"/>
          </w:divBdr>
        </w:div>
        <w:div w:id="1608733407">
          <w:marLeft w:val="0"/>
          <w:marRight w:val="0"/>
          <w:marTop w:val="0"/>
          <w:marBottom w:val="0"/>
          <w:divBdr>
            <w:top w:val="none" w:sz="0" w:space="0" w:color="auto"/>
            <w:left w:val="none" w:sz="0" w:space="0" w:color="auto"/>
            <w:bottom w:val="none" w:sz="0" w:space="0" w:color="auto"/>
            <w:right w:val="none" w:sz="0" w:space="0" w:color="auto"/>
          </w:divBdr>
        </w:div>
        <w:div w:id="1609198189">
          <w:marLeft w:val="0"/>
          <w:marRight w:val="0"/>
          <w:marTop w:val="0"/>
          <w:marBottom w:val="0"/>
          <w:divBdr>
            <w:top w:val="none" w:sz="0" w:space="0" w:color="auto"/>
            <w:left w:val="none" w:sz="0" w:space="0" w:color="auto"/>
            <w:bottom w:val="none" w:sz="0" w:space="0" w:color="auto"/>
            <w:right w:val="none" w:sz="0" w:space="0" w:color="auto"/>
          </w:divBdr>
        </w:div>
        <w:div w:id="1624581289">
          <w:marLeft w:val="0"/>
          <w:marRight w:val="0"/>
          <w:marTop w:val="0"/>
          <w:marBottom w:val="0"/>
          <w:divBdr>
            <w:top w:val="none" w:sz="0" w:space="0" w:color="auto"/>
            <w:left w:val="none" w:sz="0" w:space="0" w:color="auto"/>
            <w:bottom w:val="none" w:sz="0" w:space="0" w:color="auto"/>
            <w:right w:val="none" w:sz="0" w:space="0" w:color="auto"/>
          </w:divBdr>
        </w:div>
        <w:div w:id="1630470355">
          <w:marLeft w:val="0"/>
          <w:marRight w:val="0"/>
          <w:marTop w:val="0"/>
          <w:marBottom w:val="0"/>
          <w:divBdr>
            <w:top w:val="none" w:sz="0" w:space="0" w:color="auto"/>
            <w:left w:val="none" w:sz="0" w:space="0" w:color="auto"/>
            <w:bottom w:val="none" w:sz="0" w:space="0" w:color="auto"/>
            <w:right w:val="none" w:sz="0" w:space="0" w:color="auto"/>
          </w:divBdr>
        </w:div>
        <w:div w:id="1659533883">
          <w:marLeft w:val="0"/>
          <w:marRight w:val="0"/>
          <w:marTop w:val="0"/>
          <w:marBottom w:val="0"/>
          <w:divBdr>
            <w:top w:val="none" w:sz="0" w:space="0" w:color="auto"/>
            <w:left w:val="none" w:sz="0" w:space="0" w:color="auto"/>
            <w:bottom w:val="none" w:sz="0" w:space="0" w:color="auto"/>
            <w:right w:val="none" w:sz="0" w:space="0" w:color="auto"/>
          </w:divBdr>
        </w:div>
        <w:div w:id="1708332097">
          <w:marLeft w:val="0"/>
          <w:marRight w:val="0"/>
          <w:marTop w:val="0"/>
          <w:marBottom w:val="0"/>
          <w:divBdr>
            <w:top w:val="none" w:sz="0" w:space="0" w:color="auto"/>
            <w:left w:val="none" w:sz="0" w:space="0" w:color="auto"/>
            <w:bottom w:val="none" w:sz="0" w:space="0" w:color="auto"/>
            <w:right w:val="none" w:sz="0" w:space="0" w:color="auto"/>
          </w:divBdr>
        </w:div>
        <w:div w:id="1728651565">
          <w:marLeft w:val="0"/>
          <w:marRight w:val="0"/>
          <w:marTop w:val="0"/>
          <w:marBottom w:val="0"/>
          <w:divBdr>
            <w:top w:val="none" w:sz="0" w:space="0" w:color="auto"/>
            <w:left w:val="none" w:sz="0" w:space="0" w:color="auto"/>
            <w:bottom w:val="none" w:sz="0" w:space="0" w:color="auto"/>
            <w:right w:val="none" w:sz="0" w:space="0" w:color="auto"/>
          </w:divBdr>
        </w:div>
        <w:div w:id="1748573498">
          <w:marLeft w:val="0"/>
          <w:marRight w:val="0"/>
          <w:marTop w:val="0"/>
          <w:marBottom w:val="0"/>
          <w:divBdr>
            <w:top w:val="none" w:sz="0" w:space="0" w:color="auto"/>
            <w:left w:val="none" w:sz="0" w:space="0" w:color="auto"/>
            <w:bottom w:val="none" w:sz="0" w:space="0" w:color="auto"/>
            <w:right w:val="none" w:sz="0" w:space="0" w:color="auto"/>
          </w:divBdr>
        </w:div>
        <w:div w:id="1764034167">
          <w:marLeft w:val="0"/>
          <w:marRight w:val="0"/>
          <w:marTop w:val="0"/>
          <w:marBottom w:val="0"/>
          <w:divBdr>
            <w:top w:val="none" w:sz="0" w:space="0" w:color="auto"/>
            <w:left w:val="none" w:sz="0" w:space="0" w:color="auto"/>
            <w:bottom w:val="none" w:sz="0" w:space="0" w:color="auto"/>
            <w:right w:val="none" w:sz="0" w:space="0" w:color="auto"/>
          </w:divBdr>
        </w:div>
        <w:div w:id="1773435574">
          <w:marLeft w:val="0"/>
          <w:marRight w:val="0"/>
          <w:marTop w:val="0"/>
          <w:marBottom w:val="0"/>
          <w:divBdr>
            <w:top w:val="none" w:sz="0" w:space="0" w:color="auto"/>
            <w:left w:val="none" w:sz="0" w:space="0" w:color="auto"/>
            <w:bottom w:val="none" w:sz="0" w:space="0" w:color="auto"/>
            <w:right w:val="none" w:sz="0" w:space="0" w:color="auto"/>
          </w:divBdr>
        </w:div>
        <w:div w:id="1780179203">
          <w:marLeft w:val="0"/>
          <w:marRight w:val="0"/>
          <w:marTop w:val="0"/>
          <w:marBottom w:val="0"/>
          <w:divBdr>
            <w:top w:val="none" w:sz="0" w:space="0" w:color="auto"/>
            <w:left w:val="none" w:sz="0" w:space="0" w:color="auto"/>
            <w:bottom w:val="none" w:sz="0" w:space="0" w:color="auto"/>
            <w:right w:val="none" w:sz="0" w:space="0" w:color="auto"/>
          </w:divBdr>
        </w:div>
        <w:div w:id="1792241921">
          <w:marLeft w:val="0"/>
          <w:marRight w:val="0"/>
          <w:marTop w:val="0"/>
          <w:marBottom w:val="0"/>
          <w:divBdr>
            <w:top w:val="none" w:sz="0" w:space="0" w:color="auto"/>
            <w:left w:val="none" w:sz="0" w:space="0" w:color="auto"/>
            <w:bottom w:val="none" w:sz="0" w:space="0" w:color="auto"/>
            <w:right w:val="none" w:sz="0" w:space="0" w:color="auto"/>
          </w:divBdr>
        </w:div>
        <w:div w:id="1815171888">
          <w:marLeft w:val="0"/>
          <w:marRight w:val="0"/>
          <w:marTop w:val="0"/>
          <w:marBottom w:val="0"/>
          <w:divBdr>
            <w:top w:val="none" w:sz="0" w:space="0" w:color="auto"/>
            <w:left w:val="none" w:sz="0" w:space="0" w:color="auto"/>
            <w:bottom w:val="none" w:sz="0" w:space="0" w:color="auto"/>
            <w:right w:val="none" w:sz="0" w:space="0" w:color="auto"/>
          </w:divBdr>
        </w:div>
        <w:div w:id="1873155410">
          <w:marLeft w:val="0"/>
          <w:marRight w:val="0"/>
          <w:marTop w:val="0"/>
          <w:marBottom w:val="0"/>
          <w:divBdr>
            <w:top w:val="none" w:sz="0" w:space="0" w:color="auto"/>
            <w:left w:val="none" w:sz="0" w:space="0" w:color="auto"/>
            <w:bottom w:val="none" w:sz="0" w:space="0" w:color="auto"/>
            <w:right w:val="none" w:sz="0" w:space="0" w:color="auto"/>
          </w:divBdr>
        </w:div>
        <w:div w:id="1882130061">
          <w:marLeft w:val="0"/>
          <w:marRight w:val="0"/>
          <w:marTop w:val="0"/>
          <w:marBottom w:val="0"/>
          <w:divBdr>
            <w:top w:val="none" w:sz="0" w:space="0" w:color="auto"/>
            <w:left w:val="none" w:sz="0" w:space="0" w:color="auto"/>
            <w:bottom w:val="none" w:sz="0" w:space="0" w:color="auto"/>
            <w:right w:val="none" w:sz="0" w:space="0" w:color="auto"/>
          </w:divBdr>
        </w:div>
        <w:div w:id="1893152102">
          <w:marLeft w:val="0"/>
          <w:marRight w:val="0"/>
          <w:marTop w:val="0"/>
          <w:marBottom w:val="0"/>
          <w:divBdr>
            <w:top w:val="none" w:sz="0" w:space="0" w:color="auto"/>
            <w:left w:val="none" w:sz="0" w:space="0" w:color="auto"/>
            <w:bottom w:val="none" w:sz="0" w:space="0" w:color="auto"/>
            <w:right w:val="none" w:sz="0" w:space="0" w:color="auto"/>
          </w:divBdr>
        </w:div>
        <w:div w:id="1924223062">
          <w:marLeft w:val="0"/>
          <w:marRight w:val="0"/>
          <w:marTop w:val="0"/>
          <w:marBottom w:val="0"/>
          <w:divBdr>
            <w:top w:val="none" w:sz="0" w:space="0" w:color="auto"/>
            <w:left w:val="none" w:sz="0" w:space="0" w:color="auto"/>
            <w:bottom w:val="none" w:sz="0" w:space="0" w:color="auto"/>
            <w:right w:val="none" w:sz="0" w:space="0" w:color="auto"/>
          </w:divBdr>
        </w:div>
        <w:div w:id="1989240371">
          <w:marLeft w:val="0"/>
          <w:marRight w:val="0"/>
          <w:marTop w:val="0"/>
          <w:marBottom w:val="0"/>
          <w:divBdr>
            <w:top w:val="none" w:sz="0" w:space="0" w:color="auto"/>
            <w:left w:val="none" w:sz="0" w:space="0" w:color="auto"/>
            <w:bottom w:val="none" w:sz="0" w:space="0" w:color="auto"/>
            <w:right w:val="none" w:sz="0" w:space="0" w:color="auto"/>
          </w:divBdr>
        </w:div>
        <w:div w:id="1994017712">
          <w:marLeft w:val="0"/>
          <w:marRight w:val="0"/>
          <w:marTop w:val="0"/>
          <w:marBottom w:val="0"/>
          <w:divBdr>
            <w:top w:val="none" w:sz="0" w:space="0" w:color="auto"/>
            <w:left w:val="none" w:sz="0" w:space="0" w:color="auto"/>
            <w:bottom w:val="none" w:sz="0" w:space="0" w:color="auto"/>
            <w:right w:val="none" w:sz="0" w:space="0" w:color="auto"/>
          </w:divBdr>
        </w:div>
        <w:div w:id="1996372408">
          <w:marLeft w:val="0"/>
          <w:marRight w:val="0"/>
          <w:marTop w:val="0"/>
          <w:marBottom w:val="0"/>
          <w:divBdr>
            <w:top w:val="none" w:sz="0" w:space="0" w:color="auto"/>
            <w:left w:val="none" w:sz="0" w:space="0" w:color="auto"/>
            <w:bottom w:val="none" w:sz="0" w:space="0" w:color="auto"/>
            <w:right w:val="none" w:sz="0" w:space="0" w:color="auto"/>
          </w:divBdr>
        </w:div>
        <w:div w:id="2017883687">
          <w:marLeft w:val="0"/>
          <w:marRight w:val="0"/>
          <w:marTop w:val="0"/>
          <w:marBottom w:val="0"/>
          <w:divBdr>
            <w:top w:val="none" w:sz="0" w:space="0" w:color="auto"/>
            <w:left w:val="none" w:sz="0" w:space="0" w:color="auto"/>
            <w:bottom w:val="none" w:sz="0" w:space="0" w:color="auto"/>
            <w:right w:val="none" w:sz="0" w:space="0" w:color="auto"/>
          </w:divBdr>
        </w:div>
        <w:div w:id="2026900355">
          <w:marLeft w:val="0"/>
          <w:marRight w:val="0"/>
          <w:marTop w:val="0"/>
          <w:marBottom w:val="0"/>
          <w:divBdr>
            <w:top w:val="none" w:sz="0" w:space="0" w:color="auto"/>
            <w:left w:val="none" w:sz="0" w:space="0" w:color="auto"/>
            <w:bottom w:val="none" w:sz="0" w:space="0" w:color="auto"/>
            <w:right w:val="none" w:sz="0" w:space="0" w:color="auto"/>
          </w:divBdr>
        </w:div>
        <w:div w:id="2087192100">
          <w:marLeft w:val="0"/>
          <w:marRight w:val="0"/>
          <w:marTop w:val="0"/>
          <w:marBottom w:val="0"/>
          <w:divBdr>
            <w:top w:val="none" w:sz="0" w:space="0" w:color="auto"/>
            <w:left w:val="none" w:sz="0" w:space="0" w:color="auto"/>
            <w:bottom w:val="none" w:sz="0" w:space="0" w:color="auto"/>
            <w:right w:val="none" w:sz="0" w:space="0" w:color="auto"/>
          </w:divBdr>
        </w:div>
        <w:div w:id="2107073637">
          <w:marLeft w:val="0"/>
          <w:marRight w:val="0"/>
          <w:marTop w:val="0"/>
          <w:marBottom w:val="0"/>
          <w:divBdr>
            <w:top w:val="none" w:sz="0" w:space="0" w:color="auto"/>
            <w:left w:val="none" w:sz="0" w:space="0" w:color="auto"/>
            <w:bottom w:val="none" w:sz="0" w:space="0" w:color="auto"/>
            <w:right w:val="none" w:sz="0" w:space="0" w:color="auto"/>
          </w:divBdr>
        </w:div>
        <w:div w:id="2135129916">
          <w:marLeft w:val="0"/>
          <w:marRight w:val="0"/>
          <w:marTop w:val="0"/>
          <w:marBottom w:val="0"/>
          <w:divBdr>
            <w:top w:val="none" w:sz="0" w:space="0" w:color="auto"/>
            <w:left w:val="none" w:sz="0" w:space="0" w:color="auto"/>
            <w:bottom w:val="none" w:sz="0" w:space="0" w:color="auto"/>
            <w:right w:val="none" w:sz="0" w:space="0" w:color="auto"/>
          </w:divBdr>
        </w:div>
        <w:div w:id="2135830156">
          <w:marLeft w:val="0"/>
          <w:marRight w:val="0"/>
          <w:marTop w:val="0"/>
          <w:marBottom w:val="0"/>
          <w:divBdr>
            <w:top w:val="none" w:sz="0" w:space="0" w:color="auto"/>
            <w:left w:val="none" w:sz="0" w:space="0" w:color="auto"/>
            <w:bottom w:val="none" w:sz="0" w:space="0" w:color="auto"/>
            <w:right w:val="none" w:sz="0" w:space="0" w:color="auto"/>
          </w:divBdr>
        </w:div>
      </w:divsChild>
    </w:div>
    <w:div w:id="1810976169">
      <w:bodyDiv w:val="1"/>
      <w:marLeft w:val="0"/>
      <w:marRight w:val="0"/>
      <w:marTop w:val="0"/>
      <w:marBottom w:val="0"/>
      <w:divBdr>
        <w:top w:val="none" w:sz="0" w:space="0" w:color="auto"/>
        <w:left w:val="none" w:sz="0" w:space="0" w:color="auto"/>
        <w:bottom w:val="none" w:sz="0" w:space="0" w:color="auto"/>
        <w:right w:val="none" w:sz="0" w:space="0" w:color="auto"/>
      </w:divBdr>
      <w:divsChild>
        <w:div w:id="1437291312">
          <w:marLeft w:val="0"/>
          <w:marRight w:val="0"/>
          <w:marTop w:val="0"/>
          <w:marBottom w:val="0"/>
          <w:divBdr>
            <w:top w:val="none" w:sz="0" w:space="0" w:color="auto"/>
            <w:left w:val="none" w:sz="0" w:space="0" w:color="auto"/>
            <w:bottom w:val="none" w:sz="0" w:space="0" w:color="auto"/>
            <w:right w:val="none" w:sz="0" w:space="0" w:color="auto"/>
          </w:divBdr>
        </w:div>
      </w:divsChild>
    </w:div>
    <w:div w:id="1816338485">
      <w:bodyDiv w:val="1"/>
      <w:marLeft w:val="0"/>
      <w:marRight w:val="0"/>
      <w:marTop w:val="0"/>
      <w:marBottom w:val="0"/>
      <w:divBdr>
        <w:top w:val="none" w:sz="0" w:space="0" w:color="auto"/>
        <w:left w:val="none" w:sz="0" w:space="0" w:color="auto"/>
        <w:bottom w:val="none" w:sz="0" w:space="0" w:color="auto"/>
        <w:right w:val="none" w:sz="0" w:space="0" w:color="auto"/>
      </w:divBdr>
      <w:divsChild>
        <w:div w:id="2057386348">
          <w:marLeft w:val="0"/>
          <w:marRight w:val="0"/>
          <w:marTop w:val="0"/>
          <w:marBottom w:val="0"/>
          <w:divBdr>
            <w:top w:val="none" w:sz="0" w:space="0" w:color="auto"/>
            <w:left w:val="none" w:sz="0" w:space="0" w:color="auto"/>
            <w:bottom w:val="none" w:sz="0" w:space="0" w:color="auto"/>
            <w:right w:val="none" w:sz="0" w:space="0" w:color="auto"/>
          </w:divBdr>
        </w:div>
      </w:divsChild>
    </w:div>
    <w:div w:id="1821800335">
      <w:bodyDiv w:val="1"/>
      <w:marLeft w:val="0"/>
      <w:marRight w:val="0"/>
      <w:marTop w:val="0"/>
      <w:marBottom w:val="0"/>
      <w:divBdr>
        <w:top w:val="none" w:sz="0" w:space="0" w:color="auto"/>
        <w:left w:val="none" w:sz="0" w:space="0" w:color="auto"/>
        <w:bottom w:val="none" w:sz="0" w:space="0" w:color="auto"/>
        <w:right w:val="none" w:sz="0" w:space="0" w:color="auto"/>
      </w:divBdr>
      <w:divsChild>
        <w:div w:id="1172797067">
          <w:marLeft w:val="0"/>
          <w:marRight w:val="0"/>
          <w:marTop w:val="0"/>
          <w:marBottom w:val="0"/>
          <w:divBdr>
            <w:top w:val="none" w:sz="0" w:space="0" w:color="auto"/>
            <w:left w:val="none" w:sz="0" w:space="0" w:color="auto"/>
            <w:bottom w:val="none" w:sz="0" w:space="0" w:color="auto"/>
            <w:right w:val="none" w:sz="0" w:space="0" w:color="auto"/>
          </w:divBdr>
        </w:div>
        <w:div w:id="1656226922">
          <w:marLeft w:val="0"/>
          <w:marRight w:val="0"/>
          <w:marTop w:val="0"/>
          <w:marBottom w:val="0"/>
          <w:divBdr>
            <w:top w:val="none" w:sz="0" w:space="0" w:color="auto"/>
            <w:left w:val="none" w:sz="0" w:space="0" w:color="auto"/>
            <w:bottom w:val="none" w:sz="0" w:space="0" w:color="auto"/>
            <w:right w:val="none" w:sz="0" w:space="0" w:color="auto"/>
          </w:divBdr>
        </w:div>
      </w:divsChild>
    </w:div>
    <w:div w:id="1859659690">
      <w:bodyDiv w:val="1"/>
      <w:marLeft w:val="0"/>
      <w:marRight w:val="0"/>
      <w:marTop w:val="0"/>
      <w:marBottom w:val="0"/>
      <w:divBdr>
        <w:top w:val="none" w:sz="0" w:space="0" w:color="auto"/>
        <w:left w:val="none" w:sz="0" w:space="0" w:color="auto"/>
        <w:bottom w:val="none" w:sz="0" w:space="0" w:color="auto"/>
        <w:right w:val="none" w:sz="0" w:space="0" w:color="auto"/>
      </w:divBdr>
      <w:divsChild>
        <w:div w:id="407463394">
          <w:marLeft w:val="0"/>
          <w:marRight w:val="0"/>
          <w:marTop w:val="0"/>
          <w:marBottom w:val="0"/>
          <w:divBdr>
            <w:top w:val="none" w:sz="0" w:space="0" w:color="auto"/>
            <w:left w:val="none" w:sz="0" w:space="0" w:color="auto"/>
            <w:bottom w:val="none" w:sz="0" w:space="0" w:color="auto"/>
            <w:right w:val="none" w:sz="0" w:space="0" w:color="auto"/>
          </w:divBdr>
        </w:div>
        <w:div w:id="960453695">
          <w:marLeft w:val="0"/>
          <w:marRight w:val="0"/>
          <w:marTop w:val="0"/>
          <w:marBottom w:val="0"/>
          <w:divBdr>
            <w:top w:val="none" w:sz="0" w:space="0" w:color="auto"/>
            <w:left w:val="none" w:sz="0" w:space="0" w:color="auto"/>
            <w:bottom w:val="none" w:sz="0" w:space="0" w:color="auto"/>
            <w:right w:val="none" w:sz="0" w:space="0" w:color="auto"/>
          </w:divBdr>
          <w:divsChild>
            <w:div w:id="74792586">
              <w:marLeft w:val="0"/>
              <w:marRight w:val="0"/>
              <w:marTop w:val="0"/>
              <w:marBottom w:val="0"/>
              <w:divBdr>
                <w:top w:val="none" w:sz="0" w:space="0" w:color="auto"/>
                <w:left w:val="none" w:sz="0" w:space="0" w:color="auto"/>
                <w:bottom w:val="none" w:sz="0" w:space="0" w:color="auto"/>
                <w:right w:val="none" w:sz="0" w:space="0" w:color="auto"/>
              </w:divBdr>
            </w:div>
            <w:div w:id="1450512547">
              <w:marLeft w:val="0"/>
              <w:marRight w:val="0"/>
              <w:marTop w:val="0"/>
              <w:marBottom w:val="0"/>
              <w:divBdr>
                <w:top w:val="none" w:sz="0" w:space="0" w:color="auto"/>
                <w:left w:val="none" w:sz="0" w:space="0" w:color="auto"/>
                <w:bottom w:val="none" w:sz="0" w:space="0" w:color="auto"/>
                <w:right w:val="none" w:sz="0" w:space="0" w:color="auto"/>
              </w:divBdr>
            </w:div>
            <w:div w:id="1704403570">
              <w:marLeft w:val="0"/>
              <w:marRight w:val="0"/>
              <w:marTop w:val="0"/>
              <w:marBottom w:val="0"/>
              <w:divBdr>
                <w:top w:val="none" w:sz="0" w:space="0" w:color="auto"/>
                <w:left w:val="none" w:sz="0" w:space="0" w:color="auto"/>
                <w:bottom w:val="none" w:sz="0" w:space="0" w:color="auto"/>
                <w:right w:val="none" w:sz="0" w:space="0" w:color="auto"/>
              </w:divBdr>
            </w:div>
            <w:div w:id="1907570858">
              <w:marLeft w:val="0"/>
              <w:marRight w:val="0"/>
              <w:marTop w:val="0"/>
              <w:marBottom w:val="0"/>
              <w:divBdr>
                <w:top w:val="none" w:sz="0" w:space="0" w:color="auto"/>
                <w:left w:val="none" w:sz="0" w:space="0" w:color="auto"/>
                <w:bottom w:val="none" w:sz="0" w:space="0" w:color="auto"/>
                <w:right w:val="none" w:sz="0" w:space="0" w:color="auto"/>
              </w:divBdr>
            </w:div>
          </w:divsChild>
        </w:div>
        <w:div w:id="1190098778">
          <w:marLeft w:val="0"/>
          <w:marRight w:val="0"/>
          <w:marTop w:val="0"/>
          <w:marBottom w:val="0"/>
          <w:divBdr>
            <w:top w:val="none" w:sz="0" w:space="0" w:color="auto"/>
            <w:left w:val="none" w:sz="0" w:space="0" w:color="auto"/>
            <w:bottom w:val="none" w:sz="0" w:space="0" w:color="auto"/>
            <w:right w:val="none" w:sz="0" w:space="0" w:color="auto"/>
          </w:divBdr>
        </w:div>
        <w:div w:id="1190952545">
          <w:marLeft w:val="0"/>
          <w:marRight w:val="0"/>
          <w:marTop w:val="0"/>
          <w:marBottom w:val="0"/>
          <w:divBdr>
            <w:top w:val="none" w:sz="0" w:space="0" w:color="auto"/>
            <w:left w:val="none" w:sz="0" w:space="0" w:color="auto"/>
            <w:bottom w:val="none" w:sz="0" w:space="0" w:color="auto"/>
            <w:right w:val="none" w:sz="0" w:space="0" w:color="auto"/>
          </w:divBdr>
        </w:div>
        <w:div w:id="1718969703">
          <w:marLeft w:val="0"/>
          <w:marRight w:val="0"/>
          <w:marTop w:val="0"/>
          <w:marBottom w:val="0"/>
          <w:divBdr>
            <w:top w:val="none" w:sz="0" w:space="0" w:color="auto"/>
            <w:left w:val="none" w:sz="0" w:space="0" w:color="auto"/>
            <w:bottom w:val="none" w:sz="0" w:space="0" w:color="auto"/>
            <w:right w:val="none" w:sz="0" w:space="0" w:color="auto"/>
          </w:divBdr>
          <w:divsChild>
            <w:div w:id="217976909">
              <w:marLeft w:val="0"/>
              <w:marRight w:val="0"/>
              <w:marTop w:val="0"/>
              <w:marBottom w:val="0"/>
              <w:divBdr>
                <w:top w:val="none" w:sz="0" w:space="0" w:color="auto"/>
                <w:left w:val="none" w:sz="0" w:space="0" w:color="auto"/>
                <w:bottom w:val="none" w:sz="0" w:space="0" w:color="auto"/>
                <w:right w:val="none" w:sz="0" w:space="0" w:color="auto"/>
              </w:divBdr>
            </w:div>
            <w:div w:id="1300067576">
              <w:marLeft w:val="0"/>
              <w:marRight w:val="0"/>
              <w:marTop w:val="0"/>
              <w:marBottom w:val="0"/>
              <w:divBdr>
                <w:top w:val="none" w:sz="0" w:space="0" w:color="auto"/>
                <w:left w:val="none" w:sz="0" w:space="0" w:color="auto"/>
                <w:bottom w:val="none" w:sz="0" w:space="0" w:color="auto"/>
                <w:right w:val="none" w:sz="0" w:space="0" w:color="auto"/>
              </w:divBdr>
            </w:div>
            <w:div w:id="1781295694">
              <w:marLeft w:val="0"/>
              <w:marRight w:val="0"/>
              <w:marTop w:val="0"/>
              <w:marBottom w:val="0"/>
              <w:divBdr>
                <w:top w:val="none" w:sz="0" w:space="0" w:color="auto"/>
                <w:left w:val="none" w:sz="0" w:space="0" w:color="auto"/>
                <w:bottom w:val="none" w:sz="0" w:space="0" w:color="auto"/>
                <w:right w:val="none" w:sz="0" w:space="0" w:color="auto"/>
              </w:divBdr>
            </w:div>
            <w:div w:id="1816486025">
              <w:marLeft w:val="0"/>
              <w:marRight w:val="0"/>
              <w:marTop w:val="0"/>
              <w:marBottom w:val="0"/>
              <w:divBdr>
                <w:top w:val="none" w:sz="0" w:space="0" w:color="auto"/>
                <w:left w:val="none" w:sz="0" w:space="0" w:color="auto"/>
                <w:bottom w:val="none" w:sz="0" w:space="0" w:color="auto"/>
                <w:right w:val="none" w:sz="0" w:space="0" w:color="auto"/>
              </w:divBdr>
            </w:div>
          </w:divsChild>
        </w:div>
        <w:div w:id="1894267715">
          <w:marLeft w:val="0"/>
          <w:marRight w:val="0"/>
          <w:marTop w:val="0"/>
          <w:marBottom w:val="0"/>
          <w:divBdr>
            <w:top w:val="none" w:sz="0" w:space="0" w:color="auto"/>
            <w:left w:val="none" w:sz="0" w:space="0" w:color="auto"/>
            <w:bottom w:val="none" w:sz="0" w:space="0" w:color="auto"/>
            <w:right w:val="none" w:sz="0" w:space="0" w:color="auto"/>
          </w:divBdr>
        </w:div>
      </w:divsChild>
    </w:div>
    <w:div w:id="1923564666">
      <w:bodyDiv w:val="1"/>
      <w:marLeft w:val="0"/>
      <w:marRight w:val="0"/>
      <w:marTop w:val="0"/>
      <w:marBottom w:val="0"/>
      <w:divBdr>
        <w:top w:val="none" w:sz="0" w:space="0" w:color="auto"/>
        <w:left w:val="none" w:sz="0" w:space="0" w:color="auto"/>
        <w:bottom w:val="none" w:sz="0" w:space="0" w:color="auto"/>
        <w:right w:val="none" w:sz="0" w:space="0" w:color="auto"/>
      </w:divBdr>
      <w:divsChild>
        <w:div w:id="1099329523">
          <w:marLeft w:val="0"/>
          <w:marRight w:val="0"/>
          <w:marTop w:val="0"/>
          <w:marBottom w:val="0"/>
          <w:divBdr>
            <w:top w:val="none" w:sz="0" w:space="0" w:color="auto"/>
            <w:left w:val="none" w:sz="0" w:space="0" w:color="auto"/>
            <w:bottom w:val="none" w:sz="0" w:space="0" w:color="auto"/>
            <w:right w:val="none" w:sz="0" w:space="0" w:color="auto"/>
          </w:divBdr>
        </w:div>
      </w:divsChild>
    </w:div>
    <w:div w:id="1961644381">
      <w:bodyDiv w:val="1"/>
      <w:marLeft w:val="0"/>
      <w:marRight w:val="0"/>
      <w:marTop w:val="0"/>
      <w:marBottom w:val="0"/>
      <w:divBdr>
        <w:top w:val="none" w:sz="0" w:space="0" w:color="auto"/>
        <w:left w:val="none" w:sz="0" w:space="0" w:color="auto"/>
        <w:bottom w:val="none" w:sz="0" w:space="0" w:color="auto"/>
        <w:right w:val="none" w:sz="0" w:space="0" w:color="auto"/>
      </w:divBdr>
    </w:div>
    <w:div w:id="1964341920">
      <w:bodyDiv w:val="1"/>
      <w:marLeft w:val="0"/>
      <w:marRight w:val="0"/>
      <w:marTop w:val="0"/>
      <w:marBottom w:val="0"/>
      <w:divBdr>
        <w:top w:val="none" w:sz="0" w:space="0" w:color="auto"/>
        <w:left w:val="none" w:sz="0" w:space="0" w:color="auto"/>
        <w:bottom w:val="none" w:sz="0" w:space="0" w:color="auto"/>
        <w:right w:val="none" w:sz="0" w:space="0" w:color="auto"/>
      </w:divBdr>
      <w:divsChild>
        <w:div w:id="507140422">
          <w:marLeft w:val="0"/>
          <w:marRight w:val="0"/>
          <w:marTop w:val="0"/>
          <w:marBottom w:val="0"/>
          <w:divBdr>
            <w:top w:val="none" w:sz="0" w:space="0" w:color="auto"/>
            <w:left w:val="none" w:sz="0" w:space="0" w:color="auto"/>
            <w:bottom w:val="none" w:sz="0" w:space="0" w:color="auto"/>
            <w:right w:val="none" w:sz="0" w:space="0" w:color="auto"/>
          </w:divBdr>
        </w:div>
        <w:div w:id="904416419">
          <w:marLeft w:val="0"/>
          <w:marRight w:val="0"/>
          <w:marTop w:val="0"/>
          <w:marBottom w:val="0"/>
          <w:divBdr>
            <w:top w:val="none" w:sz="0" w:space="0" w:color="auto"/>
            <w:left w:val="none" w:sz="0" w:space="0" w:color="auto"/>
            <w:bottom w:val="none" w:sz="0" w:space="0" w:color="auto"/>
            <w:right w:val="none" w:sz="0" w:space="0" w:color="auto"/>
          </w:divBdr>
        </w:div>
        <w:div w:id="1669482541">
          <w:marLeft w:val="0"/>
          <w:marRight w:val="0"/>
          <w:marTop w:val="0"/>
          <w:marBottom w:val="0"/>
          <w:divBdr>
            <w:top w:val="none" w:sz="0" w:space="0" w:color="auto"/>
            <w:left w:val="none" w:sz="0" w:space="0" w:color="auto"/>
            <w:bottom w:val="none" w:sz="0" w:space="0" w:color="auto"/>
            <w:right w:val="none" w:sz="0" w:space="0" w:color="auto"/>
          </w:divBdr>
        </w:div>
      </w:divsChild>
    </w:div>
    <w:div w:id="1979803004">
      <w:bodyDiv w:val="1"/>
      <w:marLeft w:val="0"/>
      <w:marRight w:val="0"/>
      <w:marTop w:val="0"/>
      <w:marBottom w:val="0"/>
      <w:divBdr>
        <w:top w:val="none" w:sz="0" w:space="0" w:color="auto"/>
        <w:left w:val="none" w:sz="0" w:space="0" w:color="auto"/>
        <w:bottom w:val="none" w:sz="0" w:space="0" w:color="auto"/>
        <w:right w:val="none" w:sz="0" w:space="0" w:color="auto"/>
      </w:divBdr>
      <w:divsChild>
        <w:div w:id="680937222">
          <w:marLeft w:val="547"/>
          <w:marRight w:val="0"/>
          <w:marTop w:val="0"/>
          <w:marBottom w:val="0"/>
          <w:divBdr>
            <w:top w:val="none" w:sz="0" w:space="0" w:color="auto"/>
            <w:left w:val="none" w:sz="0" w:space="0" w:color="auto"/>
            <w:bottom w:val="none" w:sz="0" w:space="0" w:color="auto"/>
            <w:right w:val="none" w:sz="0" w:space="0" w:color="auto"/>
          </w:divBdr>
        </w:div>
        <w:div w:id="889076904">
          <w:marLeft w:val="547"/>
          <w:marRight w:val="0"/>
          <w:marTop w:val="0"/>
          <w:marBottom w:val="0"/>
          <w:divBdr>
            <w:top w:val="none" w:sz="0" w:space="0" w:color="auto"/>
            <w:left w:val="none" w:sz="0" w:space="0" w:color="auto"/>
            <w:bottom w:val="none" w:sz="0" w:space="0" w:color="auto"/>
            <w:right w:val="none" w:sz="0" w:space="0" w:color="auto"/>
          </w:divBdr>
        </w:div>
        <w:div w:id="1044983392">
          <w:marLeft w:val="1080"/>
          <w:marRight w:val="0"/>
          <w:marTop w:val="0"/>
          <w:marBottom w:val="0"/>
          <w:divBdr>
            <w:top w:val="none" w:sz="0" w:space="0" w:color="auto"/>
            <w:left w:val="none" w:sz="0" w:space="0" w:color="auto"/>
            <w:bottom w:val="none" w:sz="0" w:space="0" w:color="auto"/>
            <w:right w:val="none" w:sz="0" w:space="0" w:color="auto"/>
          </w:divBdr>
        </w:div>
        <w:div w:id="1112555699">
          <w:marLeft w:val="547"/>
          <w:marRight w:val="0"/>
          <w:marTop w:val="0"/>
          <w:marBottom w:val="0"/>
          <w:divBdr>
            <w:top w:val="none" w:sz="0" w:space="0" w:color="auto"/>
            <w:left w:val="none" w:sz="0" w:space="0" w:color="auto"/>
            <w:bottom w:val="none" w:sz="0" w:space="0" w:color="auto"/>
            <w:right w:val="none" w:sz="0" w:space="0" w:color="auto"/>
          </w:divBdr>
        </w:div>
        <w:div w:id="1408959322">
          <w:marLeft w:val="1080"/>
          <w:marRight w:val="0"/>
          <w:marTop w:val="0"/>
          <w:marBottom w:val="0"/>
          <w:divBdr>
            <w:top w:val="none" w:sz="0" w:space="0" w:color="auto"/>
            <w:left w:val="none" w:sz="0" w:space="0" w:color="auto"/>
            <w:bottom w:val="none" w:sz="0" w:space="0" w:color="auto"/>
            <w:right w:val="none" w:sz="0" w:space="0" w:color="auto"/>
          </w:divBdr>
        </w:div>
        <w:div w:id="1441678134">
          <w:marLeft w:val="547"/>
          <w:marRight w:val="0"/>
          <w:marTop w:val="0"/>
          <w:marBottom w:val="0"/>
          <w:divBdr>
            <w:top w:val="none" w:sz="0" w:space="0" w:color="auto"/>
            <w:left w:val="none" w:sz="0" w:space="0" w:color="auto"/>
            <w:bottom w:val="none" w:sz="0" w:space="0" w:color="auto"/>
            <w:right w:val="none" w:sz="0" w:space="0" w:color="auto"/>
          </w:divBdr>
        </w:div>
        <w:div w:id="1452824979">
          <w:marLeft w:val="547"/>
          <w:marRight w:val="0"/>
          <w:marTop w:val="0"/>
          <w:marBottom w:val="0"/>
          <w:divBdr>
            <w:top w:val="none" w:sz="0" w:space="0" w:color="auto"/>
            <w:left w:val="none" w:sz="0" w:space="0" w:color="auto"/>
            <w:bottom w:val="none" w:sz="0" w:space="0" w:color="auto"/>
            <w:right w:val="none" w:sz="0" w:space="0" w:color="auto"/>
          </w:divBdr>
        </w:div>
        <w:div w:id="2108963031">
          <w:marLeft w:val="1080"/>
          <w:marRight w:val="0"/>
          <w:marTop w:val="0"/>
          <w:marBottom w:val="0"/>
          <w:divBdr>
            <w:top w:val="none" w:sz="0" w:space="0" w:color="auto"/>
            <w:left w:val="none" w:sz="0" w:space="0" w:color="auto"/>
            <w:bottom w:val="none" w:sz="0" w:space="0" w:color="auto"/>
            <w:right w:val="none" w:sz="0" w:space="0" w:color="auto"/>
          </w:divBdr>
        </w:div>
      </w:divsChild>
    </w:div>
    <w:div w:id="1989436793">
      <w:bodyDiv w:val="1"/>
      <w:marLeft w:val="0"/>
      <w:marRight w:val="0"/>
      <w:marTop w:val="0"/>
      <w:marBottom w:val="0"/>
      <w:divBdr>
        <w:top w:val="none" w:sz="0" w:space="0" w:color="auto"/>
        <w:left w:val="none" w:sz="0" w:space="0" w:color="auto"/>
        <w:bottom w:val="none" w:sz="0" w:space="0" w:color="auto"/>
        <w:right w:val="none" w:sz="0" w:space="0" w:color="auto"/>
      </w:divBdr>
      <w:divsChild>
        <w:div w:id="65688818">
          <w:marLeft w:val="547"/>
          <w:marRight w:val="0"/>
          <w:marTop w:val="0"/>
          <w:marBottom w:val="120"/>
          <w:divBdr>
            <w:top w:val="none" w:sz="0" w:space="0" w:color="auto"/>
            <w:left w:val="none" w:sz="0" w:space="0" w:color="auto"/>
            <w:bottom w:val="none" w:sz="0" w:space="0" w:color="auto"/>
            <w:right w:val="none" w:sz="0" w:space="0" w:color="auto"/>
          </w:divBdr>
        </w:div>
        <w:div w:id="1592007054">
          <w:marLeft w:val="547"/>
          <w:marRight w:val="0"/>
          <w:marTop w:val="0"/>
          <w:marBottom w:val="120"/>
          <w:divBdr>
            <w:top w:val="none" w:sz="0" w:space="0" w:color="auto"/>
            <w:left w:val="none" w:sz="0" w:space="0" w:color="auto"/>
            <w:bottom w:val="none" w:sz="0" w:space="0" w:color="auto"/>
            <w:right w:val="none" w:sz="0" w:space="0" w:color="auto"/>
          </w:divBdr>
        </w:div>
      </w:divsChild>
    </w:div>
    <w:div w:id="2024159339">
      <w:bodyDiv w:val="1"/>
      <w:marLeft w:val="0"/>
      <w:marRight w:val="0"/>
      <w:marTop w:val="0"/>
      <w:marBottom w:val="0"/>
      <w:divBdr>
        <w:top w:val="none" w:sz="0" w:space="0" w:color="auto"/>
        <w:left w:val="none" w:sz="0" w:space="0" w:color="auto"/>
        <w:bottom w:val="none" w:sz="0" w:space="0" w:color="auto"/>
        <w:right w:val="none" w:sz="0" w:space="0" w:color="auto"/>
      </w:divBdr>
      <w:divsChild>
        <w:div w:id="499082927">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jpeg"/><Relationship Id="rId42" Type="http://schemas.openxmlformats.org/officeDocument/2006/relationships/image" Target="media/image23.png"/><Relationship Id="rId47" Type="http://schemas.openxmlformats.org/officeDocument/2006/relationships/image" Target="media/image28.emf"/><Relationship Id="rId63" Type="http://schemas.openxmlformats.org/officeDocument/2006/relationships/image" Target="media/image42.jpg"/><Relationship Id="rId68" Type="http://schemas.openxmlformats.org/officeDocument/2006/relationships/image" Target="media/image46.jp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5.jpg"/><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climatecommission.govt.nz/our-work/advice-to-government-topic/reviewing-new-zealands-nationally-determined-contribution-and-biogenic-methane/" TargetMode="External"/><Relationship Id="rId19" Type="http://schemas.openxmlformats.org/officeDocument/2006/relationships/customXml" Target="ink/ink1.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3.jpg"/><Relationship Id="rId69" Type="http://schemas.openxmlformats.org/officeDocument/2006/relationships/image" Target="media/image47.png"/><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image" Target="media/image49.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hyperlink" Target="https://www.climatecommission.govt.nz/our-work/advice-to-government-topic/reviewing-new-zealands-nationally-determined-contribution-and-biogenic-methane/" TargetMode="External"/><Relationship Id="rId20" Type="http://schemas.openxmlformats.org/officeDocument/2006/relationships/image" Target="media/image2.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1.jpeg"/><Relationship Id="rId70" Type="http://schemas.openxmlformats.org/officeDocument/2006/relationships/image" Target="cid:image001.png@01D6EF1A.D160F9B0" TargetMode="External"/><Relationship Id="rId75"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footer" Target="footer4.xml"/><Relationship Id="rId65" Type="http://schemas.openxmlformats.org/officeDocument/2006/relationships/image" Target="media/image44.JP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styles" Target="styles.xml"/><Relationship Id="rId71" Type="http://schemas.openxmlformats.org/officeDocument/2006/relationships/image" Target="media/image48.png"/></Relationships>
</file>

<file path=word/documenttasks/documenttasks1.xml><?xml version="1.0" encoding="utf-8"?>
<t:Tasks xmlns:t="http://schemas.microsoft.com/office/tasks/2019/documenttasks" xmlns:oel="http://schemas.microsoft.com/office/2019/extlst">
  <t:Task id="{D4A058F5-1BA3-4A5B-81D1-C78CFEE7A671}">
    <t:Anchor>
      <t:Comment id="874168012"/>
    </t:Anchor>
    <t:History>
      <t:Event id="{68EA180F-6E8F-44B7-A197-EFFA82FEC6B6}" time="2020-11-17T20:35:14Z">
        <t:Attribution userId="S::ceridwyn.roberts@climatecommission.govt.nz::0a85526d-e058-41e6-9060-a5eb7d2c2d64" userProvider="AD" userName="Ceridwyn Roberts"/>
        <t:Anchor>
          <t:Comment id="874168012"/>
        </t:Anchor>
        <t:Create/>
      </t:Event>
      <t:Event id="{0AD64083-6AF2-4CF1-A397-12FA5DFC8590}" time="2020-11-17T20:35:14Z">
        <t:Attribution userId="S::ceridwyn.roberts@climatecommission.govt.nz::0a85526d-e058-41e6-9060-a5eb7d2c2d64" userProvider="AD" userName="Ceridwyn Roberts"/>
        <t:Anchor>
          <t:Comment id="874168012"/>
        </t:Anchor>
        <t:Assign userId="S::Harriet.Palmer@climatecommission.govt.nz::2cdb0405-15bf-41db-87e2-ce042adf3c0c" userProvider="AD" userName="Harriet Palmer"/>
      </t:Event>
      <t:Event id="{52C9AAA0-0E0E-4E41-9CC4-3C87E5184680}" time="2020-11-17T20:35:14Z">
        <t:Attribution userId="S::ceridwyn.roberts@climatecommission.govt.nz::0a85526d-e058-41e6-9060-a5eb7d2c2d64" userProvider="AD" userName="Ceridwyn Roberts"/>
        <t:Anchor>
          <t:Comment id="874168012"/>
        </t:Anchor>
        <t:SetTitle title="@Harriet Palmer this needs a rewrite and I can't see it anymore"/>
      </t:Event>
    </t:History>
  </t:Task>
  <t:Task id="{C3106136-F8C3-4091-BC8F-E04032A71C81}">
    <t:Anchor>
      <t:Comment id="2108961536"/>
    </t:Anchor>
    <t:History>
      <t:Event id="{E41A5A7A-0BA5-46EC-AA91-BB70A63ED1CD}" time="2020-11-17T20:53:47Z">
        <t:Attribution userId="S::ceridwyn.roberts@climatecommission.govt.nz::0a85526d-e058-41e6-9060-a5eb7d2c2d64" userProvider="AD" userName="Ceridwyn Roberts"/>
        <t:Anchor>
          <t:Comment id="2108961536"/>
        </t:Anchor>
        <t:Create/>
      </t:Event>
      <t:Event id="{EB208EE7-52F5-4BF9-8ECF-F67BEE9FCE1B}" time="2020-11-17T20:53:47Z">
        <t:Attribution userId="S::ceridwyn.roberts@climatecommission.govt.nz::0a85526d-e058-41e6-9060-a5eb7d2c2d64" userProvider="AD" userName="Ceridwyn Roberts"/>
        <t:Anchor>
          <t:Comment id="2108961536"/>
        </t:Anchor>
        <t:Assign userId="S::Karen.Lavin@climatecommission.govt.nz::03c891a6-abe8-45a5-b5c1-45e84c8f8d75" userProvider="AD" userName="Karen Lavin"/>
      </t:Event>
      <t:Event id="{C29E96CD-1EB9-4F0C-A097-101ECB52891A}" time="2020-11-17T20:53:47Z">
        <t:Attribution userId="S::ceridwyn.roberts@climatecommission.govt.nz::0a85526d-e058-41e6-9060-a5eb7d2c2d64" userProvider="AD" userName="Ceridwyn Roberts"/>
        <t:Anchor>
          <t:Comment id="2108961536"/>
        </t:Anchor>
        <t:SetTitle title="@Karen Lavin you're going to write something for in here?"/>
      </t:Event>
    </t:History>
  </t:Task>
  <t:Task id="{1F108F5A-C83E-4311-ACB4-D25F493FBD42}">
    <t:Anchor>
      <t:Comment id="595193508"/>
    </t:Anchor>
    <t:History>
      <t:Event id="{634AF594-902F-40E2-9C9A-46832E98F405}" time="2020-12-08T23:33:44Z">
        <t:Attribution userId="S::tia.greenaway@climatecommission.govt.nz::587c3dd7-0a7b-4f4b-b07f-066999febdbe" userProvider="AD" userName="Tia Greenaway"/>
        <t:Anchor>
          <t:Comment id="971105937"/>
        </t:Anchor>
        <t:Create/>
      </t:Event>
      <t:Event id="{CB87DC28-6D7B-452F-998E-684C39C1498B}" time="2020-12-08T23:33:44Z">
        <t:Attribution userId="S::tia.greenaway@climatecommission.govt.nz::587c3dd7-0a7b-4f4b-b07f-066999febdbe" userProvider="AD" userName="Tia Greenaway"/>
        <t:Anchor>
          <t:Comment id="971105937"/>
        </t:Anchor>
        <t:Assign userId="S::Karen.Lavin@climatecommission.govt.nz::03c891a6-abe8-45a5-b5c1-45e84c8f8d75" userProvider="AD" userName="Karen Lavin"/>
      </t:Event>
      <t:Event id="{86B5E33A-667D-41C8-87E1-07E72A87D59C}" time="2020-12-08T23:33:44Z">
        <t:Attribution userId="S::tia.greenaway@climatecommission.govt.nz::587c3dd7-0a7b-4f4b-b07f-066999febdbe" userProvider="AD" userName="Tia Greenaway"/>
        <t:Anchor>
          <t:Comment id="971105937"/>
        </t:Anchor>
        <t:SetTitle title="@Karen Lavin I shared this text with Lisa on Monday. She is happy with this framing."/>
      </t:Event>
      <t:Event id="{187241D7-1BB0-4611-A0A9-23FB82F2940A}" time="2020-12-08T23:33:51Z">
        <t:Attribution userId="S::tia.greenaway@climatecommission.govt.nz::587c3dd7-0a7b-4f4b-b07f-066999febdbe" userProvider="AD" userName="Tia Greenaway"/>
        <t:Progress percentComplete="100"/>
      </t:Event>
    </t:History>
  </t:Task>
</t:Task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25T23:23:00.069"/>
    </inkml:context>
    <inkml:brush xml:id="br0">
      <inkml:brushProperty name="width" value="0.08583" units="cm"/>
      <inkml:brushProperty name="height" value="0.08583" units="cm"/>
    </inkml:brush>
  </inkml:definitions>
  <inkml:trace contextRef="#ctx0" brushRef="#br0">484 858 8497,'-1'-7'0,"-2"2"0,0 5 0,-3 5 0,1 5 0,0 0 0,-1 3 0,2 2 946,1-1-777,-3 6 0,1 0 44,-3 4 1,1 6 91,-1 1 292,0 10-324,-3 3 0,1 10-538,-3 9 0,1 6 475,6-31 0,-1 3 0,0 3 0,-1 0-37,0 3 1,0 1-976,-1-1 0,-1 1 764,0 4 1,0 2-1,-1-8 1,-1 0-321,2 2 1,0-1-1,0-3 1,0 0 91,-1 0 1,1-2 0,0-2 0,0-3-155,-11 35 1,2-11-100,4-10 1,-1-6 13,1-8 0,1-8-150,1-8 168,4-7 639,-5-7 1,4-13-325,0-12 0,2-12 172,3-18 0,2-4 0,3-12 564,3-6-564,1 1 0,0 31 0,0-2 0,4-36 0,-5 37 0,1 0-27,-2-1 0,2 0 0,-1-2 0,1-1 27,0 0 0,0-1 0,0 0 0,-1-1 14,3 2 0,-1 0 0,0-2 0,-1 0 12,2 0 1,-1 0 0,-1-3 0,2-1 40,0 0 1,1 1 0,-1-3 0,1 1 27,3 0 0,-1 0 0,-1 1 1,1 0 262,1 3 1,1 0-457,-1-1 0,0 0 188,2 2 0,0-1 0,0 0 0,0 2-11,1 0 1,0 0 0,0 3 0,1 1 295,15-31 1,-3 5 520,-2 12 0,-2 7-488,-1 12 1,-2 9-153,-3 11 0,0 8 255,-1 9 1,-1 12-434,0 15 0,-3 12 581,-3 17 1,-4 16-442,-3-30 1,1 1-1,-2 5 1,1 1-1149,-1 6 0,0 2 973,0 0 0,0 1 12,0 3 0,0 1 0,1-1 0,1-2-164,0 0 1,1 0-1,2-6 1,1-1 229,0-3 1,1-3 0,-1-7-1,3-3 86,9 29 0,2-15-703,3-12 145,4-8 245,1-12 0,3-3 261,-3-9 1,2-2-117,-1-6 1,-1-4 1327,1-4 0,-1-3-1461,3-5 1,-1-8-43,-1-2 0,1-8-45,-1-5 1,-2-2-445,-1-4 0,-3-1-175,-2-4 0,-1 1 272,-2-4 1,-4 5 182,1-3 1,-5 3 129,-2 4 1,-1 2 984,-5 5 0,2 8-801,-2 8 1,0 10-84,0 3 1,-2 10 275,-2 7 1,-1 7 435,-2 13 0,4 5 1048,-2 11 121,3 4-1045,0 7 0,0-2-294,0-2-564,0-1 307,3-10 1,1-4-1151,4-11 604,-1-3 333,5-11 0,0-4 50,4-5 0,-1-4-321,0-4 0,4-4-613,-1-7 1,0-7 320,-2-3 1,-1-5-103,1-3 1,-1-3 56,-2-2 248,1-4 489,-2 3 1,1 1 190,-3 7-408,-1 4 57,-5 8 972,0 4-466,-1 5-138,-2 7 0,3 7 158,-4 8 1,2 6 38,1 4 1,3 6 419,-1 5 0,2 0-353,1 2-331,0-2-57,-1 0 0,5-7-1046,1-4 552,1-4 247,-2-8-1027,6-2 791,-5-7 0,9-1 64,-3-5 1,1-3-118,-1-6 0,-1-8-109,-3 0 1,1-5-98,-1 1 0,1-3 277,-1 2 236,1 0-113,-3-2 0,-3 9 740,-1-1-458,-2 4 0,-1 7 616,-1 0-535,-4 6 1,4-2-55,-3 5 1,0 0-77,3 5 1,-3 1 676,4 4 17,-4 4-424,5-1 1,-4 6 470,2 2-469,2-2 1,-2 2-223,2-3 0,1-4-603,0-1 487,0-3-949,0 0 697,3-3 1,0-1 8,2-4-362,2-4 407,-3-4 0,3-2-116,1-3 16,-1 0 58,1-3 1,-3 0 355,0 0-101,0 0 0,-1 1 24,-1-1 0,-3 3 514,0 3-473,0 1 608,-4 1-466,0 4 0,-3 0 181,1 1-219,0 2 0,1-1 407,0 4 188,-2-1-390,6 6 1,-2-3 220,2 4-345,1 0-90,-1 0 0,2-1-515,-2-1 197,5-3 179,-4-3-821,7 0 591,-6 0 1,3 0 86,-2 0 1,-1 0-65,1 0 0,-4 0 102,-1 0 55,1 0 674,1 0-195,1 0 97,-3 0 92,1 0-155,-1 0-308,3 0 0,-2-1 29,0-1 1,1-3 4,-2-3 0,2-1 102,0-1 0,5-3-276,1-3 1,2 0-298,0-3 1,1 2 123,-1-1 0,-2 5-67,0 3 1,-2 4 368,2 3 0,-4 3-87,2 3 0,-3 5 1646,0 5-1132,0 6 1,0-4-333,-1 1 0,2-1-243,-2-4 1,5-4-660,1-5 528,1 0 0,6-11-1902,3-4 1,4-9 375,4-7 1629,1-9 0,-1 1 0,0-5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f12a4863-2e7e-439e-ac91-f44950423e7e">
      <UserInfo>
        <DisplayName>hmf</DisplayName>
        <AccountId>321</AccountId>
        <AccountType/>
      </UserInfo>
    </SharedWithUsers>
    <PraText1 xmlns="a9df0e0e-9b5b-47bc-81c1-d190dfb54f87" xsi:nil="true"/>
    <Activity xmlns="70761194-623b-4751-a0da-29ad6551f95e">Programme Management</Activity>
    <Function xmlns="70761194-623b-4751-a0da-29ad6551f95e" xsi:nil="true"/>
    <Year xmlns="70761194-623b-4751-a0da-29ad6551f95e" xsi:nil="true"/>
    <AggregationStatus xmlns="a9df0e0e-9b5b-47bc-81c1-d190dfb54f87">Normal</AggregationStatus>
    <CategoryName xmlns="70761194-623b-4751-a0da-29ad6551f95e" xsi:nil="true"/>
    <CategoryValue xmlns="70761194-623b-4751-a0da-29ad6551f95e" xsi:nil="true"/>
    <Narrative xmlns="a9df0e0e-9b5b-47bc-81c1-d190dfb54f87" xsi:nil="true"/>
    <LegacyMetadata xmlns="f12a4863-2e7e-439e-ac91-f44950423e7e" xsi:nil="true"/>
    <PraText5 xmlns="a9df0e0e-9b5b-47bc-81c1-d190dfb54f87" xsi:nil="true"/>
    <OTDocID xmlns="f12a4863-2e7e-439e-ac91-f44950423e7e" xsi:nil="true"/>
    <PRAType xmlns="70761194-623b-4751-a0da-29ad6551f95e" xsi:nil="true"/>
    <PraDate3 xmlns="a9df0e0e-9b5b-47bc-81c1-d190dfb54f87" xsi:nil="true"/>
    <PraDateTrigger xmlns="a9df0e0e-9b5b-47bc-81c1-d190dfb54f87" xsi:nil="true"/>
    <Project xmlns="70761194-623b-4751-a0da-29ad6551f95e" xsi:nil="true"/>
    <PraText4 xmlns="a9df0e0e-9b5b-47bc-81c1-d190dfb54f87" xsi:nil="true"/>
    <Subactivity xmlns="70761194-623b-4751-a0da-29ad6551f95e">Publications</Subactivity>
    <PraDateDisposal xmlns="a9df0e0e-9b5b-47bc-81c1-d190dfb54f87" xsi:nil="true"/>
    <PraDate2 xmlns="a9df0e0e-9b5b-47bc-81c1-d190dfb54f87" xsi:nil="true"/>
    <Category xmlns="70761194-623b-4751-a0da-29ad6551f95e" xsi:nil="true"/>
    <PraText3 xmlns="a9df0e0e-9b5b-47bc-81c1-d190dfb54f87" xsi:nil="true"/>
    <DocumentType xmlns="02bffcbe-7cf8-467d-a91b-a3e0dbcae01e" xsi:nil="true"/>
    <AggregationNarrative xmlns="70761194-623b-4751-a0da-29ad6551f95e" xsi:nil="true"/>
    <Case xmlns="70761194-623b-4751-a0da-29ad6551f95e">Emissions Budget</Case>
    <OTModifiedBy xmlns="f12a4863-2e7e-439e-ac91-f44950423e7e" xsi:nil="true"/>
    <PraDate1 xmlns="a9df0e0e-9b5b-47bc-81c1-d190dfb54f87" xsi:nil="true"/>
    <PraText2 xmlns="a9df0e0e-9b5b-47bc-81c1-d190dfb54f87" xsi:nil="true"/>
    <OTCreatedBy xmlns="f12a4863-2e7e-439e-ac91-f44950423e7e" xsi:nil="true"/>
    <_dlc_DocId xmlns="f12a4863-2e7e-439e-ac91-f44950423e7e">C6EMVEZ3DK3F-1285332429-878</_dlc_DocId>
    <_dlc_DocIdUrl xmlns="f12a4863-2e7e-439e-ac91-f44950423e7e">
      <Url>https://climatechangegovt.sharepoint.com/sites/EmissionsBudget/_layouts/15/DocIdRedir.aspx?ID=C6EMVEZ3DK3F-1285332429-878</Url>
      <Description>C6EMVEZ3DK3F-1285332429-878</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ord" ma:contentTypeID="0x010100FC40A03624D64143884E6213E5F3CCAE006FB13822BD6B144487DCC2AD10084590" ma:contentTypeVersion="44" ma:contentTypeDescription="Create a new document." ma:contentTypeScope="" ma:versionID="19bc09712ac880211e57d7d1020611a3">
  <xsd:schema xmlns:xsd="http://www.w3.org/2001/XMLSchema" xmlns:xs="http://www.w3.org/2001/XMLSchema" xmlns:p="http://schemas.microsoft.com/office/2006/metadata/properties" xmlns:ns2="02bffcbe-7cf8-467d-a91b-a3e0dbcae01e" xmlns:ns3="a9df0e0e-9b5b-47bc-81c1-d190dfb54f87" xmlns:ns4="70761194-623b-4751-a0da-29ad6551f95e" xmlns:ns5="f12a4863-2e7e-439e-ac91-f44950423e7e" xmlns:ns6="edb3859f-5c2e-4246-864e-2753d151721f" targetNamespace="http://schemas.microsoft.com/office/2006/metadata/properties" ma:root="true" ma:fieldsID="46627e534af807f9bd6a878d87adcdae" ns2:_="" ns3:_="" ns4:_="" ns5:_="" ns6:_="">
    <xsd:import namespace="02bffcbe-7cf8-467d-a91b-a3e0dbcae01e"/>
    <xsd:import namespace="a9df0e0e-9b5b-47bc-81c1-d190dfb54f87"/>
    <xsd:import namespace="70761194-623b-4751-a0da-29ad6551f95e"/>
    <xsd:import namespace="f12a4863-2e7e-439e-ac91-f44950423e7e"/>
    <xsd:import namespace="edb3859f-5c2e-4246-864e-2753d151721f"/>
    <xsd:element name="properties">
      <xsd:complexType>
        <xsd:sequence>
          <xsd:element name="documentManagement">
            <xsd:complexType>
              <xsd:all>
                <xsd:element ref="ns2:DocumentType" minOccurs="0"/>
                <xsd:element ref="ns3:Narrative" minOccurs="0"/>
                <xsd:element ref="ns4:PRAType" minOccurs="0"/>
                <xsd:element ref="ns3:AggregationStatus" minOccurs="0"/>
                <xsd:element ref="ns3:PraText1" minOccurs="0"/>
                <xsd:element ref="ns3:PraText2" minOccurs="0"/>
                <xsd:element ref="ns3:PraText3" minOccurs="0"/>
                <xsd:element ref="ns3:PraText4" minOccurs="0"/>
                <xsd:element ref="ns3:PraText5" minOccurs="0"/>
                <xsd:element ref="ns3:PraDate1" minOccurs="0"/>
                <xsd:element ref="ns3:PraDate2" minOccurs="0"/>
                <xsd:element ref="ns3:PraDate3" minOccurs="0"/>
                <xsd:element ref="ns3:PraDateTrigger" minOccurs="0"/>
                <xsd:element ref="ns3:PraDateDisposal" minOccurs="0"/>
                <xsd:element ref="ns4:Activity" minOccurs="0"/>
                <xsd:element ref="ns4:Function" minOccurs="0"/>
                <xsd:element ref="ns4:Subactivity" minOccurs="0"/>
                <xsd:element ref="ns4:Year" minOccurs="0"/>
                <xsd:element ref="ns4:Project" minOccurs="0"/>
                <xsd:element ref="ns4:AggregationNarrative" minOccurs="0"/>
                <xsd:element ref="ns4:Case" minOccurs="0"/>
                <xsd:element ref="ns4:CategoryName" minOccurs="0"/>
                <xsd:element ref="ns4:CategoryValue" minOccurs="0"/>
                <xsd:element ref="ns4:Category" minOccurs="0"/>
                <xsd:element ref="ns5:OTDocID" minOccurs="0"/>
                <xsd:element ref="ns5:OTModifiedBy" minOccurs="0"/>
                <xsd:element ref="ns5:OTCreatedBy" minOccurs="0"/>
                <xsd:element ref="ns5:LegacyMetadata" minOccurs="0"/>
                <xsd:element ref="ns6:MediaServiceMetadata" minOccurs="0"/>
                <xsd:element ref="ns6:MediaServiceFastMetadata" minOccurs="0"/>
                <xsd:element ref="ns6:MediaServiceAutoKeyPoints" minOccurs="0"/>
                <xsd:element ref="ns6:MediaServiceKeyPoints" minOccurs="0"/>
                <xsd:element ref="ns5:_dlc_DocId" minOccurs="0"/>
                <xsd:element ref="ns5:_dlc_DocIdUrl" minOccurs="0"/>
                <xsd:element ref="ns5:_dlc_DocIdPersistId" minOccurs="0"/>
                <xsd:element ref="ns5:SharedWithUsers" minOccurs="0"/>
                <xsd:element ref="ns5:SharedWithDetails" minOccurs="0"/>
                <xsd:element ref="ns6:MediaServiceDateTaken" minOccurs="0"/>
                <xsd:element ref="ns6:MediaServiceAutoTags" minOccurs="0"/>
                <xsd:element ref="ns6:MediaServiceLocation" minOccurs="0"/>
                <xsd:element ref="ns6:MediaServiceOCR" minOccurs="0"/>
                <xsd:element ref="ns6:MediaServiceGenerationTime" minOccurs="0"/>
                <xsd:element ref="ns6: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bffcbe-7cf8-467d-a91b-a3e0dbcae01e" elementFormDefault="qualified">
    <xsd:import namespace="http://schemas.microsoft.com/office/2006/documentManagement/types"/>
    <xsd:import namespace="http://schemas.microsoft.com/office/infopath/2007/PartnerControls"/>
    <xsd:element name="DocumentType" ma:index="8" nillable="true" ma:displayName="Document Type" ma:description="Specify the document type to help refine search and to classify the document" ma:format="Dropdown" ma:internalName="DocumentType" ma:readOnly="false">
      <xsd:simpleType>
        <xsd:restriction base="dms:Choice">
          <xsd:enumeration value="APPLICATION, certificate, consent related"/>
          <xsd:enumeration value="CONTRACT, Variation, Agreement"/>
          <xsd:enumeration value="CORRESPONDENCE, Memo, Filenote, Email"/>
          <xsd:enumeration value="DRAWING, Plan, Map"/>
          <xsd:enumeration value="EMPLOYMENT related"/>
          <xsd:enumeration value="FINANCIAL related"/>
          <xsd:enumeration value="KNOWLEDGE article"/>
          <xsd:enumeration value="MEETING related"/>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schema>
  <xsd:schema xmlns:xsd="http://www.w3.org/2001/XMLSchema" xmlns:xs="http://www.w3.org/2001/XMLSchema" xmlns:dms="http://schemas.microsoft.com/office/2006/documentManagement/types" xmlns:pc="http://schemas.microsoft.com/office/infopath/2007/PartnerControls" targetNamespace="a9df0e0e-9b5b-47bc-81c1-d190dfb54f87" elementFormDefault="qualified">
    <xsd:import namespace="http://schemas.microsoft.com/office/2006/documentManagement/types"/>
    <xsd:import namespace="http://schemas.microsoft.com/office/infopath/2007/PartnerControls"/>
    <xsd:element name="Narrative" ma:index="9" nillable="true" ma:displayName="Narrative" ma:internalName="Narrative0" ma:readOnly="false">
      <xsd:simpleType>
        <xsd:restriction base="dms:Note">
          <xsd:maxLength value="255"/>
        </xsd:restriction>
      </xsd:simpleType>
    </xsd:element>
    <xsd:element name="AggregationStatus" ma:index="11" nillable="true" ma:displayName="Aggregation Status" ma:default="Normal" ma:format="Dropdown" ma:hidden="true" ma:internalName="AggregationStatus0"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PraText1" ma:index="12" nillable="true" ma:displayName="PRA Text 1" ma:hidden="true" ma:internalName="PraText10" ma:readOnly="false">
      <xsd:simpleType>
        <xsd:restriction base="dms:Text">
          <xsd:maxLength value="255"/>
        </xsd:restriction>
      </xsd:simpleType>
    </xsd:element>
    <xsd:element name="PraText2" ma:index="13" nillable="true" ma:displayName="PRA Text 2" ma:hidden="true" ma:internalName="PraText20" ma:readOnly="false">
      <xsd:simpleType>
        <xsd:restriction base="dms:Text">
          <xsd:maxLength value="255"/>
        </xsd:restriction>
      </xsd:simpleType>
    </xsd:element>
    <xsd:element name="PraText3" ma:index="14" nillable="true" ma:displayName="PRA Text 3" ma:hidden="true" ma:internalName="PraText30" ma:readOnly="false">
      <xsd:simpleType>
        <xsd:restriction base="dms:Text">
          <xsd:maxLength value="255"/>
        </xsd:restriction>
      </xsd:simpleType>
    </xsd:element>
    <xsd:element name="PraText4" ma:index="15" nillable="true" ma:displayName="PRA Text 4" ma:hidden="true" ma:internalName="PraText40" ma:readOnly="false">
      <xsd:simpleType>
        <xsd:restriction base="dms:Text">
          <xsd:maxLength value="255"/>
        </xsd:restriction>
      </xsd:simpleType>
    </xsd:element>
    <xsd:element name="PraText5" ma:index="16" nillable="true" ma:displayName="PRA Text 5" ma:hidden="true" ma:internalName="PraText50" ma:readOnly="false">
      <xsd:simpleType>
        <xsd:restriction base="dms:Text">
          <xsd:maxLength value="255"/>
        </xsd:restriction>
      </xsd:simpleType>
    </xsd:element>
    <xsd:element name="PraDate1" ma:index="17" nillable="true" ma:displayName="PRA Date 1" ma:format="DateTime" ma:hidden="true" ma:internalName="PraDate1" ma:readOnly="false">
      <xsd:simpleType>
        <xsd:restriction base="dms:DateTime"/>
      </xsd:simpleType>
    </xsd:element>
    <xsd:element name="PraDate2" ma:index="18" nillable="true" ma:displayName="PRA Date 2" ma:format="DateTime" ma:hidden="true" ma:internalName="PraDate2" ma:readOnly="false">
      <xsd:simpleType>
        <xsd:restriction base="dms:DateTime"/>
      </xsd:simpleType>
    </xsd:element>
    <xsd:element name="PraDate3" ma:index="19" nillable="true" ma:displayName="PRA Date 3" ma:format="DateTime" ma:hidden="true" ma:internalName="PraDate3" ma:readOnly="false">
      <xsd:simpleType>
        <xsd:restriction base="dms:DateTime"/>
      </xsd:simpleType>
    </xsd:element>
    <xsd:element name="PraDateTrigger" ma:index="20" nillable="true" ma:displayName="PRA Date Trigger" ma:format="DateTime" ma:hidden="true" ma:internalName="PraDateTrigger" ma:readOnly="false">
      <xsd:simpleType>
        <xsd:restriction base="dms:DateTime"/>
      </xsd:simpleType>
    </xsd:element>
    <xsd:element name="PraDateDisposal" ma:index="21" nillable="true" ma:displayName="PRA Date Disposal" ma:format="DateTime" ma:hidden="true" ma:internalName="PraDateDisposal0"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0761194-623b-4751-a0da-29ad6551f95e" elementFormDefault="qualified">
    <xsd:import namespace="http://schemas.microsoft.com/office/2006/documentManagement/types"/>
    <xsd:import namespace="http://schemas.microsoft.com/office/infopath/2007/PartnerControls"/>
    <xsd:element name="PRAType" ma:index="10" nillable="true" ma:displayName="PRA Type" ma:hidden="true" ma:internalName="PRAType" ma:readOnly="false">
      <xsd:simpleType>
        <xsd:restriction base="dms:Text">
          <xsd:maxLength value="255"/>
        </xsd:restriction>
      </xsd:simpleType>
    </xsd:element>
    <xsd:element name="Activity" ma:index="22" nillable="true" ma:displayName="Activity" ma:default="Programme Management" ma:format="Dropdown" ma:internalName="Activity">
      <xsd:simpleType>
        <xsd:union memberTypes="dms:Text">
          <xsd:simpleType>
            <xsd:restriction base="dms:Choice">
              <xsd:enumeration value="Programme Management"/>
            </xsd:restriction>
          </xsd:simpleType>
        </xsd:union>
      </xsd:simpleType>
    </xsd:element>
    <xsd:element name="Function" ma:index="23" nillable="true" ma:displayName="Function" ma:description="Programmes and Projects" ma:internalName="Function">
      <xsd:simpleType>
        <xsd:restriction base="dms:Text">
          <xsd:maxLength value="255"/>
        </xsd:restriction>
      </xsd:simpleType>
    </xsd:element>
    <xsd:element name="Subactivity" ma:index="24" nillable="true" ma:displayName="Subactivity" ma:default="Publications" ma:format="Dropdown" ma:internalName="Subactivity">
      <xsd:simpleType>
        <xsd:union memberTypes="dms:Text">
          <xsd:simpleType>
            <xsd:restriction base="dms:Choice">
              <xsd:enumeration value="Publications"/>
            </xsd:restriction>
          </xsd:simpleType>
        </xsd:union>
      </xsd:simpleType>
    </xsd:element>
    <xsd:element name="Year" ma:index="25" nillable="true" ma:displayName="Year" ma:format="Dropdown" ma:hidden="true" ma:internalName="Year" ma:readOnly="false">
      <xsd:simpleType>
        <xsd:restriction base="dms:Choice">
          <xsd:enumeration value="2019"/>
          <xsd:enumeration value="2020"/>
          <xsd:enumeration value="2021"/>
          <xsd:enumeration value="2022"/>
          <xsd:enumeration value="2023"/>
        </xsd:restriction>
      </xsd:simpleType>
    </xsd:element>
    <xsd:element name="Project" ma:index="26" nillable="true" ma:displayName="Project" ma:hidden="true" ma:internalName="Project" ma:readOnly="false">
      <xsd:simpleType>
        <xsd:restriction base="dms:Text">
          <xsd:maxLength value="255"/>
        </xsd:restriction>
      </xsd:simpleType>
    </xsd:element>
    <xsd:element name="AggregationNarrative" ma:index="27" nillable="true" ma:displayName="Aggregation Narrative" ma:hidden="true" ma:internalName="AggregationNarrative" ma:readOnly="false">
      <xsd:simpleType>
        <xsd:restriction base="dms:Text">
          <xsd:maxLength value="255"/>
        </xsd:restriction>
      </xsd:simpleType>
    </xsd:element>
    <xsd:element name="Case" ma:index="28" nillable="true" ma:displayName="Case" ma:default="Emissions Budget" ma:format="Dropdown" ma:internalName="Case">
      <xsd:simpleType>
        <xsd:restriction base="dms:Choice">
          <xsd:enumeration value="Emissions Budget"/>
        </xsd:restriction>
      </xsd:simpleType>
    </xsd:element>
    <xsd:element name="CategoryName" ma:index="29" nillable="true" ma:displayName="Category Name" ma:hidden="true" ma:internalName="CategoryName" ma:readOnly="false">
      <xsd:simpleType>
        <xsd:restriction base="dms:Text">
          <xsd:maxLength value="255"/>
        </xsd:restriction>
      </xsd:simpleType>
    </xsd:element>
    <xsd:element name="CategoryValue" ma:index="30" nillable="true" ma:displayName="Category Value" ma:hidden="true" ma:internalName="CategoryValue" ma:readOnly="false">
      <xsd:simpleType>
        <xsd:restriction base="dms:Text">
          <xsd:maxLength value="255"/>
        </xsd:restriction>
      </xsd:simpleType>
    </xsd:element>
    <xsd:element name="Category" ma:index="31" nillable="true" ma:displayName="Category" ma:hidden="true" ma:internalName="Categor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2a4863-2e7e-439e-ac91-f44950423e7e" elementFormDefault="qualified">
    <xsd:import namespace="http://schemas.microsoft.com/office/2006/documentManagement/types"/>
    <xsd:import namespace="http://schemas.microsoft.com/office/infopath/2007/PartnerControls"/>
    <xsd:element name="OTDocID" ma:index="32" nillable="true" ma:displayName="OTDocID" ma:internalName="OTDocID">
      <xsd:simpleType>
        <xsd:restriction base="dms:Text">
          <xsd:maxLength value="255"/>
        </xsd:restriction>
      </xsd:simpleType>
    </xsd:element>
    <xsd:element name="OTModifiedBy" ma:index="33" nillable="true" ma:displayName="OTModifiedBy" ma:internalName="OTModifiedBy">
      <xsd:simpleType>
        <xsd:restriction base="dms:Text">
          <xsd:maxLength value="255"/>
        </xsd:restriction>
      </xsd:simpleType>
    </xsd:element>
    <xsd:element name="OTCreatedBy" ma:index="34" nillable="true" ma:displayName="OTCreatedBy" ma:internalName="OTCreatedBy">
      <xsd:simpleType>
        <xsd:restriction base="dms:Text">
          <xsd:maxLength value="255"/>
        </xsd:restriction>
      </xsd:simpleType>
    </xsd:element>
    <xsd:element name="LegacyMetadata" ma:index="35" nillable="true" ma:displayName="LegacyMetadata" ma:internalName="LegacyMetadata">
      <xsd:simpleType>
        <xsd:restriction base="dms:Note">
          <xsd:maxLength value="255"/>
        </xsd:restriction>
      </xsd:simpleType>
    </xsd:element>
    <xsd:element name="_dlc_DocId" ma:index="40" nillable="true" ma:displayName="Document ID Value" ma:description="The value of the document ID assigned to this item." ma:internalName="_dlc_DocId" ma:readOnly="true">
      <xsd:simpleType>
        <xsd:restriction base="dms:Text"/>
      </xsd:simpleType>
    </xsd:element>
    <xsd:element name="_dlc_DocIdUrl" ma:index="4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2" nillable="true" ma:displayName="Persist ID" ma:description="Keep ID on add." ma:hidden="true" ma:internalName="_dlc_DocIdPersistId" ma:readOnly="true">
      <xsd:simpleType>
        <xsd:restriction base="dms:Boolean"/>
      </xsd:simpleType>
    </xsd:element>
    <xsd:element name="SharedWithUsers" ma:index="4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b3859f-5c2e-4246-864e-2753d151721f" elementFormDefault="qualified">
    <xsd:import namespace="http://schemas.microsoft.com/office/2006/documentManagement/types"/>
    <xsd:import namespace="http://schemas.microsoft.com/office/infopath/2007/PartnerControls"/>
    <xsd:element name="MediaServiceMetadata" ma:index="36" nillable="true" ma:displayName="MediaServiceMetadata" ma:hidden="true" ma:internalName="MediaServiceMetadata" ma:readOnly="true">
      <xsd:simpleType>
        <xsd:restriction base="dms:Note"/>
      </xsd:simpleType>
    </xsd:element>
    <xsd:element name="MediaServiceFastMetadata" ma:index="37" nillable="true" ma:displayName="MediaServiceFastMetadata" ma:hidden="true" ma:internalName="MediaServiceFastMetadata" ma:readOnly="true">
      <xsd:simpleType>
        <xsd:restriction base="dms:Note"/>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DateTaken" ma:index="45" nillable="true" ma:displayName="MediaServiceDateTaken" ma:hidden="true" ma:internalName="MediaServiceDateTaken" ma:readOnly="true">
      <xsd:simpleType>
        <xsd:restriction base="dms:Text"/>
      </xsd:simpleType>
    </xsd:element>
    <xsd:element name="MediaServiceAutoTags" ma:index="46" nillable="true" ma:displayName="Tags" ma:internalName="MediaServiceAutoTags" ma:readOnly="true">
      <xsd:simpleType>
        <xsd:restriction base="dms:Text"/>
      </xsd:simpleType>
    </xsd:element>
    <xsd:element name="MediaServiceLocation" ma:index="47" nillable="true" ma:displayName="Location" ma:internalName="MediaServiceLocation" ma:readOnly="true">
      <xsd:simpleType>
        <xsd:restriction base="dms:Text"/>
      </xsd:simpleType>
    </xsd:element>
    <xsd:element name="MediaServiceOCR" ma:index="48" nillable="true" ma:displayName="Extracted Text" ma:internalName="MediaServiceOCR" ma:readOnly="true">
      <xsd:simpleType>
        <xsd:restriction base="dms:Note">
          <xsd:maxLength value="255"/>
        </xsd:restriction>
      </xsd:simpleType>
    </xsd:element>
    <xsd:element name="MediaServiceGenerationTime" ma:index="49" nillable="true" ma:displayName="MediaServiceGenerationTime" ma:hidden="true" ma:internalName="MediaServiceGenerationTime" ma:readOnly="true">
      <xsd:simpleType>
        <xsd:restriction base="dms:Text"/>
      </xsd:simpleType>
    </xsd:element>
    <xsd:element name="MediaServiceEventHashCode" ma:index="5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D8156C2-ADE5-4FEB-AA53-706B4E4B4DF9}">
  <ds:schemaRefs>
    <ds:schemaRef ds:uri="http://schemas.microsoft.com/sharepoint/v3/contenttype/forms"/>
  </ds:schemaRefs>
</ds:datastoreItem>
</file>

<file path=customXml/itemProps2.xml><?xml version="1.0" encoding="utf-8"?>
<ds:datastoreItem xmlns:ds="http://schemas.openxmlformats.org/officeDocument/2006/customXml" ds:itemID="{CDAE1A13-2928-41D6-84F2-F9723616E9AB}">
  <ds:schemaRefs>
    <ds:schemaRef ds:uri="http://schemas.microsoft.com/office/2006/metadata/properties"/>
    <ds:schemaRef ds:uri="http://schemas.microsoft.com/office/infopath/2007/PartnerControls"/>
    <ds:schemaRef ds:uri="f12a4863-2e7e-439e-ac91-f44950423e7e"/>
    <ds:schemaRef ds:uri="a9df0e0e-9b5b-47bc-81c1-d190dfb54f87"/>
    <ds:schemaRef ds:uri="70761194-623b-4751-a0da-29ad6551f95e"/>
    <ds:schemaRef ds:uri="02bffcbe-7cf8-467d-a91b-a3e0dbcae01e"/>
  </ds:schemaRefs>
</ds:datastoreItem>
</file>

<file path=customXml/itemProps3.xml><?xml version="1.0" encoding="utf-8"?>
<ds:datastoreItem xmlns:ds="http://schemas.openxmlformats.org/officeDocument/2006/customXml" ds:itemID="{CAD2AB8D-3B92-4FF3-8B39-8DC4ADC54C74}">
  <ds:schemaRefs>
    <ds:schemaRef ds:uri="http://schemas.openxmlformats.org/officeDocument/2006/bibliography"/>
  </ds:schemaRefs>
</ds:datastoreItem>
</file>

<file path=customXml/itemProps4.xml><?xml version="1.0" encoding="utf-8"?>
<ds:datastoreItem xmlns:ds="http://schemas.openxmlformats.org/officeDocument/2006/customXml" ds:itemID="{ACD058CE-5D86-487C-8165-667B92F13F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bffcbe-7cf8-467d-a91b-a3e0dbcae01e"/>
    <ds:schemaRef ds:uri="a9df0e0e-9b5b-47bc-81c1-d190dfb54f87"/>
    <ds:schemaRef ds:uri="70761194-623b-4751-a0da-29ad6551f95e"/>
    <ds:schemaRef ds:uri="f12a4863-2e7e-439e-ac91-f44950423e7e"/>
    <ds:schemaRef ds:uri="edb3859f-5c2e-4246-864e-2753d15172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7603747-FB64-4DAE-A634-1F4FF528E19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188</Pages>
  <Words>64456</Words>
  <Characters>367402</Characters>
  <Application>Microsoft Office Word</Application>
  <DocSecurity>0</DocSecurity>
  <Lines>3061</Lines>
  <Paragraphs>861</Paragraphs>
  <ScaleCrop>false</ScaleCrop>
  <Company/>
  <LinksUpToDate>false</LinksUpToDate>
  <CharactersWithSpaces>430997</CharactersWithSpaces>
  <SharedDoc>false</SharedDoc>
  <HLinks>
    <vt:vector size="894" baseType="variant">
      <vt:variant>
        <vt:i4>1835094</vt:i4>
      </vt:variant>
      <vt:variant>
        <vt:i4>981</vt:i4>
      </vt:variant>
      <vt:variant>
        <vt:i4>0</vt:i4>
      </vt:variant>
      <vt:variant>
        <vt:i4>5</vt:i4>
      </vt:variant>
      <vt:variant>
        <vt:lpwstr>https://www.climatecommission.govt.nz/our-work/advice-to-government-topic/reviewing-new-zealands-nationally-determined-contribution-and-biogenic-methane/</vt:lpwstr>
      </vt:variant>
      <vt:variant>
        <vt:lpwstr/>
      </vt:variant>
      <vt:variant>
        <vt:i4>1835094</vt:i4>
      </vt:variant>
      <vt:variant>
        <vt:i4>924</vt:i4>
      </vt:variant>
      <vt:variant>
        <vt:i4>0</vt:i4>
      </vt:variant>
      <vt:variant>
        <vt:i4>5</vt:i4>
      </vt:variant>
      <vt:variant>
        <vt:lpwstr>https://www.climatecommission.govt.nz/our-work/advice-to-government-topic/reviewing-new-zealands-nationally-determined-contribution-and-biogenic-methane/</vt:lpwstr>
      </vt:variant>
      <vt:variant>
        <vt:lpwstr/>
      </vt:variant>
      <vt:variant>
        <vt:i4>1507383</vt:i4>
      </vt:variant>
      <vt:variant>
        <vt:i4>878</vt:i4>
      </vt:variant>
      <vt:variant>
        <vt:i4>0</vt:i4>
      </vt:variant>
      <vt:variant>
        <vt:i4>5</vt:i4>
      </vt:variant>
      <vt:variant>
        <vt:lpwstr/>
      </vt:variant>
      <vt:variant>
        <vt:lpwstr>_Toc62650374</vt:lpwstr>
      </vt:variant>
      <vt:variant>
        <vt:i4>1048631</vt:i4>
      </vt:variant>
      <vt:variant>
        <vt:i4>872</vt:i4>
      </vt:variant>
      <vt:variant>
        <vt:i4>0</vt:i4>
      </vt:variant>
      <vt:variant>
        <vt:i4>5</vt:i4>
      </vt:variant>
      <vt:variant>
        <vt:lpwstr/>
      </vt:variant>
      <vt:variant>
        <vt:lpwstr>_Toc62650373</vt:lpwstr>
      </vt:variant>
      <vt:variant>
        <vt:i4>1114167</vt:i4>
      </vt:variant>
      <vt:variant>
        <vt:i4>866</vt:i4>
      </vt:variant>
      <vt:variant>
        <vt:i4>0</vt:i4>
      </vt:variant>
      <vt:variant>
        <vt:i4>5</vt:i4>
      </vt:variant>
      <vt:variant>
        <vt:lpwstr/>
      </vt:variant>
      <vt:variant>
        <vt:lpwstr>_Toc62650372</vt:lpwstr>
      </vt:variant>
      <vt:variant>
        <vt:i4>1179703</vt:i4>
      </vt:variant>
      <vt:variant>
        <vt:i4>860</vt:i4>
      </vt:variant>
      <vt:variant>
        <vt:i4>0</vt:i4>
      </vt:variant>
      <vt:variant>
        <vt:i4>5</vt:i4>
      </vt:variant>
      <vt:variant>
        <vt:lpwstr/>
      </vt:variant>
      <vt:variant>
        <vt:lpwstr>_Toc62650371</vt:lpwstr>
      </vt:variant>
      <vt:variant>
        <vt:i4>1245239</vt:i4>
      </vt:variant>
      <vt:variant>
        <vt:i4>854</vt:i4>
      </vt:variant>
      <vt:variant>
        <vt:i4>0</vt:i4>
      </vt:variant>
      <vt:variant>
        <vt:i4>5</vt:i4>
      </vt:variant>
      <vt:variant>
        <vt:lpwstr/>
      </vt:variant>
      <vt:variant>
        <vt:lpwstr>_Toc62650370</vt:lpwstr>
      </vt:variant>
      <vt:variant>
        <vt:i4>1703990</vt:i4>
      </vt:variant>
      <vt:variant>
        <vt:i4>848</vt:i4>
      </vt:variant>
      <vt:variant>
        <vt:i4>0</vt:i4>
      </vt:variant>
      <vt:variant>
        <vt:i4>5</vt:i4>
      </vt:variant>
      <vt:variant>
        <vt:lpwstr/>
      </vt:variant>
      <vt:variant>
        <vt:lpwstr>_Toc62650369</vt:lpwstr>
      </vt:variant>
      <vt:variant>
        <vt:i4>1769526</vt:i4>
      </vt:variant>
      <vt:variant>
        <vt:i4>842</vt:i4>
      </vt:variant>
      <vt:variant>
        <vt:i4>0</vt:i4>
      </vt:variant>
      <vt:variant>
        <vt:i4>5</vt:i4>
      </vt:variant>
      <vt:variant>
        <vt:lpwstr/>
      </vt:variant>
      <vt:variant>
        <vt:lpwstr>_Toc62650368</vt:lpwstr>
      </vt:variant>
      <vt:variant>
        <vt:i4>1310774</vt:i4>
      </vt:variant>
      <vt:variant>
        <vt:i4>836</vt:i4>
      </vt:variant>
      <vt:variant>
        <vt:i4>0</vt:i4>
      </vt:variant>
      <vt:variant>
        <vt:i4>5</vt:i4>
      </vt:variant>
      <vt:variant>
        <vt:lpwstr/>
      </vt:variant>
      <vt:variant>
        <vt:lpwstr>_Toc62650367</vt:lpwstr>
      </vt:variant>
      <vt:variant>
        <vt:i4>1376310</vt:i4>
      </vt:variant>
      <vt:variant>
        <vt:i4>830</vt:i4>
      </vt:variant>
      <vt:variant>
        <vt:i4>0</vt:i4>
      </vt:variant>
      <vt:variant>
        <vt:i4>5</vt:i4>
      </vt:variant>
      <vt:variant>
        <vt:lpwstr/>
      </vt:variant>
      <vt:variant>
        <vt:lpwstr>_Toc62650366</vt:lpwstr>
      </vt:variant>
      <vt:variant>
        <vt:i4>1441846</vt:i4>
      </vt:variant>
      <vt:variant>
        <vt:i4>824</vt:i4>
      </vt:variant>
      <vt:variant>
        <vt:i4>0</vt:i4>
      </vt:variant>
      <vt:variant>
        <vt:i4>5</vt:i4>
      </vt:variant>
      <vt:variant>
        <vt:lpwstr/>
      </vt:variant>
      <vt:variant>
        <vt:lpwstr>_Toc62650365</vt:lpwstr>
      </vt:variant>
      <vt:variant>
        <vt:i4>1507382</vt:i4>
      </vt:variant>
      <vt:variant>
        <vt:i4>818</vt:i4>
      </vt:variant>
      <vt:variant>
        <vt:i4>0</vt:i4>
      </vt:variant>
      <vt:variant>
        <vt:i4>5</vt:i4>
      </vt:variant>
      <vt:variant>
        <vt:lpwstr/>
      </vt:variant>
      <vt:variant>
        <vt:lpwstr>_Toc62650364</vt:lpwstr>
      </vt:variant>
      <vt:variant>
        <vt:i4>1048630</vt:i4>
      </vt:variant>
      <vt:variant>
        <vt:i4>812</vt:i4>
      </vt:variant>
      <vt:variant>
        <vt:i4>0</vt:i4>
      </vt:variant>
      <vt:variant>
        <vt:i4>5</vt:i4>
      </vt:variant>
      <vt:variant>
        <vt:lpwstr/>
      </vt:variant>
      <vt:variant>
        <vt:lpwstr>_Toc62650363</vt:lpwstr>
      </vt:variant>
      <vt:variant>
        <vt:i4>1114166</vt:i4>
      </vt:variant>
      <vt:variant>
        <vt:i4>806</vt:i4>
      </vt:variant>
      <vt:variant>
        <vt:i4>0</vt:i4>
      </vt:variant>
      <vt:variant>
        <vt:i4>5</vt:i4>
      </vt:variant>
      <vt:variant>
        <vt:lpwstr/>
      </vt:variant>
      <vt:variant>
        <vt:lpwstr>_Toc62650362</vt:lpwstr>
      </vt:variant>
      <vt:variant>
        <vt:i4>1179702</vt:i4>
      </vt:variant>
      <vt:variant>
        <vt:i4>800</vt:i4>
      </vt:variant>
      <vt:variant>
        <vt:i4>0</vt:i4>
      </vt:variant>
      <vt:variant>
        <vt:i4>5</vt:i4>
      </vt:variant>
      <vt:variant>
        <vt:lpwstr/>
      </vt:variant>
      <vt:variant>
        <vt:lpwstr>_Toc62650361</vt:lpwstr>
      </vt:variant>
      <vt:variant>
        <vt:i4>1245238</vt:i4>
      </vt:variant>
      <vt:variant>
        <vt:i4>794</vt:i4>
      </vt:variant>
      <vt:variant>
        <vt:i4>0</vt:i4>
      </vt:variant>
      <vt:variant>
        <vt:i4>5</vt:i4>
      </vt:variant>
      <vt:variant>
        <vt:lpwstr/>
      </vt:variant>
      <vt:variant>
        <vt:lpwstr>_Toc62650360</vt:lpwstr>
      </vt:variant>
      <vt:variant>
        <vt:i4>1703989</vt:i4>
      </vt:variant>
      <vt:variant>
        <vt:i4>788</vt:i4>
      </vt:variant>
      <vt:variant>
        <vt:i4>0</vt:i4>
      </vt:variant>
      <vt:variant>
        <vt:i4>5</vt:i4>
      </vt:variant>
      <vt:variant>
        <vt:lpwstr/>
      </vt:variant>
      <vt:variant>
        <vt:lpwstr>_Toc62650359</vt:lpwstr>
      </vt:variant>
      <vt:variant>
        <vt:i4>1769525</vt:i4>
      </vt:variant>
      <vt:variant>
        <vt:i4>782</vt:i4>
      </vt:variant>
      <vt:variant>
        <vt:i4>0</vt:i4>
      </vt:variant>
      <vt:variant>
        <vt:i4>5</vt:i4>
      </vt:variant>
      <vt:variant>
        <vt:lpwstr/>
      </vt:variant>
      <vt:variant>
        <vt:lpwstr>_Toc62650358</vt:lpwstr>
      </vt:variant>
      <vt:variant>
        <vt:i4>1310773</vt:i4>
      </vt:variant>
      <vt:variant>
        <vt:i4>776</vt:i4>
      </vt:variant>
      <vt:variant>
        <vt:i4>0</vt:i4>
      </vt:variant>
      <vt:variant>
        <vt:i4>5</vt:i4>
      </vt:variant>
      <vt:variant>
        <vt:lpwstr/>
      </vt:variant>
      <vt:variant>
        <vt:lpwstr>_Toc62650357</vt:lpwstr>
      </vt:variant>
      <vt:variant>
        <vt:i4>1376309</vt:i4>
      </vt:variant>
      <vt:variant>
        <vt:i4>770</vt:i4>
      </vt:variant>
      <vt:variant>
        <vt:i4>0</vt:i4>
      </vt:variant>
      <vt:variant>
        <vt:i4>5</vt:i4>
      </vt:variant>
      <vt:variant>
        <vt:lpwstr/>
      </vt:variant>
      <vt:variant>
        <vt:lpwstr>_Toc62650356</vt:lpwstr>
      </vt:variant>
      <vt:variant>
        <vt:i4>1441845</vt:i4>
      </vt:variant>
      <vt:variant>
        <vt:i4>764</vt:i4>
      </vt:variant>
      <vt:variant>
        <vt:i4>0</vt:i4>
      </vt:variant>
      <vt:variant>
        <vt:i4>5</vt:i4>
      </vt:variant>
      <vt:variant>
        <vt:lpwstr/>
      </vt:variant>
      <vt:variant>
        <vt:lpwstr>_Toc62650355</vt:lpwstr>
      </vt:variant>
      <vt:variant>
        <vt:i4>1507381</vt:i4>
      </vt:variant>
      <vt:variant>
        <vt:i4>758</vt:i4>
      </vt:variant>
      <vt:variant>
        <vt:i4>0</vt:i4>
      </vt:variant>
      <vt:variant>
        <vt:i4>5</vt:i4>
      </vt:variant>
      <vt:variant>
        <vt:lpwstr/>
      </vt:variant>
      <vt:variant>
        <vt:lpwstr>_Toc62650354</vt:lpwstr>
      </vt:variant>
      <vt:variant>
        <vt:i4>1048629</vt:i4>
      </vt:variant>
      <vt:variant>
        <vt:i4>752</vt:i4>
      </vt:variant>
      <vt:variant>
        <vt:i4>0</vt:i4>
      </vt:variant>
      <vt:variant>
        <vt:i4>5</vt:i4>
      </vt:variant>
      <vt:variant>
        <vt:lpwstr/>
      </vt:variant>
      <vt:variant>
        <vt:lpwstr>_Toc62650353</vt:lpwstr>
      </vt:variant>
      <vt:variant>
        <vt:i4>1114165</vt:i4>
      </vt:variant>
      <vt:variant>
        <vt:i4>746</vt:i4>
      </vt:variant>
      <vt:variant>
        <vt:i4>0</vt:i4>
      </vt:variant>
      <vt:variant>
        <vt:i4>5</vt:i4>
      </vt:variant>
      <vt:variant>
        <vt:lpwstr/>
      </vt:variant>
      <vt:variant>
        <vt:lpwstr>_Toc62650352</vt:lpwstr>
      </vt:variant>
      <vt:variant>
        <vt:i4>1179701</vt:i4>
      </vt:variant>
      <vt:variant>
        <vt:i4>740</vt:i4>
      </vt:variant>
      <vt:variant>
        <vt:i4>0</vt:i4>
      </vt:variant>
      <vt:variant>
        <vt:i4>5</vt:i4>
      </vt:variant>
      <vt:variant>
        <vt:lpwstr/>
      </vt:variant>
      <vt:variant>
        <vt:lpwstr>_Toc62650351</vt:lpwstr>
      </vt:variant>
      <vt:variant>
        <vt:i4>1245237</vt:i4>
      </vt:variant>
      <vt:variant>
        <vt:i4>734</vt:i4>
      </vt:variant>
      <vt:variant>
        <vt:i4>0</vt:i4>
      </vt:variant>
      <vt:variant>
        <vt:i4>5</vt:i4>
      </vt:variant>
      <vt:variant>
        <vt:lpwstr/>
      </vt:variant>
      <vt:variant>
        <vt:lpwstr>_Toc62650350</vt:lpwstr>
      </vt:variant>
      <vt:variant>
        <vt:i4>1703988</vt:i4>
      </vt:variant>
      <vt:variant>
        <vt:i4>728</vt:i4>
      </vt:variant>
      <vt:variant>
        <vt:i4>0</vt:i4>
      </vt:variant>
      <vt:variant>
        <vt:i4>5</vt:i4>
      </vt:variant>
      <vt:variant>
        <vt:lpwstr/>
      </vt:variant>
      <vt:variant>
        <vt:lpwstr>_Toc62650349</vt:lpwstr>
      </vt:variant>
      <vt:variant>
        <vt:i4>1769524</vt:i4>
      </vt:variant>
      <vt:variant>
        <vt:i4>722</vt:i4>
      </vt:variant>
      <vt:variant>
        <vt:i4>0</vt:i4>
      </vt:variant>
      <vt:variant>
        <vt:i4>5</vt:i4>
      </vt:variant>
      <vt:variant>
        <vt:lpwstr/>
      </vt:variant>
      <vt:variant>
        <vt:lpwstr>_Toc62650348</vt:lpwstr>
      </vt:variant>
      <vt:variant>
        <vt:i4>1310772</vt:i4>
      </vt:variant>
      <vt:variant>
        <vt:i4>716</vt:i4>
      </vt:variant>
      <vt:variant>
        <vt:i4>0</vt:i4>
      </vt:variant>
      <vt:variant>
        <vt:i4>5</vt:i4>
      </vt:variant>
      <vt:variant>
        <vt:lpwstr/>
      </vt:variant>
      <vt:variant>
        <vt:lpwstr>_Toc62650347</vt:lpwstr>
      </vt:variant>
      <vt:variant>
        <vt:i4>1376308</vt:i4>
      </vt:variant>
      <vt:variant>
        <vt:i4>710</vt:i4>
      </vt:variant>
      <vt:variant>
        <vt:i4>0</vt:i4>
      </vt:variant>
      <vt:variant>
        <vt:i4>5</vt:i4>
      </vt:variant>
      <vt:variant>
        <vt:lpwstr/>
      </vt:variant>
      <vt:variant>
        <vt:lpwstr>_Toc62650346</vt:lpwstr>
      </vt:variant>
      <vt:variant>
        <vt:i4>1441844</vt:i4>
      </vt:variant>
      <vt:variant>
        <vt:i4>704</vt:i4>
      </vt:variant>
      <vt:variant>
        <vt:i4>0</vt:i4>
      </vt:variant>
      <vt:variant>
        <vt:i4>5</vt:i4>
      </vt:variant>
      <vt:variant>
        <vt:lpwstr/>
      </vt:variant>
      <vt:variant>
        <vt:lpwstr>_Toc62650345</vt:lpwstr>
      </vt:variant>
      <vt:variant>
        <vt:i4>1507380</vt:i4>
      </vt:variant>
      <vt:variant>
        <vt:i4>698</vt:i4>
      </vt:variant>
      <vt:variant>
        <vt:i4>0</vt:i4>
      </vt:variant>
      <vt:variant>
        <vt:i4>5</vt:i4>
      </vt:variant>
      <vt:variant>
        <vt:lpwstr/>
      </vt:variant>
      <vt:variant>
        <vt:lpwstr>_Toc62650344</vt:lpwstr>
      </vt:variant>
      <vt:variant>
        <vt:i4>1048628</vt:i4>
      </vt:variant>
      <vt:variant>
        <vt:i4>692</vt:i4>
      </vt:variant>
      <vt:variant>
        <vt:i4>0</vt:i4>
      </vt:variant>
      <vt:variant>
        <vt:i4>5</vt:i4>
      </vt:variant>
      <vt:variant>
        <vt:lpwstr/>
      </vt:variant>
      <vt:variant>
        <vt:lpwstr>_Toc62650343</vt:lpwstr>
      </vt:variant>
      <vt:variant>
        <vt:i4>1114164</vt:i4>
      </vt:variant>
      <vt:variant>
        <vt:i4>686</vt:i4>
      </vt:variant>
      <vt:variant>
        <vt:i4>0</vt:i4>
      </vt:variant>
      <vt:variant>
        <vt:i4>5</vt:i4>
      </vt:variant>
      <vt:variant>
        <vt:lpwstr/>
      </vt:variant>
      <vt:variant>
        <vt:lpwstr>_Toc62650342</vt:lpwstr>
      </vt:variant>
      <vt:variant>
        <vt:i4>1179700</vt:i4>
      </vt:variant>
      <vt:variant>
        <vt:i4>680</vt:i4>
      </vt:variant>
      <vt:variant>
        <vt:i4>0</vt:i4>
      </vt:variant>
      <vt:variant>
        <vt:i4>5</vt:i4>
      </vt:variant>
      <vt:variant>
        <vt:lpwstr/>
      </vt:variant>
      <vt:variant>
        <vt:lpwstr>_Toc62650341</vt:lpwstr>
      </vt:variant>
      <vt:variant>
        <vt:i4>1245236</vt:i4>
      </vt:variant>
      <vt:variant>
        <vt:i4>674</vt:i4>
      </vt:variant>
      <vt:variant>
        <vt:i4>0</vt:i4>
      </vt:variant>
      <vt:variant>
        <vt:i4>5</vt:i4>
      </vt:variant>
      <vt:variant>
        <vt:lpwstr/>
      </vt:variant>
      <vt:variant>
        <vt:lpwstr>_Toc62650340</vt:lpwstr>
      </vt:variant>
      <vt:variant>
        <vt:i4>1703987</vt:i4>
      </vt:variant>
      <vt:variant>
        <vt:i4>668</vt:i4>
      </vt:variant>
      <vt:variant>
        <vt:i4>0</vt:i4>
      </vt:variant>
      <vt:variant>
        <vt:i4>5</vt:i4>
      </vt:variant>
      <vt:variant>
        <vt:lpwstr/>
      </vt:variant>
      <vt:variant>
        <vt:lpwstr>_Toc62650339</vt:lpwstr>
      </vt:variant>
      <vt:variant>
        <vt:i4>1769523</vt:i4>
      </vt:variant>
      <vt:variant>
        <vt:i4>662</vt:i4>
      </vt:variant>
      <vt:variant>
        <vt:i4>0</vt:i4>
      </vt:variant>
      <vt:variant>
        <vt:i4>5</vt:i4>
      </vt:variant>
      <vt:variant>
        <vt:lpwstr/>
      </vt:variant>
      <vt:variant>
        <vt:lpwstr>_Toc62650338</vt:lpwstr>
      </vt:variant>
      <vt:variant>
        <vt:i4>1310771</vt:i4>
      </vt:variant>
      <vt:variant>
        <vt:i4>656</vt:i4>
      </vt:variant>
      <vt:variant>
        <vt:i4>0</vt:i4>
      </vt:variant>
      <vt:variant>
        <vt:i4>5</vt:i4>
      </vt:variant>
      <vt:variant>
        <vt:lpwstr/>
      </vt:variant>
      <vt:variant>
        <vt:lpwstr>_Toc62650337</vt:lpwstr>
      </vt:variant>
      <vt:variant>
        <vt:i4>1376307</vt:i4>
      </vt:variant>
      <vt:variant>
        <vt:i4>650</vt:i4>
      </vt:variant>
      <vt:variant>
        <vt:i4>0</vt:i4>
      </vt:variant>
      <vt:variant>
        <vt:i4>5</vt:i4>
      </vt:variant>
      <vt:variant>
        <vt:lpwstr/>
      </vt:variant>
      <vt:variant>
        <vt:lpwstr>_Toc62650336</vt:lpwstr>
      </vt:variant>
      <vt:variant>
        <vt:i4>1441843</vt:i4>
      </vt:variant>
      <vt:variant>
        <vt:i4>644</vt:i4>
      </vt:variant>
      <vt:variant>
        <vt:i4>0</vt:i4>
      </vt:variant>
      <vt:variant>
        <vt:i4>5</vt:i4>
      </vt:variant>
      <vt:variant>
        <vt:lpwstr/>
      </vt:variant>
      <vt:variant>
        <vt:lpwstr>_Toc62650335</vt:lpwstr>
      </vt:variant>
      <vt:variant>
        <vt:i4>1507379</vt:i4>
      </vt:variant>
      <vt:variant>
        <vt:i4>638</vt:i4>
      </vt:variant>
      <vt:variant>
        <vt:i4>0</vt:i4>
      </vt:variant>
      <vt:variant>
        <vt:i4>5</vt:i4>
      </vt:variant>
      <vt:variant>
        <vt:lpwstr/>
      </vt:variant>
      <vt:variant>
        <vt:lpwstr>_Toc62650334</vt:lpwstr>
      </vt:variant>
      <vt:variant>
        <vt:i4>1048627</vt:i4>
      </vt:variant>
      <vt:variant>
        <vt:i4>632</vt:i4>
      </vt:variant>
      <vt:variant>
        <vt:i4>0</vt:i4>
      </vt:variant>
      <vt:variant>
        <vt:i4>5</vt:i4>
      </vt:variant>
      <vt:variant>
        <vt:lpwstr/>
      </vt:variant>
      <vt:variant>
        <vt:lpwstr>_Toc62650333</vt:lpwstr>
      </vt:variant>
      <vt:variant>
        <vt:i4>1114163</vt:i4>
      </vt:variant>
      <vt:variant>
        <vt:i4>626</vt:i4>
      </vt:variant>
      <vt:variant>
        <vt:i4>0</vt:i4>
      </vt:variant>
      <vt:variant>
        <vt:i4>5</vt:i4>
      </vt:variant>
      <vt:variant>
        <vt:lpwstr/>
      </vt:variant>
      <vt:variant>
        <vt:lpwstr>_Toc62650332</vt:lpwstr>
      </vt:variant>
      <vt:variant>
        <vt:i4>1179699</vt:i4>
      </vt:variant>
      <vt:variant>
        <vt:i4>620</vt:i4>
      </vt:variant>
      <vt:variant>
        <vt:i4>0</vt:i4>
      </vt:variant>
      <vt:variant>
        <vt:i4>5</vt:i4>
      </vt:variant>
      <vt:variant>
        <vt:lpwstr/>
      </vt:variant>
      <vt:variant>
        <vt:lpwstr>_Toc62650331</vt:lpwstr>
      </vt:variant>
      <vt:variant>
        <vt:i4>1245235</vt:i4>
      </vt:variant>
      <vt:variant>
        <vt:i4>614</vt:i4>
      </vt:variant>
      <vt:variant>
        <vt:i4>0</vt:i4>
      </vt:variant>
      <vt:variant>
        <vt:i4>5</vt:i4>
      </vt:variant>
      <vt:variant>
        <vt:lpwstr/>
      </vt:variant>
      <vt:variant>
        <vt:lpwstr>_Toc62650330</vt:lpwstr>
      </vt:variant>
      <vt:variant>
        <vt:i4>1703986</vt:i4>
      </vt:variant>
      <vt:variant>
        <vt:i4>608</vt:i4>
      </vt:variant>
      <vt:variant>
        <vt:i4>0</vt:i4>
      </vt:variant>
      <vt:variant>
        <vt:i4>5</vt:i4>
      </vt:variant>
      <vt:variant>
        <vt:lpwstr/>
      </vt:variant>
      <vt:variant>
        <vt:lpwstr>_Toc62650329</vt:lpwstr>
      </vt:variant>
      <vt:variant>
        <vt:i4>1769522</vt:i4>
      </vt:variant>
      <vt:variant>
        <vt:i4>602</vt:i4>
      </vt:variant>
      <vt:variant>
        <vt:i4>0</vt:i4>
      </vt:variant>
      <vt:variant>
        <vt:i4>5</vt:i4>
      </vt:variant>
      <vt:variant>
        <vt:lpwstr/>
      </vt:variant>
      <vt:variant>
        <vt:lpwstr>_Toc62650328</vt:lpwstr>
      </vt:variant>
      <vt:variant>
        <vt:i4>1310770</vt:i4>
      </vt:variant>
      <vt:variant>
        <vt:i4>596</vt:i4>
      </vt:variant>
      <vt:variant>
        <vt:i4>0</vt:i4>
      </vt:variant>
      <vt:variant>
        <vt:i4>5</vt:i4>
      </vt:variant>
      <vt:variant>
        <vt:lpwstr/>
      </vt:variant>
      <vt:variant>
        <vt:lpwstr>_Toc62650327</vt:lpwstr>
      </vt:variant>
      <vt:variant>
        <vt:i4>1376306</vt:i4>
      </vt:variant>
      <vt:variant>
        <vt:i4>590</vt:i4>
      </vt:variant>
      <vt:variant>
        <vt:i4>0</vt:i4>
      </vt:variant>
      <vt:variant>
        <vt:i4>5</vt:i4>
      </vt:variant>
      <vt:variant>
        <vt:lpwstr/>
      </vt:variant>
      <vt:variant>
        <vt:lpwstr>_Toc62650326</vt:lpwstr>
      </vt:variant>
      <vt:variant>
        <vt:i4>1441842</vt:i4>
      </vt:variant>
      <vt:variant>
        <vt:i4>584</vt:i4>
      </vt:variant>
      <vt:variant>
        <vt:i4>0</vt:i4>
      </vt:variant>
      <vt:variant>
        <vt:i4>5</vt:i4>
      </vt:variant>
      <vt:variant>
        <vt:lpwstr/>
      </vt:variant>
      <vt:variant>
        <vt:lpwstr>_Toc62650325</vt:lpwstr>
      </vt:variant>
      <vt:variant>
        <vt:i4>1507378</vt:i4>
      </vt:variant>
      <vt:variant>
        <vt:i4>578</vt:i4>
      </vt:variant>
      <vt:variant>
        <vt:i4>0</vt:i4>
      </vt:variant>
      <vt:variant>
        <vt:i4>5</vt:i4>
      </vt:variant>
      <vt:variant>
        <vt:lpwstr/>
      </vt:variant>
      <vt:variant>
        <vt:lpwstr>_Toc62650324</vt:lpwstr>
      </vt:variant>
      <vt:variant>
        <vt:i4>1048626</vt:i4>
      </vt:variant>
      <vt:variant>
        <vt:i4>572</vt:i4>
      </vt:variant>
      <vt:variant>
        <vt:i4>0</vt:i4>
      </vt:variant>
      <vt:variant>
        <vt:i4>5</vt:i4>
      </vt:variant>
      <vt:variant>
        <vt:lpwstr/>
      </vt:variant>
      <vt:variant>
        <vt:lpwstr>_Toc62650323</vt:lpwstr>
      </vt:variant>
      <vt:variant>
        <vt:i4>1114162</vt:i4>
      </vt:variant>
      <vt:variant>
        <vt:i4>566</vt:i4>
      </vt:variant>
      <vt:variant>
        <vt:i4>0</vt:i4>
      </vt:variant>
      <vt:variant>
        <vt:i4>5</vt:i4>
      </vt:variant>
      <vt:variant>
        <vt:lpwstr/>
      </vt:variant>
      <vt:variant>
        <vt:lpwstr>_Toc62650322</vt:lpwstr>
      </vt:variant>
      <vt:variant>
        <vt:i4>1179698</vt:i4>
      </vt:variant>
      <vt:variant>
        <vt:i4>560</vt:i4>
      </vt:variant>
      <vt:variant>
        <vt:i4>0</vt:i4>
      </vt:variant>
      <vt:variant>
        <vt:i4>5</vt:i4>
      </vt:variant>
      <vt:variant>
        <vt:lpwstr/>
      </vt:variant>
      <vt:variant>
        <vt:lpwstr>_Toc62650321</vt:lpwstr>
      </vt:variant>
      <vt:variant>
        <vt:i4>1245234</vt:i4>
      </vt:variant>
      <vt:variant>
        <vt:i4>554</vt:i4>
      </vt:variant>
      <vt:variant>
        <vt:i4>0</vt:i4>
      </vt:variant>
      <vt:variant>
        <vt:i4>5</vt:i4>
      </vt:variant>
      <vt:variant>
        <vt:lpwstr/>
      </vt:variant>
      <vt:variant>
        <vt:lpwstr>_Toc62650320</vt:lpwstr>
      </vt:variant>
      <vt:variant>
        <vt:i4>1703985</vt:i4>
      </vt:variant>
      <vt:variant>
        <vt:i4>548</vt:i4>
      </vt:variant>
      <vt:variant>
        <vt:i4>0</vt:i4>
      </vt:variant>
      <vt:variant>
        <vt:i4>5</vt:i4>
      </vt:variant>
      <vt:variant>
        <vt:lpwstr/>
      </vt:variant>
      <vt:variant>
        <vt:lpwstr>_Toc62650319</vt:lpwstr>
      </vt:variant>
      <vt:variant>
        <vt:i4>1769521</vt:i4>
      </vt:variant>
      <vt:variant>
        <vt:i4>542</vt:i4>
      </vt:variant>
      <vt:variant>
        <vt:i4>0</vt:i4>
      </vt:variant>
      <vt:variant>
        <vt:i4>5</vt:i4>
      </vt:variant>
      <vt:variant>
        <vt:lpwstr/>
      </vt:variant>
      <vt:variant>
        <vt:lpwstr>_Toc62650318</vt:lpwstr>
      </vt:variant>
      <vt:variant>
        <vt:i4>1310769</vt:i4>
      </vt:variant>
      <vt:variant>
        <vt:i4>536</vt:i4>
      </vt:variant>
      <vt:variant>
        <vt:i4>0</vt:i4>
      </vt:variant>
      <vt:variant>
        <vt:i4>5</vt:i4>
      </vt:variant>
      <vt:variant>
        <vt:lpwstr/>
      </vt:variant>
      <vt:variant>
        <vt:lpwstr>_Toc62650317</vt:lpwstr>
      </vt:variant>
      <vt:variant>
        <vt:i4>1376305</vt:i4>
      </vt:variant>
      <vt:variant>
        <vt:i4>530</vt:i4>
      </vt:variant>
      <vt:variant>
        <vt:i4>0</vt:i4>
      </vt:variant>
      <vt:variant>
        <vt:i4>5</vt:i4>
      </vt:variant>
      <vt:variant>
        <vt:lpwstr/>
      </vt:variant>
      <vt:variant>
        <vt:lpwstr>_Toc62650316</vt:lpwstr>
      </vt:variant>
      <vt:variant>
        <vt:i4>1441841</vt:i4>
      </vt:variant>
      <vt:variant>
        <vt:i4>524</vt:i4>
      </vt:variant>
      <vt:variant>
        <vt:i4>0</vt:i4>
      </vt:variant>
      <vt:variant>
        <vt:i4>5</vt:i4>
      </vt:variant>
      <vt:variant>
        <vt:lpwstr/>
      </vt:variant>
      <vt:variant>
        <vt:lpwstr>_Toc62650315</vt:lpwstr>
      </vt:variant>
      <vt:variant>
        <vt:i4>1507377</vt:i4>
      </vt:variant>
      <vt:variant>
        <vt:i4>518</vt:i4>
      </vt:variant>
      <vt:variant>
        <vt:i4>0</vt:i4>
      </vt:variant>
      <vt:variant>
        <vt:i4>5</vt:i4>
      </vt:variant>
      <vt:variant>
        <vt:lpwstr/>
      </vt:variant>
      <vt:variant>
        <vt:lpwstr>_Toc62650314</vt:lpwstr>
      </vt:variant>
      <vt:variant>
        <vt:i4>1048625</vt:i4>
      </vt:variant>
      <vt:variant>
        <vt:i4>512</vt:i4>
      </vt:variant>
      <vt:variant>
        <vt:i4>0</vt:i4>
      </vt:variant>
      <vt:variant>
        <vt:i4>5</vt:i4>
      </vt:variant>
      <vt:variant>
        <vt:lpwstr/>
      </vt:variant>
      <vt:variant>
        <vt:lpwstr>_Toc62650313</vt:lpwstr>
      </vt:variant>
      <vt:variant>
        <vt:i4>1114161</vt:i4>
      </vt:variant>
      <vt:variant>
        <vt:i4>506</vt:i4>
      </vt:variant>
      <vt:variant>
        <vt:i4>0</vt:i4>
      </vt:variant>
      <vt:variant>
        <vt:i4>5</vt:i4>
      </vt:variant>
      <vt:variant>
        <vt:lpwstr/>
      </vt:variant>
      <vt:variant>
        <vt:lpwstr>_Toc62650312</vt:lpwstr>
      </vt:variant>
      <vt:variant>
        <vt:i4>1179697</vt:i4>
      </vt:variant>
      <vt:variant>
        <vt:i4>500</vt:i4>
      </vt:variant>
      <vt:variant>
        <vt:i4>0</vt:i4>
      </vt:variant>
      <vt:variant>
        <vt:i4>5</vt:i4>
      </vt:variant>
      <vt:variant>
        <vt:lpwstr/>
      </vt:variant>
      <vt:variant>
        <vt:lpwstr>_Toc62650311</vt:lpwstr>
      </vt:variant>
      <vt:variant>
        <vt:i4>1245233</vt:i4>
      </vt:variant>
      <vt:variant>
        <vt:i4>494</vt:i4>
      </vt:variant>
      <vt:variant>
        <vt:i4>0</vt:i4>
      </vt:variant>
      <vt:variant>
        <vt:i4>5</vt:i4>
      </vt:variant>
      <vt:variant>
        <vt:lpwstr/>
      </vt:variant>
      <vt:variant>
        <vt:lpwstr>_Toc62650310</vt:lpwstr>
      </vt:variant>
      <vt:variant>
        <vt:i4>1703984</vt:i4>
      </vt:variant>
      <vt:variant>
        <vt:i4>488</vt:i4>
      </vt:variant>
      <vt:variant>
        <vt:i4>0</vt:i4>
      </vt:variant>
      <vt:variant>
        <vt:i4>5</vt:i4>
      </vt:variant>
      <vt:variant>
        <vt:lpwstr/>
      </vt:variant>
      <vt:variant>
        <vt:lpwstr>_Toc62650309</vt:lpwstr>
      </vt:variant>
      <vt:variant>
        <vt:i4>1769520</vt:i4>
      </vt:variant>
      <vt:variant>
        <vt:i4>482</vt:i4>
      </vt:variant>
      <vt:variant>
        <vt:i4>0</vt:i4>
      </vt:variant>
      <vt:variant>
        <vt:i4>5</vt:i4>
      </vt:variant>
      <vt:variant>
        <vt:lpwstr/>
      </vt:variant>
      <vt:variant>
        <vt:lpwstr>_Toc62650308</vt:lpwstr>
      </vt:variant>
      <vt:variant>
        <vt:i4>1310768</vt:i4>
      </vt:variant>
      <vt:variant>
        <vt:i4>476</vt:i4>
      </vt:variant>
      <vt:variant>
        <vt:i4>0</vt:i4>
      </vt:variant>
      <vt:variant>
        <vt:i4>5</vt:i4>
      </vt:variant>
      <vt:variant>
        <vt:lpwstr/>
      </vt:variant>
      <vt:variant>
        <vt:lpwstr>_Toc62650307</vt:lpwstr>
      </vt:variant>
      <vt:variant>
        <vt:i4>1376304</vt:i4>
      </vt:variant>
      <vt:variant>
        <vt:i4>470</vt:i4>
      </vt:variant>
      <vt:variant>
        <vt:i4>0</vt:i4>
      </vt:variant>
      <vt:variant>
        <vt:i4>5</vt:i4>
      </vt:variant>
      <vt:variant>
        <vt:lpwstr/>
      </vt:variant>
      <vt:variant>
        <vt:lpwstr>_Toc62650306</vt:lpwstr>
      </vt:variant>
      <vt:variant>
        <vt:i4>1441840</vt:i4>
      </vt:variant>
      <vt:variant>
        <vt:i4>464</vt:i4>
      </vt:variant>
      <vt:variant>
        <vt:i4>0</vt:i4>
      </vt:variant>
      <vt:variant>
        <vt:i4>5</vt:i4>
      </vt:variant>
      <vt:variant>
        <vt:lpwstr/>
      </vt:variant>
      <vt:variant>
        <vt:lpwstr>_Toc62650305</vt:lpwstr>
      </vt:variant>
      <vt:variant>
        <vt:i4>1507376</vt:i4>
      </vt:variant>
      <vt:variant>
        <vt:i4>458</vt:i4>
      </vt:variant>
      <vt:variant>
        <vt:i4>0</vt:i4>
      </vt:variant>
      <vt:variant>
        <vt:i4>5</vt:i4>
      </vt:variant>
      <vt:variant>
        <vt:lpwstr/>
      </vt:variant>
      <vt:variant>
        <vt:lpwstr>_Toc62650304</vt:lpwstr>
      </vt:variant>
      <vt:variant>
        <vt:i4>1048624</vt:i4>
      </vt:variant>
      <vt:variant>
        <vt:i4>452</vt:i4>
      </vt:variant>
      <vt:variant>
        <vt:i4>0</vt:i4>
      </vt:variant>
      <vt:variant>
        <vt:i4>5</vt:i4>
      </vt:variant>
      <vt:variant>
        <vt:lpwstr/>
      </vt:variant>
      <vt:variant>
        <vt:lpwstr>_Toc62650303</vt:lpwstr>
      </vt:variant>
      <vt:variant>
        <vt:i4>1114160</vt:i4>
      </vt:variant>
      <vt:variant>
        <vt:i4>446</vt:i4>
      </vt:variant>
      <vt:variant>
        <vt:i4>0</vt:i4>
      </vt:variant>
      <vt:variant>
        <vt:i4>5</vt:i4>
      </vt:variant>
      <vt:variant>
        <vt:lpwstr/>
      </vt:variant>
      <vt:variant>
        <vt:lpwstr>_Toc62650302</vt:lpwstr>
      </vt:variant>
      <vt:variant>
        <vt:i4>1179696</vt:i4>
      </vt:variant>
      <vt:variant>
        <vt:i4>440</vt:i4>
      </vt:variant>
      <vt:variant>
        <vt:i4>0</vt:i4>
      </vt:variant>
      <vt:variant>
        <vt:i4>5</vt:i4>
      </vt:variant>
      <vt:variant>
        <vt:lpwstr/>
      </vt:variant>
      <vt:variant>
        <vt:lpwstr>_Toc62650301</vt:lpwstr>
      </vt:variant>
      <vt:variant>
        <vt:i4>1245232</vt:i4>
      </vt:variant>
      <vt:variant>
        <vt:i4>434</vt:i4>
      </vt:variant>
      <vt:variant>
        <vt:i4>0</vt:i4>
      </vt:variant>
      <vt:variant>
        <vt:i4>5</vt:i4>
      </vt:variant>
      <vt:variant>
        <vt:lpwstr/>
      </vt:variant>
      <vt:variant>
        <vt:lpwstr>_Toc62650300</vt:lpwstr>
      </vt:variant>
      <vt:variant>
        <vt:i4>1769529</vt:i4>
      </vt:variant>
      <vt:variant>
        <vt:i4>428</vt:i4>
      </vt:variant>
      <vt:variant>
        <vt:i4>0</vt:i4>
      </vt:variant>
      <vt:variant>
        <vt:i4>5</vt:i4>
      </vt:variant>
      <vt:variant>
        <vt:lpwstr/>
      </vt:variant>
      <vt:variant>
        <vt:lpwstr>_Toc62650299</vt:lpwstr>
      </vt:variant>
      <vt:variant>
        <vt:i4>1703993</vt:i4>
      </vt:variant>
      <vt:variant>
        <vt:i4>422</vt:i4>
      </vt:variant>
      <vt:variant>
        <vt:i4>0</vt:i4>
      </vt:variant>
      <vt:variant>
        <vt:i4>5</vt:i4>
      </vt:variant>
      <vt:variant>
        <vt:lpwstr/>
      </vt:variant>
      <vt:variant>
        <vt:lpwstr>_Toc62650298</vt:lpwstr>
      </vt:variant>
      <vt:variant>
        <vt:i4>1376313</vt:i4>
      </vt:variant>
      <vt:variant>
        <vt:i4>416</vt:i4>
      </vt:variant>
      <vt:variant>
        <vt:i4>0</vt:i4>
      </vt:variant>
      <vt:variant>
        <vt:i4>5</vt:i4>
      </vt:variant>
      <vt:variant>
        <vt:lpwstr/>
      </vt:variant>
      <vt:variant>
        <vt:lpwstr>_Toc62650297</vt:lpwstr>
      </vt:variant>
      <vt:variant>
        <vt:i4>1310777</vt:i4>
      </vt:variant>
      <vt:variant>
        <vt:i4>410</vt:i4>
      </vt:variant>
      <vt:variant>
        <vt:i4>0</vt:i4>
      </vt:variant>
      <vt:variant>
        <vt:i4>5</vt:i4>
      </vt:variant>
      <vt:variant>
        <vt:lpwstr/>
      </vt:variant>
      <vt:variant>
        <vt:lpwstr>_Toc62650296</vt:lpwstr>
      </vt:variant>
      <vt:variant>
        <vt:i4>1507385</vt:i4>
      </vt:variant>
      <vt:variant>
        <vt:i4>404</vt:i4>
      </vt:variant>
      <vt:variant>
        <vt:i4>0</vt:i4>
      </vt:variant>
      <vt:variant>
        <vt:i4>5</vt:i4>
      </vt:variant>
      <vt:variant>
        <vt:lpwstr/>
      </vt:variant>
      <vt:variant>
        <vt:lpwstr>_Toc62650295</vt:lpwstr>
      </vt:variant>
      <vt:variant>
        <vt:i4>1441849</vt:i4>
      </vt:variant>
      <vt:variant>
        <vt:i4>398</vt:i4>
      </vt:variant>
      <vt:variant>
        <vt:i4>0</vt:i4>
      </vt:variant>
      <vt:variant>
        <vt:i4>5</vt:i4>
      </vt:variant>
      <vt:variant>
        <vt:lpwstr/>
      </vt:variant>
      <vt:variant>
        <vt:lpwstr>_Toc62650294</vt:lpwstr>
      </vt:variant>
      <vt:variant>
        <vt:i4>1114169</vt:i4>
      </vt:variant>
      <vt:variant>
        <vt:i4>392</vt:i4>
      </vt:variant>
      <vt:variant>
        <vt:i4>0</vt:i4>
      </vt:variant>
      <vt:variant>
        <vt:i4>5</vt:i4>
      </vt:variant>
      <vt:variant>
        <vt:lpwstr/>
      </vt:variant>
      <vt:variant>
        <vt:lpwstr>_Toc62650293</vt:lpwstr>
      </vt:variant>
      <vt:variant>
        <vt:i4>1048633</vt:i4>
      </vt:variant>
      <vt:variant>
        <vt:i4>386</vt:i4>
      </vt:variant>
      <vt:variant>
        <vt:i4>0</vt:i4>
      </vt:variant>
      <vt:variant>
        <vt:i4>5</vt:i4>
      </vt:variant>
      <vt:variant>
        <vt:lpwstr/>
      </vt:variant>
      <vt:variant>
        <vt:lpwstr>_Toc62650292</vt:lpwstr>
      </vt:variant>
      <vt:variant>
        <vt:i4>1245241</vt:i4>
      </vt:variant>
      <vt:variant>
        <vt:i4>380</vt:i4>
      </vt:variant>
      <vt:variant>
        <vt:i4>0</vt:i4>
      </vt:variant>
      <vt:variant>
        <vt:i4>5</vt:i4>
      </vt:variant>
      <vt:variant>
        <vt:lpwstr/>
      </vt:variant>
      <vt:variant>
        <vt:lpwstr>_Toc62650291</vt:lpwstr>
      </vt:variant>
      <vt:variant>
        <vt:i4>1179705</vt:i4>
      </vt:variant>
      <vt:variant>
        <vt:i4>374</vt:i4>
      </vt:variant>
      <vt:variant>
        <vt:i4>0</vt:i4>
      </vt:variant>
      <vt:variant>
        <vt:i4>5</vt:i4>
      </vt:variant>
      <vt:variant>
        <vt:lpwstr/>
      </vt:variant>
      <vt:variant>
        <vt:lpwstr>_Toc62650290</vt:lpwstr>
      </vt:variant>
      <vt:variant>
        <vt:i4>1769528</vt:i4>
      </vt:variant>
      <vt:variant>
        <vt:i4>368</vt:i4>
      </vt:variant>
      <vt:variant>
        <vt:i4>0</vt:i4>
      </vt:variant>
      <vt:variant>
        <vt:i4>5</vt:i4>
      </vt:variant>
      <vt:variant>
        <vt:lpwstr/>
      </vt:variant>
      <vt:variant>
        <vt:lpwstr>_Toc62650289</vt:lpwstr>
      </vt:variant>
      <vt:variant>
        <vt:i4>1703992</vt:i4>
      </vt:variant>
      <vt:variant>
        <vt:i4>362</vt:i4>
      </vt:variant>
      <vt:variant>
        <vt:i4>0</vt:i4>
      </vt:variant>
      <vt:variant>
        <vt:i4>5</vt:i4>
      </vt:variant>
      <vt:variant>
        <vt:lpwstr/>
      </vt:variant>
      <vt:variant>
        <vt:lpwstr>_Toc62650288</vt:lpwstr>
      </vt:variant>
      <vt:variant>
        <vt:i4>1376312</vt:i4>
      </vt:variant>
      <vt:variant>
        <vt:i4>356</vt:i4>
      </vt:variant>
      <vt:variant>
        <vt:i4>0</vt:i4>
      </vt:variant>
      <vt:variant>
        <vt:i4>5</vt:i4>
      </vt:variant>
      <vt:variant>
        <vt:lpwstr/>
      </vt:variant>
      <vt:variant>
        <vt:lpwstr>_Toc62650287</vt:lpwstr>
      </vt:variant>
      <vt:variant>
        <vt:i4>1310776</vt:i4>
      </vt:variant>
      <vt:variant>
        <vt:i4>350</vt:i4>
      </vt:variant>
      <vt:variant>
        <vt:i4>0</vt:i4>
      </vt:variant>
      <vt:variant>
        <vt:i4>5</vt:i4>
      </vt:variant>
      <vt:variant>
        <vt:lpwstr/>
      </vt:variant>
      <vt:variant>
        <vt:lpwstr>_Toc62650286</vt:lpwstr>
      </vt:variant>
      <vt:variant>
        <vt:i4>1507384</vt:i4>
      </vt:variant>
      <vt:variant>
        <vt:i4>344</vt:i4>
      </vt:variant>
      <vt:variant>
        <vt:i4>0</vt:i4>
      </vt:variant>
      <vt:variant>
        <vt:i4>5</vt:i4>
      </vt:variant>
      <vt:variant>
        <vt:lpwstr/>
      </vt:variant>
      <vt:variant>
        <vt:lpwstr>_Toc62650285</vt:lpwstr>
      </vt:variant>
      <vt:variant>
        <vt:i4>1441848</vt:i4>
      </vt:variant>
      <vt:variant>
        <vt:i4>338</vt:i4>
      </vt:variant>
      <vt:variant>
        <vt:i4>0</vt:i4>
      </vt:variant>
      <vt:variant>
        <vt:i4>5</vt:i4>
      </vt:variant>
      <vt:variant>
        <vt:lpwstr/>
      </vt:variant>
      <vt:variant>
        <vt:lpwstr>_Toc62650284</vt:lpwstr>
      </vt:variant>
      <vt:variant>
        <vt:i4>1114168</vt:i4>
      </vt:variant>
      <vt:variant>
        <vt:i4>332</vt:i4>
      </vt:variant>
      <vt:variant>
        <vt:i4>0</vt:i4>
      </vt:variant>
      <vt:variant>
        <vt:i4>5</vt:i4>
      </vt:variant>
      <vt:variant>
        <vt:lpwstr/>
      </vt:variant>
      <vt:variant>
        <vt:lpwstr>_Toc62650283</vt:lpwstr>
      </vt:variant>
      <vt:variant>
        <vt:i4>1048632</vt:i4>
      </vt:variant>
      <vt:variant>
        <vt:i4>326</vt:i4>
      </vt:variant>
      <vt:variant>
        <vt:i4>0</vt:i4>
      </vt:variant>
      <vt:variant>
        <vt:i4>5</vt:i4>
      </vt:variant>
      <vt:variant>
        <vt:lpwstr/>
      </vt:variant>
      <vt:variant>
        <vt:lpwstr>_Toc62650282</vt:lpwstr>
      </vt:variant>
      <vt:variant>
        <vt:i4>1245240</vt:i4>
      </vt:variant>
      <vt:variant>
        <vt:i4>320</vt:i4>
      </vt:variant>
      <vt:variant>
        <vt:i4>0</vt:i4>
      </vt:variant>
      <vt:variant>
        <vt:i4>5</vt:i4>
      </vt:variant>
      <vt:variant>
        <vt:lpwstr/>
      </vt:variant>
      <vt:variant>
        <vt:lpwstr>_Toc62650281</vt:lpwstr>
      </vt:variant>
      <vt:variant>
        <vt:i4>1179704</vt:i4>
      </vt:variant>
      <vt:variant>
        <vt:i4>314</vt:i4>
      </vt:variant>
      <vt:variant>
        <vt:i4>0</vt:i4>
      </vt:variant>
      <vt:variant>
        <vt:i4>5</vt:i4>
      </vt:variant>
      <vt:variant>
        <vt:lpwstr/>
      </vt:variant>
      <vt:variant>
        <vt:lpwstr>_Toc62650280</vt:lpwstr>
      </vt:variant>
      <vt:variant>
        <vt:i4>1769527</vt:i4>
      </vt:variant>
      <vt:variant>
        <vt:i4>308</vt:i4>
      </vt:variant>
      <vt:variant>
        <vt:i4>0</vt:i4>
      </vt:variant>
      <vt:variant>
        <vt:i4>5</vt:i4>
      </vt:variant>
      <vt:variant>
        <vt:lpwstr/>
      </vt:variant>
      <vt:variant>
        <vt:lpwstr>_Toc62650279</vt:lpwstr>
      </vt:variant>
      <vt:variant>
        <vt:i4>1703991</vt:i4>
      </vt:variant>
      <vt:variant>
        <vt:i4>302</vt:i4>
      </vt:variant>
      <vt:variant>
        <vt:i4>0</vt:i4>
      </vt:variant>
      <vt:variant>
        <vt:i4>5</vt:i4>
      </vt:variant>
      <vt:variant>
        <vt:lpwstr/>
      </vt:variant>
      <vt:variant>
        <vt:lpwstr>_Toc62650278</vt:lpwstr>
      </vt:variant>
      <vt:variant>
        <vt:i4>1376311</vt:i4>
      </vt:variant>
      <vt:variant>
        <vt:i4>296</vt:i4>
      </vt:variant>
      <vt:variant>
        <vt:i4>0</vt:i4>
      </vt:variant>
      <vt:variant>
        <vt:i4>5</vt:i4>
      </vt:variant>
      <vt:variant>
        <vt:lpwstr/>
      </vt:variant>
      <vt:variant>
        <vt:lpwstr>_Toc62650277</vt:lpwstr>
      </vt:variant>
      <vt:variant>
        <vt:i4>1310775</vt:i4>
      </vt:variant>
      <vt:variant>
        <vt:i4>290</vt:i4>
      </vt:variant>
      <vt:variant>
        <vt:i4>0</vt:i4>
      </vt:variant>
      <vt:variant>
        <vt:i4>5</vt:i4>
      </vt:variant>
      <vt:variant>
        <vt:lpwstr/>
      </vt:variant>
      <vt:variant>
        <vt:lpwstr>_Toc62650276</vt:lpwstr>
      </vt:variant>
      <vt:variant>
        <vt:i4>1507383</vt:i4>
      </vt:variant>
      <vt:variant>
        <vt:i4>284</vt:i4>
      </vt:variant>
      <vt:variant>
        <vt:i4>0</vt:i4>
      </vt:variant>
      <vt:variant>
        <vt:i4>5</vt:i4>
      </vt:variant>
      <vt:variant>
        <vt:lpwstr/>
      </vt:variant>
      <vt:variant>
        <vt:lpwstr>_Toc62650275</vt:lpwstr>
      </vt:variant>
      <vt:variant>
        <vt:i4>1441847</vt:i4>
      </vt:variant>
      <vt:variant>
        <vt:i4>278</vt:i4>
      </vt:variant>
      <vt:variant>
        <vt:i4>0</vt:i4>
      </vt:variant>
      <vt:variant>
        <vt:i4>5</vt:i4>
      </vt:variant>
      <vt:variant>
        <vt:lpwstr/>
      </vt:variant>
      <vt:variant>
        <vt:lpwstr>_Toc62650274</vt:lpwstr>
      </vt:variant>
      <vt:variant>
        <vt:i4>1114167</vt:i4>
      </vt:variant>
      <vt:variant>
        <vt:i4>272</vt:i4>
      </vt:variant>
      <vt:variant>
        <vt:i4>0</vt:i4>
      </vt:variant>
      <vt:variant>
        <vt:i4>5</vt:i4>
      </vt:variant>
      <vt:variant>
        <vt:lpwstr/>
      </vt:variant>
      <vt:variant>
        <vt:lpwstr>_Toc62650273</vt:lpwstr>
      </vt:variant>
      <vt:variant>
        <vt:i4>1048631</vt:i4>
      </vt:variant>
      <vt:variant>
        <vt:i4>266</vt:i4>
      </vt:variant>
      <vt:variant>
        <vt:i4>0</vt:i4>
      </vt:variant>
      <vt:variant>
        <vt:i4>5</vt:i4>
      </vt:variant>
      <vt:variant>
        <vt:lpwstr/>
      </vt:variant>
      <vt:variant>
        <vt:lpwstr>_Toc62650272</vt:lpwstr>
      </vt:variant>
      <vt:variant>
        <vt:i4>1245239</vt:i4>
      </vt:variant>
      <vt:variant>
        <vt:i4>260</vt:i4>
      </vt:variant>
      <vt:variant>
        <vt:i4>0</vt:i4>
      </vt:variant>
      <vt:variant>
        <vt:i4>5</vt:i4>
      </vt:variant>
      <vt:variant>
        <vt:lpwstr/>
      </vt:variant>
      <vt:variant>
        <vt:lpwstr>_Toc62650271</vt:lpwstr>
      </vt:variant>
      <vt:variant>
        <vt:i4>1179703</vt:i4>
      </vt:variant>
      <vt:variant>
        <vt:i4>254</vt:i4>
      </vt:variant>
      <vt:variant>
        <vt:i4>0</vt:i4>
      </vt:variant>
      <vt:variant>
        <vt:i4>5</vt:i4>
      </vt:variant>
      <vt:variant>
        <vt:lpwstr/>
      </vt:variant>
      <vt:variant>
        <vt:lpwstr>_Toc62650270</vt:lpwstr>
      </vt:variant>
      <vt:variant>
        <vt:i4>1769526</vt:i4>
      </vt:variant>
      <vt:variant>
        <vt:i4>248</vt:i4>
      </vt:variant>
      <vt:variant>
        <vt:i4>0</vt:i4>
      </vt:variant>
      <vt:variant>
        <vt:i4>5</vt:i4>
      </vt:variant>
      <vt:variant>
        <vt:lpwstr/>
      </vt:variant>
      <vt:variant>
        <vt:lpwstr>_Toc62650269</vt:lpwstr>
      </vt:variant>
      <vt:variant>
        <vt:i4>1703990</vt:i4>
      </vt:variant>
      <vt:variant>
        <vt:i4>242</vt:i4>
      </vt:variant>
      <vt:variant>
        <vt:i4>0</vt:i4>
      </vt:variant>
      <vt:variant>
        <vt:i4>5</vt:i4>
      </vt:variant>
      <vt:variant>
        <vt:lpwstr/>
      </vt:variant>
      <vt:variant>
        <vt:lpwstr>_Toc62650268</vt:lpwstr>
      </vt:variant>
      <vt:variant>
        <vt:i4>1376310</vt:i4>
      </vt:variant>
      <vt:variant>
        <vt:i4>236</vt:i4>
      </vt:variant>
      <vt:variant>
        <vt:i4>0</vt:i4>
      </vt:variant>
      <vt:variant>
        <vt:i4>5</vt:i4>
      </vt:variant>
      <vt:variant>
        <vt:lpwstr/>
      </vt:variant>
      <vt:variant>
        <vt:lpwstr>_Toc62650267</vt:lpwstr>
      </vt:variant>
      <vt:variant>
        <vt:i4>1310774</vt:i4>
      </vt:variant>
      <vt:variant>
        <vt:i4>230</vt:i4>
      </vt:variant>
      <vt:variant>
        <vt:i4>0</vt:i4>
      </vt:variant>
      <vt:variant>
        <vt:i4>5</vt:i4>
      </vt:variant>
      <vt:variant>
        <vt:lpwstr/>
      </vt:variant>
      <vt:variant>
        <vt:lpwstr>_Toc62650266</vt:lpwstr>
      </vt:variant>
      <vt:variant>
        <vt:i4>1507382</vt:i4>
      </vt:variant>
      <vt:variant>
        <vt:i4>224</vt:i4>
      </vt:variant>
      <vt:variant>
        <vt:i4>0</vt:i4>
      </vt:variant>
      <vt:variant>
        <vt:i4>5</vt:i4>
      </vt:variant>
      <vt:variant>
        <vt:lpwstr/>
      </vt:variant>
      <vt:variant>
        <vt:lpwstr>_Toc62650265</vt:lpwstr>
      </vt:variant>
      <vt:variant>
        <vt:i4>1441846</vt:i4>
      </vt:variant>
      <vt:variant>
        <vt:i4>218</vt:i4>
      </vt:variant>
      <vt:variant>
        <vt:i4>0</vt:i4>
      </vt:variant>
      <vt:variant>
        <vt:i4>5</vt:i4>
      </vt:variant>
      <vt:variant>
        <vt:lpwstr/>
      </vt:variant>
      <vt:variant>
        <vt:lpwstr>_Toc62650264</vt:lpwstr>
      </vt:variant>
      <vt:variant>
        <vt:i4>1114166</vt:i4>
      </vt:variant>
      <vt:variant>
        <vt:i4>212</vt:i4>
      </vt:variant>
      <vt:variant>
        <vt:i4>0</vt:i4>
      </vt:variant>
      <vt:variant>
        <vt:i4>5</vt:i4>
      </vt:variant>
      <vt:variant>
        <vt:lpwstr/>
      </vt:variant>
      <vt:variant>
        <vt:lpwstr>_Toc62650263</vt:lpwstr>
      </vt:variant>
      <vt:variant>
        <vt:i4>1048630</vt:i4>
      </vt:variant>
      <vt:variant>
        <vt:i4>206</vt:i4>
      </vt:variant>
      <vt:variant>
        <vt:i4>0</vt:i4>
      </vt:variant>
      <vt:variant>
        <vt:i4>5</vt:i4>
      </vt:variant>
      <vt:variant>
        <vt:lpwstr/>
      </vt:variant>
      <vt:variant>
        <vt:lpwstr>_Toc62650262</vt:lpwstr>
      </vt:variant>
      <vt:variant>
        <vt:i4>1245238</vt:i4>
      </vt:variant>
      <vt:variant>
        <vt:i4>200</vt:i4>
      </vt:variant>
      <vt:variant>
        <vt:i4>0</vt:i4>
      </vt:variant>
      <vt:variant>
        <vt:i4>5</vt:i4>
      </vt:variant>
      <vt:variant>
        <vt:lpwstr/>
      </vt:variant>
      <vt:variant>
        <vt:lpwstr>_Toc62650261</vt:lpwstr>
      </vt:variant>
      <vt:variant>
        <vt:i4>1179702</vt:i4>
      </vt:variant>
      <vt:variant>
        <vt:i4>194</vt:i4>
      </vt:variant>
      <vt:variant>
        <vt:i4>0</vt:i4>
      </vt:variant>
      <vt:variant>
        <vt:i4>5</vt:i4>
      </vt:variant>
      <vt:variant>
        <vt:lpwstr/>
      </vt:variant>
      <vt:variant>
        <vt:lpwstr>_Toc62650260</vt:lpwstr>
      </vt:variant>
      <vt:variant>
        <vt:i4>1769525</vt:i4>
      </vt:variant>
      <vt:variant>
        <vt:i4>188</vt:i4>
      </vt:variant>
      <vt:variant>
        <vt:i4>0</vt:i4>
      </vt:variant>
      <vt:variant>
        <vt:i4>5</vt:i4>
      </vt:variant>
      <vt:variant>
        <vt:lpwstr/>
      </vt:variant>
      <vt:variant>
        <vt:lpwstr>_Toc62650259</vt:lpwstr>
      </vt:variant>
      <vt:variant>
        <vt:i4>1703989</vt:i4>
      </vt:variant>
      <vt:variant>
        <vt:i4>182</vt:i4>
      </vt:variant>
      <vt:variant>
        <vt:i4>0</vt:i4>
      </vt:variant>
      <vt:variant>
        <vt:i4>5</vt:i4>
      </vt:variant>
      <vt:variant>
        <vt:lpwstr/>
      </vt:variant>
      <vt:variant>
        <vt:lpwstr>_Toc62650258</vt:lpwstr>
      </vt:variant>
      <vt:variant>
        <vt:i4>1376309</vt:i4>
      </vt:variant>
      <vt:variant>
        <vt:i4>176</vt:i4>
      </vt:variant>
      <vt:variant>
        <vt:i4>0</vt:i4>
      </vt:variant>
      <vt:variant>
        <vt:i4>5</vt:i4>
      </vt:variant>
      <vt:variant>
        <vt:lpwstr/>
      </vt:variant>
      <vt:variant>
        <vt:lpwstr>_Toc62650257</vt:lpwstr>
      </vt:variant>
      <vt:variant>
        <vt:i4>1310773</vt:i4>
      </vt:variant>
      <vt:variant>
        <vt:i4>170</vt:i4>
      </vt:variant>
      <vt:variant>
        <vt:i4>0</vt:i4>
      </vt:variant>
      <vt:variant>
        <vt:i4>5</vt:i4>
      </vt:variant>
      <vt:variant>
        <vt:lpwstr/>
      </vt:variant>
      <vt:variant>
        <vt:lpwstr>_Toc62650256</vt:lpwstr>
      </vt:variant>
      <vt:variant>
        <vt:i4>1507381</vt:i4>
      </vt:variant>
      <vt:variant>
        <vt:i4>164</vt:i4>
      </vt:variant>
      <vt:variant>
        <vt:i4>0</vt:i4>
      </vt:variant>
      <vt:variant>
        <vt:i4>5</vt:i4>
      </vt:variant>
      <vt:variant>
        <vt:lpwstr/>
      </vt:variant>
      <vt:variant>
        <vt:lpwstr>_Toc62650255</vt:lpwstr>
      </vt:variant>
      <vt:variant>
        <vt:i4>1441845</vt:i4>
      </vt:variant>
      <vt:variant>
        <vt:i4>158</vt:i4>
      </vt:variant>
      <vt:variant>
        <vt:i4>0</vt:i4>
      </vt:variant>
      <vt:variant>
        <vt:i4>5</vt:i4>
      </vt:variant>
      <vt:variant>
        <vt:lpwstr/>
      </vt:variant>
      <vt:variant>
        <vt:lpwstr>_Toc62650254</vt:lpwstr>
      </vt:variant>
      <vt:variant>
        <vt:i4>1114165</vt:i4>
      </vt:variant>
      <vt:variant>
        <vt:i4>152</vt:i4>
      </vt:variant>
      <vt:variant>
        <vt:i4>0</vt:i4>
      </vt:variant>
      <vt:variant>
        <vt:i4>5</vt:i4>
      </vt:variant>
      <vt:variant>
        <vt:lpwstr/>
      </vt:variant>
      <vt:variant>
        <vt:lpwstr>_Toc62650253</vt:lpwstr>
      </vt:variant>
      <vt:variant>
        <vt:i4>1048629</vt:i4>
      </vt:variant>
      <vt:variant>
        <vt:i4>146</vt:i4>
      </vt:variant>
      <vt:variant>
        <vt:i4>0</vt:i4>
      </vt:variant>
      <vt:variant>
        <vt:i4>5</vt:i4>
      </vt:variant>
      <vt:variant>
        <vt:lpwstr/>
      </vt:variant>
      <vt:variant>
        <vt:lpwstr>_Toc62650252</vt:lpwstr>
      </vt:variant>
      <vt:variant>
        <vt:i4>1245237</vt:i4>
      </vt:variant>
      <vt:variant>
        <vt:i4>140</vt:i4>
      </vt:variant>
      <vt:variant>
        <vt:i4>0</vt:i4>
      </vt:variant>
      <vt:variant>
        <vt:i4>5</vt:i4>
      </vt:variant>
      <vt:variant>
        <vt:lpwstr/>
      </vt:variant>
      <vt:variant>
        <vt:lpwstr>_Toc62650251</vt:lpwstr>
      </vt:variant>
      <vt:variant>
        <vt:i4>1179701</vt:i4>
      </vt:variant>
      <vt:variant>
        <vt:i4>134</vt:i4>
      </vt:variant>
      <vt:variant>
        <vt:i4>0</vt:i4>
      </vt:variant>
      <vt:variant>
        <vt:i4>5</vt:i4>
      </vt:variant>
      <vt:variant>
        <vt:lpwstr/>
      </vt:variant>
      <vt:variant>
        <vt:lpwstr>_Toc62650250</vt:lpwstr>
      </vt:variant>
      <vt:variant>
        <vt:i4>1769524</vt:i4>
      </vt:variant>
      <vt:variant>
        <vt:i4>128</vt:i4>
      </vt:variant>
      <vt:variant>
        <vt:i4>0</vt:i4>
      </vt:variant>
      <vt:variant>
        <vt:i4>5</vt:i4>
      </vt:variant>
      <vt:variant>
        <vt:lpwstr/>
      </vt:variant>
      <vt:variant>
        <vt:lpwstr>_Toc62650249</vt:lpwstr>
      </vt:variant>
      <vt:variant>
        <vt:i4>1703988</vt:i4>
      </vt:variant>
      <vt:variant>
        <vt:i4>122</vt:i4>
      </vt:variant>
      <vt:variant>
        <vt:i4>0</vt:i4>
      </vt:variant>
      <vt:variant>
        <vt:i4>5</vt:i4>
      </vt:variant>
      <vt:variant>
        <vt:lpwstr/>
      </vt:variant>
      <vt:variant>
        <vt:lpwstr>_Toc62650248</vt:lpwstr>
      </vt:variant>
      <vt:variant>
        <vt:i4>1376308</vt:i4>
      </vt:variant>
      <vt:variant>
        <vt:i4>116</vt:i4>
      </vt:variant>
      <vt:variant>
        <vt:i4>0</vt:i4>
      </vt:variant>
      <vt:variant>
        <vt:i4>5</vt:i4>
      </vt:variant>
      <vt:variant>
        <vt:lpwstr/>
      </vt:variant>
      <vt:variant>
        <vt:lpwstr>_Toc62650247</vt:lpwstr>
      </vt:variant>
      <vt:variant>
        <vt:i4>1310772</vt:i4>
      </vt:variant>
      <vt:variant>
        <vt:i4>110</vt:i4>
      </vt:variant>
      <vt:variant>
        <vt:i4>0</vt:i4>
      </vt:variant>
      <vt:variant>
        <vt:i4>5</vt:i4>
      </vt:variant>
      <vt:variant>
        <vt:lpwstr/>
      </vt:variant>
      <vt:variant>
        <vt:lpwstr>_Toc62650246</vt:lpwstr>
      </vt:variant>
      <vt:variant>
        <vt:i4>1507380</vt:i4>
      </vt:variant>
      <vt:variant>
        <vt:i4>104</vt:i4>
      </vt:variant>
      <vt:variant>
        <vt:i4>0</vt:i4>
      </vt:variant>
      <vt:variant>
        <vt:i4>5</vt:i4>
      </vt:variant>
      <vt:variant>
        <vt:lpwstr/>
      </vt:variant>
      <vt:variant>
        <vt:lpwstr>_Toc62650245</vt:lpwstr>
      </vt:variant>
      <vt:variant>
        <vt:i4>1441844</vt:i4>
      </vt:variant>
      <vt:variant>
        <vt:i4>98</vt:i4>
      </vt:variant>
      <vt:variant>
        <vt:i4>0</vt:i4>
      </vt:variant>
      <vt:variant>
        <vt:i4>5</vt:i4>
      </vt:variant>
      <vt:variant>
        <vt:lpwstr/>
      </vt:variant>
      <vt:variant>
        <vt:lpwstr>_Toc62650244</vt:lpwstr>
      </vt:variant>
      <vt:variant>
        <vt:i4>1114164</vt:i4>
      </vt:variant>
      <vt:variant>
        <vt:i4>92</vt:i4>
      </vt:variant>
      <vt:variant>
        <vt:i4>0</vt:i4>
      </vt:variant>
      <vt:variant>
        <vt:i4>5</vt:i4>
      </vt:variant>
      <vt:variant>
        <vt:lpwstr/>
      </vt:variant>
      <vt:variant>
        <vt:lpwstr>_Toc62650243</vt:lpwstr>
      </vt:variant>
      <vt:variant>
        <vt:i4>1048628</vt:i4>
      </vt:variant>
      <vt:variant>
        <vt:i4>86</vt:i4>
      </vt:variant>
      <vt:variant>
        <vt:i4>0</vt:i4>
      </vt:variant>
      <vt:variant>
        <vt:i4>5</vt:i4>
      </vt:variant>
      <vt:variant>
        <vt:lpwstr/>
      </vt:variant>
      <vt:variant>
        <vt:lpwstr>_Toc62650242</vt:lpwstr>
      </vt:variant>
      <vt:variant>
        <vt:i4>1245236</vt:i4>
      </vt:variant>
      <vt:variant>
        <vt:i4>80</vt:i4>
      </vt:variant>
      <vt:variant>
        <vt:i4>0</vt:i4>
      </vt:variant>
      <vt:variant>
        <vt:i4>5</vt:i4>
      </vt:variant>
      <vt:variant>
        <vt:lpwstr/>
      </vt:variant>
      <vt:variant>
        <vt:lpwstr>_Toc62650241</vt:lpwstr>
      </vt:variant>
      <vt:variant>
        <vt:i4>1179700</vt:i4>
      </vt:variant>
      <vt:variant>
        <vt:i4>74</vt:i4>
      </vt:variant>
      <vt:variant>
        <vt:i4>0</vt:i4>
      </vt:variant>
      <vt:variant>
        <vt:i4>5</vt:i4>
      </vt:variant>
      <vt:variant>
        <vt:lpwstr/>
      </vt:variant>
      <vt:variant>
        <vt:lpwstr>_Toc62650240</vt:lpwstr>
      </vt:variant>
      <vt:variant>
        <vt:i4>1769523</vt:i4>
      </vt:variant>
      <vt:variant>
        <vt:i4>68</vt:i4>
      </vt:variant>
      <vt:variant>
        <vt:i4>0</vt:i4>
      </vt:variant>
      <vt:variant>
        <vt:i4>5</vt:i4>
      </vt:variant>
      <vt:variant>
        <vt:lpwstr/>
      </vt:variant>
      <vt:variant>
        <vt:lpwstr>_Toc62650239</vt:lpwstr>
      </vt:variant>
      <vt:variant>
        <vt:i4>1703987</vt:i4>
      </vt:variant>
      <vt:variant>
        <vt:i4>62</vt:i4>
      </vt:variant>
      <vt:variant>
        <vt:i4>0</vt:i4>
      </vt:variant>
      <vt:variant>
        <vt:i4>5</vt:i4>
      </vt:variant>
      <vt:variant>
        <vt:lpwstr/>
      </vt:variant>
      <vt:variant>
        <vt:lpwstr>_Toc62650238</vt:lpwstr>
      </vt:variant>
      <vt:variant>
        <vt:i4>1376307</vt:i4>
      </vt:variant>
      <vt:variant>
        <vt:i4>56</vt:i4>
      </vt:variant>
      <vt:variant>
        <vt:i4>0</vt:i4>
      </vt:variant>
      <vt:variant>
        <vt:i4>5</vt:i4>
      </vt:variant>
      <vt:variant>
        <vt:lpwstr/>
      </vt:variant>
      <vt:variant>
        <vt:lpwstr>_Toc62650237</vt:lpwstr>
      </vt:variant>
      <vt:variant>
        <vt:i4>1310771</vt:i4>
      </vt:variant>
      <vt:variant>
        <vt:i4>50</vt:i4>
      </vt:variant>
      <vt:variant>
        <vt:i4>0</vt:i4>
      </vt:variant>
      <vt:variant>
        <vt:i4>5</vt:i4>
      </vt:variant>
      <vt:variant>
        <vt:lpwstr/>
      </vt:variant>
      <vt:variant>
        <vt:lpwstr>_Toc62650236</vt:lpwstr>
      </vt:variant>
      <vt:variant>
        <vt:i4>1507379</vt:i4>
      </vt:variant>
      <vt:variant>
        <vt:i4>44</vt:i4>
      </vt:variant>
      <vt:variant>
        <vt:i4>0</vt:i4>
      </vt:variant>
      <vt:variant>
        <vt:i4>5</vt:i4>
      </vt:variant>
      <vt:variant>
        <vt:lpwstr/>
      </vt:variant>
      <vt:variant>
        <vt:lpwstr>_Toc62650235</vt:lpwstr>
      </vt:variant>
      <vt:variant>
        <vt:i4>1441843</vt:i4>
      </vt:variant>
      <vt:variant>
        <vt:i4>38</vt:i4>
      </vt:variant>
      <vt:variant>
        <vt:i4>0</vt:i4>
      </vt:variant>
      <vt:variant>
        <vt:i4>5</vt:i4>
      </vt:variant>
      <vt:variant>
        <vt:lpwstr/>
      </vt:variant>
      <vt:variant>
        <vt:lpwstr>_Toc62650234</vt:lpwstr>
      </vt:variant>
      <vt:variant>
        <vt:i4>1114163</vt:i4>
      </vt:variant>
      <vt:variant>
        <vt:i4>32</vt:i4>
      </vt:variant>
      <vt:variant>
        <vt:i4>0</vt:i4>
      </vt:variant>
      <vt:variant>
        <vt:i4>5</vt:i4>
      </vt:variant>
      <vt:variant>
        <vt:lpwstr/>
      </vt:variant>
      <vt:variant>
        <vt:lpwstr>_Toc62650233</vt:lpwstr>
      </vt:variant>
      <vt:variant>
        <vt:i4>1048627</vt:i4>
      </vt:variant>
      <vt:variant>
        <vt:i4>26</vt:i4>
      </vt:variant>
      <vt:variant>
        <vt:i4>0</vt:i4>
      </vt:variant>
      <vt:variant>
        <vt:i4>5</vt:i4>
      </vt:variant>
      <vt:variant>
        <vt:lpwstr/>
      </vt:variant>
      <vt:variant>
        <vt:lpwstr>_Toc62650232</vt:lpwstr>
      </vt:variant>
      <vt:variant>
        <vt:i4>1245234</vt:i4>
      </vt:variant>
      <vt:variant>
        <vt:i4>20</vt:i4>
      </vt:variant>
      <vt:variant>
        <vt:i4>0</vt:i4>
      </vt:variant>
      <vt:variant>
        <vt:i4>5</vt:i4>
      </vt:variant>
      <vt:variant>
        <vt:lpwstr/>
      </vt:variant>
      <vt:variant>
        <vt:lpwstr>_Toc62650221</vt:lpwstr>
      </vt:variant>
      <vt:variant>
        <vt:i4>1179698</vt:i4>
      </vt:variant>
      <vt:variant>
        <vt:i4>14</vt:i4>
      </vt:variant>
      <vt:variant>
        <vt:i4>0</vt:i4>
      </vt:variant>
      <vt:variant>
        <vt:i4>5</vt:i4>
      </vt:variant>
      <vt:variant>
        <vt:lpwstr/>
      </vt:variant>
      <vt:variant>
        <vt:lpwstr>_Toc62650220</vt:lpwstr>
      </vt:variant>
      <vt:variant>
        <vt:i4>1769521</vt:i4>
      </vt:variant>
      <vt:variant>
        <vt:i4>8</vt:i4>
      </vt:variant>
      <vt:variant>
        <vt:i4>0</vt:i4>
      </vt:variant>
      <vt:variant>
        <vt:i4>5</vt:i4>
      </vt:variant>
      <vt:variant>
        <vt:lpwstr/>
      </vt:variant>
      <vt:variant>
        <vt:lpwstr>_Toc62650219</vt:lpwstr>
      </vt:variant>
      <vt:variant>
        <vt:i4>1703985</vt:i4>
      </vt:variant>
      <vt:variant>
        <vt:i4>2</vt:i4>
      </vt:variant>
      <vt:variant>
        <vt:i4>0</vt:i4>
      </vt:variant>
      <vt:variant>
        <vt:i4>5</vt:i4>
      </vt:variant>
      <vt:variant>
        <vt:lpwstr/>
      </vt:variant>
      <vt:variant>
        <vt:lpwstr>_Toc62650218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Garden</dc:creator>
  <cp:keywords/>
  <dc:description/>
  <cp:lastModifiedBy>Fran Lovell</cp:lastModifiedBy>
  <cp:revision>3</cp:revision>
  <cp:lastPrinted>2021-01-30T22:11:00Z</cp:lastPrinted>
  <dcterms:created xsi:type="dcterms:W3CDTF">2021-01-31T00:29:00Z</dcterms:created>
  <dcterms:modified xsi:type="dcterms:W3CDTF">2021-01-31T00:35:00Z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_dlc_DocIdItemGuid">
    <vt:lpwstr>9922bf6d-9b3b-4754-819b-46dc3672551d</vt:lpwstr>
  </property>
  <property fmtid="{D5CDD505-2E9C-101B-9397-08002B2CF9AE}" pid="4" name="MSIP_Label_e8123680-3bc4-425f-b60f-811fb4d5709d_SiteId">
    <vt:lpwstr>27523570-98da-4a95-b560-ba6bb21643d0</vt:lpwstr>
  </property>
  <property fmtid="{D5CDD505-2E9C-101B-9397-08002B2CF9AE}" pid="5" name="MSIP_Label_e8123680-3bc4-425f-b60f-811fb4d5709d_Owner">
    <vt:lpwstr>Karen.Lavin@climatecommission.govt.nz</vt:lpwstr>
  </property>
  <property fmtid="{D5CDD505-2E9C-101B-9397-08002B2CF9AE}" pid="6" name="MSIP_Label_e8123680-3bc4-425f-b60f-811fb4d5709d_Name">
    <vt:lpwstr>In-Confidence</vt:lpwstr>
  </property>
  <property fmtid="{D5CDD505-2E9C-101B-9397-08002B2CF9AE}" pid="7" name="MSIP_Label_e8123680-3bc4-425f-b60f-811fb4d5709d_Application">
    <vt:lpwstr>Microsoft Azure Information Protection</vt:lpwstr>
  </property>
  <property fmtid="{D5CDD505-2E9C-101B-9397-08002B2CF9AE}" pid="8" name="MSIP_Label_e8123680-3bc4-425f-b60f-811fb4d5709d_ActionId">
    <vt:lpwstr>bf52586d-f3b6-484f-be6e-ce2a85b1e4b4</vt:lpwstr>
  </property>
  <property fmtid="{D5CDD505-2E9C-101B-9397-08002B2CF9AE}" pid="9" name="MSIP_Label_e8123680-3bc4-425f-b60f-811fb4d5709d_Extended_MSFT_Method">
    <vt:lpwstr>Manual</vt:lpwstr>
  </property>
  <property fmtid="{D5CDD505-2E9C-101B-9397-08002B2CF9AE}" pid="10" name="ContentTypeId">
    <vt:lpwstr>0x010100FC40A03624D64143884E6213E5F3CCAE006FB13822BD6B144487DCC2AD10084590</vt:lpwstr>
  </property>
  <property fmtid="{D5CDD505-2E9C-101B-9397-08002B2CF9AE}" pid="11" name="MSIP_Label_e8123680-3bc4-425f-b60f-811fb4d5709d_Enabled">
    <vt:lpwstr>False</vt:lpwstr>
  </property>
  <property fmtid="{D5CDD505-2E9C-101B-9397-08002B2CF9AE}" pid="12" name="MSIP_Label_e8123680-3bc4-425f-b60f-811fb4d5709d_SetDate">
    <vt:lpwstr>2021-01-25T23:19:11.1176763Z</vt:lpwstr>
  </property>
</Properties>
</file>